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1A6E1A">
      <w:pPr>
        <w:spacing w:line="480" w:lineRule="exact"/>
        <w:rPr>
          <w:rFonts w:hint="default" w:ascii="Times New Roman" w:hAnsi="Times New Roman" w:eastAsia="黑体" w:cs="Times New Roman"/>
          <w:sz w:val="24"/>
          <w:szCs w:val="20"/>
        </w:rPr>
      </w:pPr>
      <w:bookmarkStart w:id="125" w:name="_GoBack"/>
      <w:bookmarkEnd w:id="125"/>
      <w:bookmarkStart w:id="0" w:name="_Hlk204789600"/>
      <w:bookmarkEnd w:id="0"/>
      <w:bookmarkStart w:id="1" w:name="_Toc169348130"/>
      <w:bookmarkStart w:id="2" w:name="_Toc164866218"/>
      <w:bookmarkStart w:id="3" w:name="_Toc172750962"/>
      <w:bookmarkStart w:id="4" w:name="_Toc175086218"/>
      <w:bookmarkStart w:id="5" w:name="_Toc175087903"/>
      <w:bookmarkStart w:id="6" w:name="_Toc175086915"/>
      <w:r>
        <w:rPr>
          <w:rFonts w:hint="default" w:ascii="Times New Roman" w:hAnsi="Times New Roman" w:eastAsia="黑体" w:cs="Times New Roman"/>
          <w:sz w:val="24"/>
          <w:szCs w:val="20"/>
        </w:rPr>
        <w:t>备案号：</w:t>
      </w:r>
    </w:p>
    <w:p w14:paraId="460D3B94">
      <w:pPr>
        <w:wordWrap w:val="0"/>
        <w:spacing w:line="0" w:lineRule="atLeast"/>
        <w:ind w:right="87"/>
        <w:jc w:val="right"/>
        <w:rPr>
          <w:rFonts w:hint="default" w:ascii="Times New Roman" w:hAnsi="Times New Roman" w:cs="Times New Roman"/>
          <w:sz w:val="52"/>
          <w:szCs w:val="52"/>
        </w:rPr>
      </w:pPr>
      <w:r>
        <w:rPr>
          <w:rFonts w:hint="default" w:ascii="Times New Roman" w:hAnsi="Times New Roman" w:eastAsia="黑体" w:cs="Times New Roman"/>
          <w:spacing w:val="8"/>
          <w:kern w:val="11"/>
          <w:sz w:val="36"/>
          <w:szCs w:val="36"/>
        </w:rPr>
        <w:t xml:space="preserve">四川省工程建设地方标准       </w:t>
      </w:r>
      <w:r>
        <w:rPr>
          <w:rFonts w:hint="default" w:ascii="Times New Roman" w:hAnsi="Times New Roman" w:cs="Times New Roman"/>
          <w:position w:val="-40"/>
          <w:sz w:val="84"/>
          <w:szCs w:val="84"/>
        </w:rPr>
        <w:drawing>
          <wp:inline distT="0" distB="0" distL="114300" distR="114300">
            <wp:extent cx="1343025" cy="723900"/>
            <wp:effectExtent l="0" t="0" r="9525"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7"/>
                    <a:stretch>
                      <a:fillRect/>
                    </a:stretch>
                  </pic:blipFill>
                  <pic:spPr>
                    <a:xfrm>
                      <a:off x="0" y="0"/>
                      <a:ext cx="1343025" cy="723900"/>
                    </a:xfrm>
                    <a:prstGeom prst="rect">
                      <a:avLst/>
                    </a:prstGeom>
                    <a:noFill/>
                    <a:ln>
                      <a:noFill/>
                    </a:ln>
                  </pic:spPr>
                </pic:pic>
              </a:graphicData>
            </a:graphic>
          </wp:inline>
        </w:drawing>
      </w:r>
    </w:p>
    <w:p w14:paraId="1CA3D7BE">
      <w:pPr>
        <w:jc w:val="center"/>
        <w:rPr>
          <w:rFonts w:hint="default" w:ascii="Times New Roman" w:hAnsi="Times New Roman" w:cs="Times New Roman"/>
          <w:sz w:val="28"/>
          <w:szCs w:val="28"/>
        </w:rPr>
      </w:pPr>
      <w:r>
        <w:rPr>
          <w:rFonts w:hint="default" w:ascii="Times New Roman" w:hAnsi="Times New Roman" w:cs="Times New Roman"/>
          <w:sz w:val="24"/>
          <w:szCs w:val="20"/>
        </w:rPr>
        <w:t xml:space="preserve">                                            </w:t>
      </w:r>
      <w:r>
        <w:rPr>
          <w:rFonts w:hint="default" w:ascii="Times New Roman" w:hAnsi="Times New Roman" w:cs="Times New Roman"/>
          <w:sz w:val="28"/>
          <w:szCs w:val="28"/>
        </w:rPr>
        <w:t>DB51/Txxxx-20xx</w:t>
      </w:r>
    </w:p>
    <w:p w14:paraId="42E5C264">
      <w:pPr>
        <w:jc w:val="right"/>
        <w:rPr>
          <w:rFonts w:hint="default" w:ascii="Times New Roman" w:hAnsi="Times New Roman" w:cs="Times New Roman"/>
          <w:sz w:val="28"/>
          <w:szCs w:val="28"/>
        </w:rPr>
      </w:pPr>
      <w:r>
        <w:rPr>
          <w:rFonts w:hint="default" w:ascii="Times New Roman" w:hAnsi="Times New Roman" w:cs="Times New Roman"/>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171450</wp:posOffset>
                </wp:positionV>
                <wp:extent cx="5362575" cy="0"/>
                <wp:effectExtent l="0" t="9525" r="9525" b="9525"/>
                <wp:wrapNone/>
                <wp:docPr id="25" name="直接连接符 25"/>
                <wp:cNvGraphicFramePr/>
                <a:graphic xmlns:a="http://schemas.openxmlformats.org/drawingml/2006/main">
                  <a:graphicData uri="http://schemas.microsoft.com/office/word/2010/wordprocessingShape">
                    <wps:wsp>
                      <wps:cNvCnPr>
                        <a:cxnSpLocks noChangeShapeType="1"/>
                      </wps:cNvCnPr>
                      <wps:spPr bwMode="auto">
                        <a:xfrm>
                          <a:off x="0" y="0"/>
                          <a:ext cx="5362575"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pt;margin-top:13.5pt;height:0pt;width:422.25pt;z-index:251660288;mso-width-relative:page;mso-height-relative:page;" filled="f" stroked="t" coordsize="21600,21600" o:gfxdata="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mESgR0wAA&#10;AAYBAAAPAAAAAAAAAAEAIAAAACIAAABkcnMvZG93bnJldi54bWxQSwECFAAUAAAACACHTuJA614T&#10;deoBAAC7AwAADgAAAAAAAAABACAAAAAiAQAAZHJzL2Uyb0RvYy54bWxQSwUGAAAAAAYABgBZAQAA&#10;fgUAAAAA&#10;">
                <v:fill on="f" focussize="0,0"/>
                <v:stroke weight="1.5pt" color="#000000" joinstyle="round"/>
                <v:imagedata o:title=""/>
                <o:lock v:ext="edit" aspectratio="f"/>
              </v:line>
            </w:pict>
          </mc:Fallback>
        </mc:AlternateContent>
      </w:r>
    </w:p>
    <w:p w14:paraId="6CEA6C49">
      <w:pPr>
        <w:spacing w:line="600" w:lineRule="exact"/>
        <w:jc w:val="center"/>
        <w:rPr>
          <w:rFonts w:hint="default" w:ascii="Times New Roman" w:hAnsi="Times New Roman" w:eastAsia="黑体" w:cs="Times New Roman"/>
          <w:spacing w:val="60"/>
          <w:position w:val="6"/>
          <w:sz w:val="48"/>
          <w:szCs w:val="48"/>
        </w:rPr>
      </w:pPr>
    </w:p>
    <w:p w14:paraId="702C37F3">
      <w:pPr>
        <w:jc w:val="center"/>
        <w:rPr>
          <w:rFonts w:hint="default" w:ascii="Times New Roman" w:hAnsi="Times New Roman" w:eastAsia="黑体" w:cs="Times New Roman"/>
          <w:position w:val="6"/>
          <w:sz w:val="48"/>
          <w:szCs w:val="48"/>
          <w:highlight w:val="none"/>
          <w:lang w:eastAsia="zh-CN"/>
        </w:rPr>
      </w:pPr>
      <w:r>
        <w:rPr>
          <w:rFonts w:hint="default" w:ascii="Times New Roman" w:hAnsi="Times New Roman" w:eastAsia="黑体" w:cs="Times New Roman"/>
          <w:position w:val="6"/>
          <w:sz w:val="48"/>
          <w:szCs w:val="48"/>
          <w:highlight w:val="none"/>
        </w:rPr>
        <w:t>四川省建筑基坑</w:t>
      </w:r>
      <w:r>
        <w:rPr>
          <w:rFonts w:hint="default" w:ascii="Times New Roman" w:hAnsi="Times New Roman" w:eastAsia="黑体" w:cs="Times New Roman"/>
          <w:position w:val="6"/>
          <w:sz w:val="48"/>
          <w:szCs w:val="48"/>
          <w:highlight w:val="none"/>
          <w:lang w:val="en-US" w:eastAsia="zh-CN"/>
        </w:rPr>
        <w:t>工程</w:t>
      </w:r>
      <w:r>
        <w:rPr>
          <w:rFonts w:hint="default" w:ascii="Times New Roman" w:hAnsi="Times New Roman" w:eastAsia="黑体" w:cs="Times New Roman"/>
          <w:position w:val="6"/>
          <w:sz w:val="48"/>
          <w:szCs w:val="48"/>
          <w:highlight w:val="none"/>
        </w:rPr>
        <w:t>鉴定</w:t>
      </w:r>
      <w:r>
        <w:rPr>
          <w:rFonts w:hint="default" w:ascii="Times New Roman" w:hAnsi="Times New Roman" w:eastAsia="黑体" w:cs="Times New Roman"/>
          <w:position w:val="6"/>
          <w:sz w:val="48"/>
          <w:szCs w:val="48"/>
          <w:highlight w:val="none"/>
          <w:lang w:val="en-US" w:eastAsia="zh-CN"/>
        </w:rPr>
        <w:t>与</w:t>
      </w:r>
      <w:r>
        <w:rPr>
          <w:rFonts w:hint="default" w:ascii="Times New Roman" w:hAnsi="Times New Roman" w:eastAsia="黑体" w:cs="Times New Roman"/>
          <w:position w:val="6"/>
          <w:sz w:val="48"/>
          <w:szCs w:val="48"/>
          <w:highlight w:val="none"/>
        </w:rPr>
        <w:t>加固标准</w:t>
      </w:r>
    </w:p>
    <w:p w14:paraId="066627D6">
      <w:pPr>
        <w:jc w:val="center"/>
        <w:rPr>
          <w:rFonts w:hint="default" w:ascii="Times New Roman" w:hAnsi="Times New Roman" w:cs="Times New Roman"/>
          <w:spacing w:val="20"/>
          <w:sz w:val="28"/>
          <w:szCs w:val="28"/>
        </w:rPr>
      </w:pPr>
    </w:p>
    <w:p w14:paraId="3EB60DA3">
      <w:pPr>
        <w:jc w:val="center"/>
        <w:rPr>
          <w:rFonts w:hint="default" w:ascii="Times New Roman" w:hAnsi="Times New Roman" w:cs="Times New Roman"/>
          <w:spacing w:val="20"/>
          <w:sz w:val="28"/>
          <w:szCs w:val="28"/>
        </w:rPr>
      </w:pPr>
    </w:p>
    <w:p w14:paraId="2B356247">
      <w:pPr>
        <w:jc w:val="center"/>
        <w:rPr>
          <w:rFonts w:hint="default" w:ascii="Times New Roman" w:hAnsi="Times New Roman" w:cs="Times New Roman"/>
          <w:spacing w:val="20"/>
          <w:sz w:val="28"/>
          <w:szCs w:val="28"/>
        </w:rPr>
      </w:pPr>
    </w:p>
    <w:p w14:paraId="594731F1">
      <w:pPr>
        <w:jc w:val="center"/>
        <w:rPr>
          <w:rFonts w:hint="default" w:ascii="Times New Roman" w:hAnsi="Times New Roman" w:cs="Times New Roman"/>
          <w:spacing w:val="20"/>
          <w:sz w:val="28"/>
          <w:szCs w:val="28"/>
        </w:rPr>
      </w:pPr>
    </w:p>
    <w:p w14:paraId="580509F3">
      <w:pPr>
        <w:jc w:val="center"/>
        <w:rPr>
          <w:rFonts w:hint="default" w:ascii="Times New Roman" w:hAnsi="Times New Roman" w:cs="Times New Roman"/>
          <w:spacing w:val="20"/>
          <w:sz w:val="28"/>
          <w:szCs w:val="28"/>
        </w:rPr>
      </w:pPr>
    </w:p>
    <w:p w14:paraId="3D74B39B">
      <w:pPr>
        <w:jc w:val="center"/>
        <w:rPr>
          <w:rFonts w:hint="default" w:ascii="Times New Roman" w:hAnsi="Times New Roman" w:cs="Times New Roman"/>
          <w:spacing w:val="20"/>
          <w:sz w:val="28"/>
          <w:szCs w:val="28"/>
        </w:rPr>
      </w:pPr>
    </w:p>
    <w:p w14:paraId="7954802B">
      <w:pPr>
        <w:jc w:val="center"/>
        <w:rPr>
          <w:rFonts w:hint="default" w:ascii="Times New Roman" w:hAnsi="Times New Roman" w:cs="Times New Roman"/>
          <w:spacing w:val="20"/>
          <w:sz w:val="28"/>
          <w:szCs w:val="28"/>
        </w:rPr>
      </w:pPr>
    </w:p>
    <w:p w14:paraId="29FAEC49">
      <w:pPr>
        <w:jc w:val="center"/>
        <w:rPr>
          <w:rFonts w:hint="default" w:ascii="Times New Roman" w:hAnsi="Times New Roman" w:cs="Times New Roman"/>
          <w:spacing w:val="20"/>
          <w:sz w:val="28"/>
          <w:szCs w:val="28"/>
        </w:rPr>
      </w:pPr>
    </w:p>
    <w:p w14:paraId="316A34EA">
      <w:pPr>
        <w:jc w:val="center"/>
        <w:rPr>
          <w:rFonts w:hint="default" w:ascii="Times New Roman" w:hAnsi="Times New Roman" w:cs="Times New Roman"/>
          <w:spacing w:val="20"/>
          <w:sz w:val="28"/>
          <w:szCs w:val="28"/>
        </w:rPr>
      </w:pPr>
    </w:p>
    <w:p w14:paraId="648AB86D">
      <w:pPr>
        <w:jc w:val="center"/>
        <w:rPr>
          <w:rFonts w:hint="default" w:ascii="Times New Roman" w:hAnsi="Times New Roman" w:cs="Times New Roman"/>
          <w:spacing w:val="20"/>
          <w:sz w:val="28"/>
          <w:szCs w:val="28"/>
        </w:rPr>
      </w:pPr>
    </w:p>
    <w:p w14:paraId="7A16ACEE">
      <w:pPr>
        <w:jc w:val="center"/>
        <w:rPr>
          <w:rFonts w:hint="default" w:ascii="Times New Roman" w:hAnsi="Times New Roman" w:cs="Times New Roman"/>
          <w:spacing w:val="20"/>
          <w:sz w:val="28"/>
          <w:szCs w:val="28"/>
        </w:rPr>
      </w:pPr>
    </w:p>
    <w:p w14:paraId="49F01826">
      <w:pPr>
        <w:rPr>
          <w:rFonts w:hint="default" w:ascii="Times New Roman" w:hAnsi="Times New Roman" w:cs="Times New Roman"/>
          <w:sz w:val="24"/>
          <w:szCs w:val="20"/>
        </w:rPr>
      </w:pPr>
      <w:r>
        <w:rPr>
          <w:rFonts w:hint="default" w:ascii="Times New Roman" w:hAnsi="Times New Roman" w:eastAsia="黑体" w:cs="Times New Roman"/>
          <w:sz w:val="24"/>
          <w:szCs w:val="20"/>
        </w:rPr>
        <w:t>202</w:t>
      </w:r>
      <w:r>
        <w:rPr>
          <w:rFonts w:hint="eastAsia" w:eastAsia="黑体" w:cs="Times New Roman"/>
          <w:sz w:val="24"/>
          <w:szCs w:val="20"/>
          <w:lang w:val="en-US" w:eastAsia="zh-CN"/>
        </w:rPr>
        <w:t>X</w:t>
      </w:r>
      <w:r>
        <w:rPr>
          <w:rFonts w:hint="default" w:ascii="Times New Roman" w:hAnsi="Times New Roman" w:eastAsia="黑体" w:cs="Times New Roman"/>
          <w:sz w:val="24"/>
          <w:szCs w:val="20"/>
        </w:rPr>
        <w:t>—xx—xx发布                            202</w:t>
      </w:r>
      <w:r>
        <w:rPr>
          <w:rFonts w:hint="eastAsia" w:eastAsia="黑体" w:cs="Times New Roman"/>
          <w:sz w:val="24"/>
          <w:szCs w:val="20"/>
          <w:lang w:val="en-US" w:eastAsia="zh-CN"/>
        </w:rPr>
        <w:t>X</w:t>
      </w:r>
      <w:r>
        <w:rPr>
          <w:rFonts w:hint="default" w:ascii="Times New Roman" w:hAnsi="Times New Roman" w:eastAsia="黑体" w:cs="Times New Roman"/>
          <w:sz w:val="24"/>
          <w:szCs w:val="20"/>
        </w:rPr>
        <w:t>—xx—xx实施</w:t>
      </w:r>
    </w:p>
    <w:p w14:paraId="36D6975B">
      <w:pPr>
        <w:spacing w:line="0" w:lineRule="atLeast"/>
        <w:jc w:val="center"/>
        <w:rPr>
          <w:rFonts w:hint="default" w:ascii="Times New Roman" w:hAnsi="Times New Roman" w:cs="Times New Roman"/>
          <w:sz w:val="15"/>
          <w:szCs w:val="15"/>
        </w:rPr>
      </w:pPr>
      <w:r>
        <w:rPr>
          <w:rFonts w:hint="default" w:ascii="Times New Roman" w:hAnsi="Times New Roman" w:cs="Times New Roman"/>
          <w:sz w:val="15"/>
          <w:szCs w:val="15"/>
        </w:rPr>
        <mc:AlternateContent>
          <mc:Choice Requires="wps">
            <w:drawing>
              <wp:anchor distT="0" distB="0" distL="114300" distR="114300" simplePos="0" relativeHeight="251661312" behindDoc="0" locked="0" layoutInCell="1" allowOverlap="1">
                <wp:simplePos x="0" y="0"/>
                <wp:positionH relativeFrom="column">
                  <wp:posOffset>-66675</wp:posOffset>
                </wp:positionH>
                <wp:positionV relativeFrom="paragraph">
                  <wp:posOffset>71755</wp:posOffset>
                </wp:positionV>
                <wp:extent cx="5400675" cy="0"/>
                <wp:effectExtent l="0" t="9525" r="9525" b="9525"/>
                <wp:wrapNone/>
                <wp:docPr id="24" name="直接连接符 24"/>
                <wp:cNvGraphicFramePr/>
                <a:graphic xmlns:a="http://schemas.openxmlformats.org/drawingml/2006/main">
                  <a:graphicData uri="http://schemas.microsoft.com/office/word/2010/wordprocessingShape">
                    <wps:wsp>
                      <wps:cNvCnPr>
                        <a:cxnSpLocks noChangeShapeType="1"/>
                      </wps:cNvCnPr>
                      <wps:spPr bwMode="auto">
                        <a:xfrm flipV="1">
                          <a:off x="0" y="0"/>
                          <a:ext cx="5400675"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flip:y;margin-left:-5.25pt;margin-top:5.65pt;height:0pt;width:425.25pt;z-index:251661312;mso-width-relative:page;mso-height-relative:page;" filled="f" stroked="t" coordsize="21600,21600" o:gfxdata="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7pa8tYAAAAJAQAADwAAAAAAAAABACAAAAAiAAAAZHJzL2Rvd25yZXYueG1sUEsBAhQAFAAA&#10;AAgAh07iQG2QODzxAQAAxQMAAA4AAAAAAAAAAQAgAAAAJQEAAGRycy9lMm9Eb2MueG1sUEsFBgAA&#10;AAAGAAYAWQEAAIgFAAAAAA==&#10;">
                <v:fill on="f" focussize="0,0"/>
                <v:stroke weight="1.5pt" color="#000000" joinstyle="round"/>
                <v:imagedata o:title=""/>
                <o:lock v:ext="edit" aspectratio="f"/>
              </v:line>
            </w:pict>
          </mc:Fallback>
        </mc:AlternateContent>
      </w:r>
    </w:p>
    <w:p w14:paraId="6D0C975C">
      <w:pPr>
        <w:spacing w:line="0" w:lineRule="atLeast"/>
        <w:jc w:val="center"/>
        <w:rPr>
          <w:rFonts w:hint="default" w:ascii="Times New Roman" w:hAnsi="Times New Roman" w:cs="Times New Roman"/>
          <w:sz w:val="15"/>
          <w:szCs w:val="15"/>
        </w:rPr>
        <w:sectPr>
          <w:footerReference r:id="rId5" w:type="default"/>
          <w:pgSz w:w="11906" w:h="16838"/>
          <w:pgMar w:top="2098" w:right="1474" w:bottom="1417" w:left="1587" w:header="851" w:footer="992" w:gutter="0"/>
          <w:cols w:space="720" w:num="1"/>
          <w:rtlGutter w:val="0"/>
          <w:docGrid w:type="lines" w:linePitch="312" w:charSpace="0"/>
        </w:sectPr>
      </w:pPr>
    </w:p>
    <w:p w14:paraId="1CAB80E2">
      <w:pPr>
        <w:pStyle w:val="34"/>
        <w:widowControl/>
        <w:numPr>
          <w:ilvl w:val="0"/>
          <w:numId w:val="0"/>
        </w:numPr>
        <w:shd w:val="clear" w:color="FFFFFF" w:fill="FFFFFF"/>
        <w:tabs>
          <w:tab w:val="center" w:pos="4200"/>
          <w:tab w:val="right" w:pos="8400"/>
        </w:tabs>
        <w:spacing w:before="156" w:beforeLines="50" w:after="560" w:line="360" w:lineRule="auto"/>
        <w:ind w:right="-2"/>
        <w:jc w:val="center"/>
        <w:rPr>
          <w:color w:val="auto"/>
          <w:sz w:val="30"/>
          <w:szCs w:val="30"/>
        </w:rPr>
      </w:pPr>
      <w:r>
        <w:rPr>
          <w:rFonts w:eastAsia="黑体"/>
          <w:color w:val="auto"/>
          <w:spacing w:val="-10"/>
          <w:sz w:val="30"/>
          <w:szCs w:val="30"/>
        </w:rPr>
        <w:t>四川省工程建设地方标准</w:t>
      </w:r>
    </w:p>
    <w:p w14:paraId="53737A52">
      <w:pPr>
        <w:spacing w:line="360" w:lineRule="auto"/>
        <w:jc w:val="center"/>
        <w:rPr>
          <w:rFonts w:ascii="Times New Roman" w:hAnsi="Times New Roman" w:eastAsia="黑体" w:cs="Times New Roman"/>
          <w:color w:val="auto"/>
          <w:sz w:val="40"/>
          <w:szCs w:val="44"/>
        </w:rPr>
      </w:pPr>
      <w:r>
        <w:rPr>
          <w:rFonts w:hint="eastAsia" w:ascii="Times New Roman" w:hAnsi="Times New Roman" w:eastAsia="黑体" w:cs="Times New Roman"/>
          <w:color w:val="auto"/>
          <w:sz w:val="40"/>
          <w:szCs w:val="44"/>
        </w:rPr>
        <w:t>四川省建筑基坑工程鉴定与加固标准</w:t>
      </w:r>
    </w:p>
    <w:p w14:paraId="77046743">
      <w:pPr>
        <w:spacing w:line="360" w:lineRule="auto"/>
        <w:jc w:val="center"/>
        <w:rPr>
          <w:rFonts w:ascii="Times New Roman" w:hAnsi="Times New Roman" w:eastAsia="黑体" w:cs="Times New Roman"/>
          <w:color w:val="auto"/>
          <w:sz w:val="40"/>
          <w:szCs w:val="44"/>
          <w:u w:val="single"/>
        </w:rPr>
      </w:pPr>
      <w:r>
        <w:rPr>
          <w:rFonts w:hint="eastAsia" w:ascii="Times New Roman" w:hAnsi="Times New Roman" w:cs="Times New Roman"/>
          <w:color w:val="auto"/>
          <w:sz w:val="32"/>
          <w:szCs w:val="28"/>
        </w:rPr>
        <w:t>Standard for Appraisal and Reinforcement of Building Foundation Pit Engineering in Sichuan Province</w:t>
      </w:r>
    </w:p>
    <w:p w14:paraId="234F6C3A">
      <w:pPr>
        <w:spacing w:line="360" w:lineRule="auto"/>
        <w:jc w:val="center"/>
        <w:rPr>
          <w:rFonts w:ascii="Times New Roman" w:hAnsi="Times New Roman" w:eastAsia="黑体" w:cs="Times New Roman"/>
          <w:color w:val="auto"/>
          <w:sz w:val="40"/>
          <w:szCs w:val="44"/>
        </w:rPr>
      </w:pPr>
      <w:r>
        <w:rPr>
          <w:rFonts w:ascii="Times New Roman" w:hAnsi="Times New Roman" w:eastAsia="黑体" w:cs="Times New Roman"/>
          <w:color w:val="auto"/>
          <w:kern w:val="0"/>
          <w:sz w:val="28"/>
          <w:szCs w:val="28"/>
        </w:rPr>
        <w:t>DBJ51/TXXX—XXXX</w:t>
      </w:r>
    </w:p>
    <w:p w14:paraId="00BAC449">
      <w:pPr>
        <w:spacing w:line="360" w:lineRule="auto"/>
        <w:jc w:val="center"/>
        <w:rPr>
          <w:rFonts w:ascii="Times New Roman" w:hAnsi="Times New Roman" w:eastAsia="黑体" w:cs="Times New Roman"/>
          <w:color w:val="auto"/>
          <w:sz w:val="40"/>
          <w:szCs w:val="44"/>
        </w:rPr>
      </w:pPr>
    </w:p>
    <w:p w14:paraId="4CF32520">
      <w:pPr>
        <w:pStyle w:val="6"/>
        <w:spacing w:line="360" w:lineRule="auto"/>
        <w:rPr>
          <w:rFonts w:ascii="Times New Roman" w:hAnsi="Times New Roman" w:cs="Times New Roman"/>
          <w:color w:val="auto"/>
        </w:rPr>
      </w:pPr>
    </w:p>
    <w:p w14:paraId="733197CE">
      <w:pPr>
        <w:keepNext w:val="0"/>
        <w:keepLines w:val="0"/>
        <w:pageBreakBefore w:val="0"/>
        <w:widowControl w:val="0"/>
        <w:tabs>
          <w:tab w:val="left" w:pos="709"/>
        </w:tabs>
        <w:kinsoku/>
        <w:wordWrap/>
        <w:overflowPunct/>
        <w:topLinePunct w:val="0"/>
        <w:autoSpaceDE/>
        <w:autoSpaceDN/>
        <w:bidi w:val="0"/>
        <w:adjustRightInd/>
        <w:snapToGrid/>
        <w:spacing w:line="360" w:lineRule="auto"/>
        <w:ind w:right="652" w:firstLine="708" w:firstLineChars="295"/>
        <w:jc w:val="left"/>
        <w:textAlignment w:val="auto"/>
        <w:rPr>
          <w:rFonts w:hint="eastAsia" w:ascii="Times New Roman" w:hAnsi="Times New Roman" w:eastAsia="黑体" w:cs="Times New Roman"/>
          <w:color w:val="auto"/>
          <w:sz w:val="24"/>
          <w:lang w:val="en-US" w:eastAsia="zh-CN"/>
        </w:rPr>
      </w:pPr>
      <w:r>
        <w:rPr>
          <w:rFonts w:ascii="Times New Roman" w:hAnsi="Times New Roman" w:eastAsia="黑体" w:cs="Times New Roman"/>
          <w:color w:val="auto"/>
          <w:sz w:val="24"/>
        </w:rPr>
        <w:t>主编</w:t>
      </w:r>
      <w:r>
        <w:rPr>
          <w:rFonts w:hint="eastAsia" w:ascii="Times New Roman" w:hAnsi="Times New Roman" w:eastAsia="黑体" w:cs="Times New Roman"/>
          <w:color w:val="auto"/>
          <w:sz w:val="24"/>
          <w:lang w:val="en-US" w:eastAsia="zh-CN"/>
        </w:rPr>
        <w:t>单位</w:t>
      </w:r>
      <w:r>
        <w:rPr>
          <w:rFonts w:ascii="Times New Roman" w:hAnsi="Times New Roman" w:eastAsia="黑体" w:cs="Times New Roman"/>
          <w:color w:val="auto"/>
          <w:sz w:val="24"/>
        </w:rPr>
        <w:t>：</w:t>
      </w:r>
      <w:r>
        <w:rPr>
          <w:rFonts w:hint="eastAsia" w:ascii="Times New Roman" w:hAnsi="Times New Roman" w:eastAsia="黑体" w:cs="Times New Roman"/>
          <w:color w:val="auto"/>
          <w:sz w:val="24"/>
          <w:lang w:val="en-US" w:eastAsia="zh-CN"/>
        </w:rPr>
        <w:t>成都市建筑科学研究院有限公司</w:t>
      </w:r>
    </w:p>
    <w:p w14:paraId="44316F9B">
      <w:pPr>
        <w:keepNext w:val="0"/>
        <w:keepLines w:val="0"/>
        <w:pageBreakBefore w:val="0"/>
        <w:widowControl w:val="0"/>
        <w:tabs>
          <w:tab w:val="left" w:pos="709"/>
        </w:tabs>
        <w:kinsoku/>
        <w:wordWrap/>
        <w:overflowPunct/>
        <w:topLinePunct w:val="0"/>
        <w:autoSpaceDE/>
        <w:autoSpaceDN/>
        <w:bidi w:val="0"/>
        <w:adjustRightInd/>
        <w:snapToGrid/>
        <w:spacing w:line="360" w:lineRule="auto"/>
        <w:ind w:right="652" w:firstLine="708" w:firstLineChars="295"/>
        <w:jc w:val="left"/>
        <w:textAlignment w:val="auto"/>
        <w:rPr>
          <w:rFonts w:hint="eastAsia" w:ascii="Times New Roman" w:hAnsi="Times New Roman" w:eastAsia="黑体" w:cs="Times New Roman"/>
          <w:color w:val="auto"/>
          <w:sz w:val="24"/>
          <w:lang w:val="en-US" w:eastAsia="zh-CN"/>
        </w:rPr>
      </w:pPr>
      <w:r>
        <w:rPr>
          <w:rFonts w:hint="eastAsia" w:ascii="Times New Roman" w:hAnsi="Times New Roman" w:eastAsia="黑体" w:cs="Times New Roman"/>
          <w:color w:val="auto"/>
          <w:sz w:val="24"/>
          <w:lang w:val="en-US" w:eastAsia="zh-CN"/>
        </w:rPr>
        <w:t xml:space="preserve">          成都建工第九建筑工程有限公司</w:t>
      </w:r>
    </w:p>
    <w:p w14:paraId="3CFC9DC1">
      <w:pPr>
        <w:keepNext w:val="0"/>
        <w:keepLines w:val="0"/>
        <w:pageBreakBefore w:val="0"/>
        <w:widowControl w:val="0"/>
        <w:tabs>
          <w:tab w:val="left" w:pos="709"/>
        </w:tabs>
        <w:kinsoku/>
        <w:wordWrap/>
        <w:overflowPunct/>
        <w:topLinePunct w:val="0"/>
        <w:autoSpaceDE/>
        <w:autoSpaceDN/>
        <w:bidi w:val="0"/>
        <w:adjustRightInd/>
        <w:snapToGrid/>
        <w:spacing w:line="360" w:lineRule="auto"/>
        <w:ind w:right="652" w:firstLine="708" w:firstLineChars="295"/>
        <w:jc w:val="left"/>
        <w:textAlignment w:val="auto"/>
        <w:rPr>
          <w:rFonts w:hint="eastAsia" w:ascii="Times New Roman" w:hAnsi="Times New Roman" w:eastAsia="黑体" w:cs="Times New Roman"/>
          <w:color w:val="auto"/>
          <w:sz w:val="24"/>
          <w:lang w:val="en-US" w:eastAsia="zh-CN"/>
        </w:rPr>
      </w:pPr>
      <w:r>
        <w:rPr>
          <w:rFonts w:hint="eastAsia" w:ascii="Times New Roman" w:hAnsi="Times New Roman" w:eastAsia="黑体" w:cs="Times New Roman"/>
          <w:color w:val="auto"/>
          <w:sz w:val="24"/>
          <w:lang w:val="en-US" w:eastAsia="zh-CN"/>
        </w:rPr>
        <w:t xml:space="preserve">          四川省建设工程造价总站</w:t>
      </w:r>
    </w:p>
    <w:p w14:paraId="33931B19">
      <w:pPr>
        <w:keepNext w:val="0"/>
        <w:keepLines w:val="0"/>
        <w:pageBreakBefore w:val="0"/>
        <w:widowControl w:val="0"/>
        <w:tabs>
          <w:tab w:val="left" w:pos="709"/>
        </w:tabs>
        <w:kinsoku/>
        <w:wordWrap/>
        <w:overflowPunct/>
        <w:topLinePunct w:val="0"/>
        <w:autoSpaceDE/>
        <w:autoSpaceDN/>
        <w:bidi w:val="0"/>
        <w:adjustRightInd/>
        <w:snapToGrid/>
        <w:spacing w:line="360" w:lineRule="auto"/>
        <w:ind w:right="652" w:firstLine="708" w:firstLineChars="295"/>
        <w:jc w:val="left"/>
        <w:textAlignment w:val="auto"/>
        <w:rPr>
          <w:rFonts w:ascii="Times New Roman" w:hAnsi="Times New Roman" w:eastAsia="黑体" w:cs="Times New Roman"/>
          <w:color w:val="auto"/>
          <w:sz w:val="24"/>
        </w:rPr>
      </w:pPr>
      <w:r>
        <w:rPr>
          <w:rFonts w:ascii="Times New Roman" w:hAnsi="Times New Roman" w:eastAsia="黑体" w:cs="Times New Roman"/>
          <w:color w:val="auto"/>
          <w:sz w:val="24"/>
        </w:rPr>
        <w:t>批准部门：四川省住房和城乡建设厅</w:t>
      </w:r>
    </w:p>
    <w:p w14:paraId="5DA9DDBE">
      <w:pPr>
        <w:keepNext w:val="0"/>
        <w:keepLines w:val="0"/>
        <w:pageBreakBefore w:val="0"/>
        <w:widowControl w:val="0"/>
        <w:tabs>
          <w:tab w:val="left" w:pos="709"/>
        </w:tabs>
        <w:kinsoku/>
        <w:wordWrap/>
        <w:overflowPunct/>
        <w:topLinePunct w:val="0"/>
        <w:autoSpaceDE/>
        <w:autoSpaceDN/>
        <w:bidi w:val="0"/>
        <w:adjustRightInd/>
        <w:snapToGrid/>
        <w:spacing w:line="360" w:lineRule="auto"/>
        <w:ind w:right="652" w:firstLine="708" w:firstLineChars="295"/>
        <w:jc w:val="left"/>
        <w:textAlignment w:val="auto"/>
        <w:rPr>
          <w:rFonts w:hint="default" w:ascii="Times New Roman" w:hAnsi="Times New Roman" w:eastAsia="黑体" w:cs="Times New Roman"/>
          <w:color w:val="auto"/>
          <w:sz w:val="24"/>
          <w:lang w:val="en-US" w:eastAsia="zh-CN"/>
        </w:rPr>
      </w:pPr>
      <w:r>
        <w:rPr>
          <w:rFonts w:ascii="Times New Roman" w:hAnsi="Times New Roman" w:eastAsia="黑体" w:cs="Times New Roman"/>
          <w:color w:val="auto"/>
          <w:sz w:val="24"/>
        </w:rPr>
        <w:t>施行日期：</w:t>
      </w:r>
      <w:r>
        <w:rPr>
          <w:rFonts w:hint="eastAsia" w:ascii="Times New Roman" w:hAnsi="Times New Roman" w:eastAsia="黑体" w:cs="Times New Roman"/>
          <w:color w:val="auto"/>
          <w:sz w:val="24"/>
          <w:lang w:val="en-US" w:eastAsia="zh-CN"/>
        </w:rPr>
        <w:t>XXXX年XX月XX日</w:t>
      </w:r>
    </w:p>
    <w:p w14:paraId="48277A81">
      <w:pPr>
        <w:spacing w:line="360" w:lineRule="auto"/>
        <w:jc w:val="center"/>
        <w:rPr>
          <w:rFonts w:ascii="Times New Roman" w:hAnsi="Times New Roman" w:eastAsia="黑体" w:cs="Times New Roman"/>
          <w:color w:val="auto"/>
          <w:sz w:val="40"/>
          <w:szCs w:val="44"/>
        </w:rPr>
      </w:pPr>
    </w:p>
    <w:p w14:paraId="0FE207DF">
      <w:pPr>
        <w:pStyle w:val="34"/>
        <w:widowControl/>
        <w:numPr>
          <w:ilvl w:val="0"/>
          <w:numId w:val="0"/>
        </w:numPr>
        <w:shd w:val="clear" w:color="FFFFFF" w:fill="FFFFFF"/>
        <w:tabs>
          <w:tab w:val="center" w:pos="4200"/>
          <w:tab w:val="right" w:pos="8400"/>
        </w:tabs>
        <w:spacing w:before="156" w:beforeLines="50" w:after="560" w:line="360" w:lineRule="auto"/>
        <w:ind w:right="-2" w:firstLine="3057" w:firstLineChars="1092"/>
        <w:rPr>
          <w:color w:val="auto"/>
          <w:sz w:val="28"/>
          <w:szCs w:val="28"/>
        </w:rPr>
      </w:pPr>
    </w:p>
    <w:p w14:paraId="6A442DC6">
      <w:pPr>
        <w:pStyle w:val="34"/>
        <w:widowControl/>
        <w:numPr>
          <w:ilvl w:val="0"/>
          <w:numId w:val="0"/>
        </w:numPr>
        <w:shd w:val="clear" w:color="FFFFFF" w:fill="FFFFFF"/>
        <w:tabs>
          <w:tab w:val="center" w:pos="4200"/>
          <w:tab w:val="right" w:pos="8400"/>
        </w:tabs>
        <w:spacing w:before="156" w:beforeLines="50" w:after="560" w:line="360" w:lineRule="auto"/>
        <w:ind w:right="-2"/>
        <w:rPr>
          <w:rFonts w:eastAsia="黑体"/>
          <w:color w:val="auto"/>
          <w:sz w:val="24"/>
        </w:rPr>
      </w:pPr>
    </w:p>
    <w:p w14:paraId="7DE41F19">
      <w:pPr>
        <w:tabs>
          <w:tab w:val="center" w:pos="4200"/>
          <w:tab w:val="right" w:pos="8400"/>
        </w:tabs>
        <w:spacing w:line="360" w:lineRule="auto"/>
        <w:ind w:right="-2"/>
        <w:jc w:val="center"/>
        <w:rPr>
          <w:rFonts w:ascii="Times New Roman" w:hAnsi="Times New Roman" w:eastAsia="黑体" w:cs="Times New Roman"/>
          <w:color w:val="auto"/>
          <w:sz w:val="24"/>
        </w:rPr>
      </w:pPr>
      <w:bookmarkStart w:id="7" w:name="_Toc261276416"/>
      <w:bookmarkStart w:id="8" w:name="_Toc262026161"/>
      <w:bookmarkStart w:id="9" w:name="_Toc258945390"/>
      <w:bookmarkStart w:id="10" w:name="_Toc262026332"/>
      <w:bookmarkStart w:id="11" w:name="_Toc268531098"/>
      <w:bookmarkStart w:id="12" w:name="_Toc262025715"/>
      <w:bookmarkStart w:id="13" w:name="_Toc261595538"/>
      <w:bookmarkStart w:id="14" w:name="_Toc261597618"/>
      <w:r>
        <w:rPr>
          <w:rFonts w:hint="eastAsia" w:ascii="Times New Roman" w:hAnsi="Times New Roman" w:eastAsia="黑体" w:cs="Times New Roman"/>
          <w:color w:val="auto"/>
          <w:sz w:val="24"/>
        </w:rPr>
        <w:t>X</w:t>
      </w:r>
      <w:r>
        <w:rPr>
          <w:rFonts w:ascii="Times New Roman" w:hAnsi="Times New Roman" w:eastAsia="黑体" w:cs="Times New Roman"/>
          <w:color w:val="auto"/>
          <w:sz w:val="24"/>
        </w:rPr>
        <w:t>XX</w:t>
      </w:r>
    </w:p>
    <w:p w14:paraId="797F57D3">
      <w:pPr>
        <w:tabs>
          <w:tab w:val="center" w:pos="4200"/>
          <w:tab w:val="right" w:pos="8400"/>
        </w:tabs>
        <w:spacing w:line="360" w:lineRule="auto"/>
        <w:ind w:right="-2"/>
        <w:jc w:val="center"/>
        <w:rPr>
          <w:rFonts w:hint="eastAsia" w:ascii="Times New Roman" w:hAnsi="Times New Roman" w:eastAsia="黑体" w:cs="Times New Roman"/>
          <w:color w:val="auto"/>
          <w:sz w:val="24"/>
        </w:rPr>
      </w:pPr>
      <w:r>
        <w:rPr>
          <w:rFonts w:hint="eastAsia" w:ascii="Times New Roman" w:hAnsi="Times New Roman" w:eastAsia="黑体" w:cs="Times New Roman"/>
          <w:color w:val="auto"/>
          <w:sz w:val="24"/>
        </w:rPr>
        <w:t>202</w:t>
      </w:r>
      <w:r>
        <w:rPr>
          <w:rFonts w:hint="eastAsia" w:ascii="Times New Roman" w:hAnsi="Times New Roman" w:eastAsia="黑体" w:cs="Times New Roman"/>
          <w:color w:val="auto"/>
          <w:sz w:val="24"/>
          <w:lang w:val="en-US" w:eastAsia="zh-CN"/>
        </w:rPr>
        <w:t>X</w:t>
      </w:r>
      <w:r>
        <w:rPr>
          <w:rFonts w:hint="eastAsia" w:ascii="Times New Roman" w:hAnsi="Times New Roman" w:eastAsia="黑体" w:cs="Times New Roman"/>
          <w:color w:val="auto"/>
          <w:sz w:val="24"/>
        </w:rPr>
        <w:t xml:space="preserve">-XX-XX </w:t>
      </w:r>
      <w:bookmarkEnd w:id="7"/>
      <w:bookmarkEnd w:id="8"/>
      <w:bookmarkEnd w:id="9"/>
      <w:bookmarkEnd w:id="10"/>
      <w:bookmarkEnd w:id="11"/>
      <w:bookmarkEnd w:id="12"/>
      <w:bookmarkEnd w:id="13"/>
      <w:bookmarkEnd w:id="14"/>
      <w:r>
        <w:rPr>
          <w:rFonts w:hint="eastAsia" w:ascii="Times New Roman" w:hAnsi="Times New Roman" w:eastAsia="黑体" w:cs="Times New Roman"/>
          <w:color w:val="auto"/>
          <w:sz w:val="24"/>
        </w:rPr>
        <w:t xml:space="preserve">   成 都</w:t>
      </w:r>
    </w:p>
    <w:p w14:paraId="76998C42">
      <w:pPr>
        <w:spacing w:line="0" w:lineRule="atLeast"/>
        <w:jc w:val="center"/>
        <w:rPr>
          <w:rFonts w:hint="default" w:ascii="Times New Roman" w:hAnsi="Times New Roman" w:cs="Times New Roman"/>
          <w:sz w:val="15"/>
          <w:szCs w:val="15"/>
        </w:rPr>
        <w:sectPr>
          <w:pgSz w:w="11906" w:h="16838"/>
          <w:pgMar w:top="2098" w:right="1474" w:bottom="1417" w:left="1587" w:header="851" w:footer="992" w:gutter="0"/>
          <w:cols w:space="720" w:num="1"/>
          <w:rtlGutter w:val="0"/>
          <w:docGrid w:type="lines" w:linePitch="312" w:charSpace="0"/>
        </w:sectPr>
      </w:pPr>
    </w:p>
    <w:p w14:paraId="317F894E">
      <w:pPr>
        <w:spacing w:line="0" w:lineRule="atLeast"/>
        <w:jc w:val="center"/>
        <w:rPr>
          <w:rFonts w:hint="default" w:ascii="Times New Roman" w:hAnsi="Times New Roman" w:cs="Times New Roman"/>
          <w:sz w:val="15"/>
          <w:szCs w:val="15"/>
        </w:rPr>
      </w:pPr>
    </w:p>
    <w:p w14:paraId="2BC0DF62">
      <w:pPr>
        <w:tabs>
          <w:tab w:val="center" w:pos="4200"/>
          <w:tab w:val="right" w:pos="8400"/>
        </w:tabs>
        <w:spacing w:before="156" w:beforeLines="50" w:line="360" w:lineRule="auto"/>
        <w:ind w:right="-2"/>
        <w:jc w:val="center"/>
        <w:rPr>
          <w:rFonts w:ascii="Times New Roman" w:hAnsi="Times New Roman" w:eastAsia="黑体" w:cs="Times New Roman"/>
          <w:color w:val="auto"/>
          <w:sz w:val="28"/>
          <w:szCs w:val="28"/>
        </w:rPr>
      </w:pPr>
      <w:r>
        <w:rPr>
          <w:rFonts w:ascii="Times New Roman" w:hAnsi="Times New Roman" w:eastAsia="黑体" w:cs="Times New Roman"/>
          <w:color w:val="auto"/>
          <w:sz w:val="28"/>
          <w:szCs w:val="28"/>
        </w:rPr>
        <w:t>前    言</w:t>
      </w:r>
    </w:p>
    <w:p w14:paraId="60173520">
      <w:pPr>
        <w:tabs>
          <w:tab w:val="center" w:pos="4200"/>
          <w:tab w:val="right" w:pos="8400"/>
        </w:tabs>
        <w:spacing w:line="360" w:lineRule="auto"/>
        <w:ind w:right="-2"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根据四川省住房和城乡建设厅</w:t>
      </w:r>
      <w:r>
        <w:rPr>
          <w:rFonts w:hint="eastAsia" w:ascii="Times New Roman" w:hAnsi="Times New Roman" w:eastAsia="宋体" w:cs="Times New Roman"/>
          <w:color w:val="auto"/>
          <w:sz w:val="24"/>
        </w:rPr>
        <w:t>《2024年四川省工程建设地方标准制订计划》（川建标函〔2024〕3030号）</w:t>
      </w:r>
      <w:r>
        <w:rPr>
          <w:rFonts w:ascii="Times New Roman" w:hAnsi="Times New Roman" w:eastAsia="宋体" w:cs="Times New Roman"/>
          <w:color w:val="auto"/>
          <w:sz w:val="24"/>
        </w:rPr>
        <w:t>的要求，</w:t>
      </w:r>
      <w:r>
        <w:rPr>
          <w:rFonts w:hint="eastAsia" w:ascii="Times New Roman" w:hAnsi="Times New Roman" w:cs="Times New Roman"/>
          <w:color w:val="auto"/>
          <w:sz w:val="24"/>
          <w:lang w:val="en-US" w:eastAsia="zh-CN"/>
        </w:rPr>
        <w:t>由成都市建筑科学研究院有限公司、成都建工第九建筑工程有限公司、四川省建设工程造价总站</w:t>
      </w:r>
      <w:r>
        <w:rPr>
          <w:rFonts w:ascii="Times New Roman" w:hAnsi="Times New Roman" w:eastAsia="宋体" w:cs="Times New Roman"/>
          <w:color w:val="auto"/>
          <w:sz w:val="24"/>
        </w:rPr>
        <w:t>会同有关单位共同编制本标准。</w:t>
      </w:r>
    </w:p>
    <w:p w14:paraId="39C530D4">
      <w:pPr>
        <w:tabs>
          <w:tab w:val="center" w:pos="4200"/>
          <w:tab w:val="right" w:pos="8400"/>
        </w:tabs>
        <w:spacing w:line="360" w:lineRule="auto"/>
        <w:ind w:right="-2"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编制组经</w:t>
      </w:r>
      <w:r>
        <w:rPr>
          <w:rFonts w:hint="eastAsia" w:ascii="Times New Roman" w:hAnsi="Times New Roman" w:eastAsia="宋体" w:cs="Times New Roman"/>
          <w:color w:val="auto"/>
          <w:sz w:val="24"/>
        </w:rPr>
        <w:t>广泛</w:t>
      </w:r>
      <w:r>
        <w:rPr>
          <w:rFonts w:ascii="Times New Roman" w:hAnsi="Times New Roman" w:eastAsia="宋体" w:cs="Times New Roman"/>
          <w:color w:val="auto"/>
          <w:sz w:val="24"/>
        </w:rPr>
        <w:t>调查研究，认真总结实践经验，参考有关国内外标准，并在广泛征求意见基础上，</w:t>
      </w:r>
      <w:r>
        <w:rPr>
          <w:rFonts w:hint="eastAsia" w:ascii="Times New Roman" w:hAnsi="Times New Roman" w:eastAsia="宋体" w:cs="Times New Roman"/>
          <w:color w:val="auto"/>
          <w:sz w:val="24"/>
        </w:rPr>
        <w:t>编制</w:t>
      </w:r>
      <w:r>
        <w:rPr>
          <w:rFonts w:ascii="Times New Roman" w:hAnsi="Times New Roman" w:eastAsia="宋体" w:cs="Times New Roman"/>
          <w:color w:val="auto"/>
          <w:sz w:val="24"/>
        </w:rPr>
        <w:t>本标准。</w:t>
      </w:r>
    </w:p>
    <w:p w14:paraId="4586DCB1">
      <w:pPr>
        <w:tabs>
          <w:tab w:val="center" w:pos="4200"/>
          <w:tab w:val="right" w:pos="8400"/>
        </w:tabs>
        <w:spacing w:line="360" w:lineRule="auto"/>
        <w:ind w:right="-2"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本标准共分为</w:t>
      </w:r>
      <w:r>
        <w:rPr>
          <w:rFonts w:hint="eastAsia" w:ascii="Times New Roman" w:hAnsi="Times New Roman" w:cs="Times New Roman"/>
          <w:color w:val="auto"/>
          <w:sz w:val="24"/>
          <w:lang w:val="en-US" w:eastAsia="zh-CN"/>
        </w:rPr>
        <w:t>8</w:t>
      </w:r>
      <w:r>
        <w:rPr>
          <w:rFonts w:ascii="Times New Roman" w:hAnsi="Times New Roman" w:eastAsia="宋体" w:cs="Times New Roman"/>
          <w:color w:val="auto"/>
          <w:sz w:val="24"/>
        </w:rPr>
        <w:t>章，主要内容包括：</w:t>
      </w:r>
      <w:r>
        <w:rPr>
          <w:rFonts w:hint="eastAsia" w:ascii="Times New Roman" w:hAnsi="Times New Roman" w:cs="Times New Roman"/>
          <w:color w:val="auto"/>
          <w:sz w:val="24"/>
          <w:lang w:val="en-US" w:eastAsia="zh-CN"/>
        </w:rPr>
        <w:t xml:space="preserve">1  </w:t>
      </w:r>
      <w:r>
        <w:rPr>
          <w:rFonts w:ascii="Times New Roman" w:hAnsi="Times New Roman" w:eastAsia="宋体" w:cs="Times New Roman"/>
          <w:color w:val="auto"/>
          <w:sz w:val="24"/>
        </w:rPr>
        <w:t>总则</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 xml:space="preserve">2  </w:t>
      </w:r>
      <w:r>
        <w:rPr>
          <w:rFonts w:ascii="Times New Roman" w:hAnsi="Times New Roman" w:eastAsia="宋体" w:cs="Times New Roman"/>
          <w:color w:val="auto"/>
          <w:sz w:val="24"/>
        </w:rPr>
        <w:t>术语和符号</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 xml:space="preserve">3  </w:t>
      </w:r>
      <w:r>
        <w:rPr>
          <w:rFonts w:ascii="Times New Roman" w:hAnsi="Times New Roman" w:eastAsia="宋体" w:cs="Times New Roman"/>
          <w:color w:val="auto"/>
          <w:sz w:val="24"/>
        </w:rPr>
        <w:t>基本规定</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 xml:space="preserve">4  基坑工程安全性鉴定；5  </w:t>
      </w:r>
      <w:r>
        <w:rPr>
          <w:rFonts w:cs="Times New Roman" w:eastAsiaTheme="minorEastAsia"/>
          <w:szCs w:val="30"/>
        </w:rPr>
        <w:t>基坑工程加固设计</w:t>
      </w:r>
      <w:r>
        <w:rPr>
          <w:rFonts w:hint="eastAsia" w:ascii="Times New Roman" w:hAnsi="Times New Roman" w:cs="Times New Roman"/>
          <w:color w:val="auto"/>
          <w:sz w:val="24"/>
          <w:lang w:val="en-US" w:eastAsia="zh-CN"/>
        </w:rPr>
        <w:t xml:space="preserve">；6  </w:t>
      </w:r>
      <w:r>
        <w:rPr>
          <w:rFonts w:hint="eastAsia" w:ascii="Times New Roman" w:hAnsi="Times New Roman" w:cs="Times New Roman" w:eastAsiaTheme="minorEastAsia"/>
          <w:bCs w:val="0"/>
          <w:szCs w:val="30"/>
          <w:lang w:val="en-US" w:eastAsia="zh-CN" w:bidi="ar-SA"/>
        </w:rPr>
        <w:t xml:space="preserve">基坑工程加固施工；7  </w:t>
      </w:r>
      <w:r>
        <w:rPr>
          <w:rFonts w:hint="eastAsia" w:ascii="Times New Roman" w:hAnsi="Times New Roman" w:cs="Times New Roman" w:eastAsiaTheme="minorEastAsia"/>
          <w:szCs w:val="30"/>
          <w:highlight w:val="none"/>
          <w:lang w:val="en-US" w:eastAsia="zh-CN"/>
        </w:rPr>
        <w:t>基坑工程监测</w:t>
      </w:r>
      <w:r>
        <w:rPr>
          <w:rFonts w:hint="eastAsia" w:ascii="Times New Roman" w:hAnsi="Times New Roman" w:cs="Times New Roman" w:eastAsiaTheme="minorEastAsia"/>
          <w:bCs w:val="0"/>
          <w:szCs w:val="30"/>
          <w:lang w:val="en-US" w:eastAsia="zh-CN" w:bidi="ar-SA"/>
        </w:rPr>
        <w:t xml:space="preserve">；8  </w:t>
      </w:r>
      <w:r>
        <w:rPr>
          <w:rFonts w:hint="default" w:ascii="Times New Roman" w:hAnsi="Times New Roman" w:cs="Times New Roman" w:eastAsiaTheme="minorEastAsia"/>
          <w:szCs w:val="30"/>
          <w:lang w:val="en-US" w:eastAsia="zh-CN"/>
        </w:rPr>
        <w:t>检测与验收</w:t>
      </w:r>
      <w:r>
        <w:rPr>
          <w:rFonts w:ascii="Times New Roman" w:hAnsi="Times New Roman" w:eastAsia="宋体" w:cs="Times New Roman"/>
          <w:color w:val="auto"/>
          <w:sz w:val="24"/>
        </w:rPr>
        <w:t>。</w:t>
      </w:r>
    </w:p>
    <w:p w14:paraId="794D93E9">
      <w:pPr>
        <w:tabs>
          <w:tab w:val="center" w:pos="4200"/>
          <w:tab w:val="right" w:pos="8400"/>
        </w:tabs>
        <w:spacing w:line="360" w:lineRule="auto"/>
        <w:ind w:right="-2"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本标准由四川省住房和城乡建设厅负责管理</w:t>
      </w:r>
      <w:r>
        <w:rPr>
          <w:rFonts w:hint="eastAsia" w:ascii="Times New Roman" w:hAnsi="Times New Roman" w:cs="Times New Roman"/>
          <w:color w:val="auto"/>
          <w:sz w:val="24"/>
          <w:lang w:eastAsia="zh-CN"/>
        </w:rPr>
        <w:t>，</w:t>
      </w:r>
      <w:r>
        <w:rPr>
          <w:rFonts w:ascii="Times New Roman" w:hAnsi="Times New Roman" w:eastAsia="宋体" w:cs="Times New Roman"/>
          <w:color w:val="auto"/>
          <w:sz w:val="24"/>
        </w:rPr>
        <w:t>由</w:t>
      </w:r>
      <w:r>
        <w:rPr>
          <w:rFonts w:hint="eastAsia" w:ascii="Times New Roman" w:hAnsi="Times New Roman" w:cs="Times New Roman"/>
          <w:color w:val="auto"/>
          <w:sz w:val="24"/>
          <w:lang w:val="en-US" w:eastAsia="zh-CN"/>
        </w:rPr>
        <w:t>成都市建筑科学研究院有限公司</w:t>
      </w:r>
      <w:r>
        <w:rPr>
          <w:rFonts w:ascii="Times New Roman" w:hAnsi="Times New Roman" w:eastAsia="宋体" w:cs="Times New Roman"/>
          <w:color w:val="auto"/>
          <w:sz w:val="24"/>
        </w:rPr>
        <w:t>负责具体技术内容的解释。执行过程中如有意见或建议，请反馈给</w:t>
      </w:r>
      <w:r>
        <w:rPr>
          <w:rFonts w:hint="eastAsia" w:ascii="Times New Roman" w:hAnsi="Times New Roman" w:eastAsia="宋体" w:cs="Times New Roman"/>
          <w:color w:val="auto"/>
          <w:sz w:val="24"/>
        </w:rPr>
        <w:t>成都市建筑科学研究院有限公司</w:t>
      </w:r>
      <w:r>
        <w:rPr>
          <w:rFonts w:ascii="Times New Roman" w:hAnsi="Times New Roman" w:eastAsia="宋体" w:cs="Times New Roman"/>
          <w:color w:val="auto"/>
          <w:sz w:val="24"/>
        </w:rPr>
        <w:t>（地址：</w:t>
      </w:r>
      <w:r>
        <w:rPr>
          <w:rFonts w:hint="eastAsia" w:ascii="Times New Roman" w:hAnsi="Times New Roman" w:cs="Times New Roman"/>
          <w:color w:val="auto"/>
          <w:sz w:val="24"/>
          <w:lang w:val="en-US" w:eastAsia="zh-CN"/>
        </w:rPr>
        <w:t>四川省成都市成华区双建南巷17号</w:t>
      </w:r>
      <w:r>
        <w:rPr>
          <w:rFonts w:ascii="Times New Roman" w:hAnsi="Times New Roman" w:eastAsia="宋体" w:cs="Times New Roman"/>
          <w:color w:val="auto"/>
          <w:sz w:val="24"/>
        </w:rPr>
        <w:t>，邮政编码：</w:t>
      </w:r>
      <w:r>
        <w:rPr>
          <w:rFonts w:hint="eastAsia" w:ascii="Times New Roman" w:hAnsi="Times New Roman" w:cs="Times New Roman"/>
          <w:color w:val="auto"/>
          <w:sz w:val="24"/>
          <w:lang w:val="en-US" w:eastAsia="zh-CN"/>
        </w:rPr>
        <w:t>610051</w:t>
      </w:r>
      <w:r>
        <w:rPr>
          <w:rFonts w:ascii="Times New Roman" w:hAnsi="Times New Roman" w:eastAsia="宋体" w:cs="Times New Roman"/>
          <w:color w:val="auto"/>
          <w:sz w:val="24"/>
        </w:rPr>
        <w:t>）。</w:t>
      </w:r>
    </w:p>
    <w:p w14:paraId="6253CBF2">
      <w:pPr>
        <w:tabs>
          <w:tab w:val="center" w:pos="4200"/>
          <w:tab w:val="right" w:pos="8400"/>
        </w:tabs>
        <w:spacing w:line="360" w:lineRule="auto"/>
        <w:ind w:right="-2" w:firstLine="480" w:firstLineChars="200"/>
        <w:rPr>
          <w:rFonts w:hint="default" w:ascii="Times New Roman" w:hAnsi="Times New Roman" w:eastAsia="宋体" w:cs="Times New Roman"/>
          <w:color w:val="auto"/>
          <w:sz w:val="24"/>
          <w:lang w:val="en-US" w:eastAsia="zh-CN"/>
        </w:rPr>
      </w:pPr>
      <w:r>
        <w:rPr>
          <w:rFonts w:ascii="Times New Roman" w:hAnsi="Times New Roman" w:eastAsia="宋体" w:cs="Times New Roman"/>
          <w:color w:val="auto"/>
          <w:sz w:val="24"/>
        </w:rPr>
        <w:t>主编单位：</w:t>
      </w:r>
      <w:r>
        <w:rPr>
          <w:rFonts w:hint="eastAsia" w:ascii="Times New Roman" w:hAnsi="Times New Roman" w:eastAsia="宋体" w:cs="Times New Roman"/>
          <w:color w:val="auto"/>
          <w:sz w:val="24"/>
          <w:lang w:val="en-US" w:eastAsia="zh-CN"/>
        </w:rPr>
        <w:t xml:space="preserve"> </w:t>
      </w:r>
      <w:r>
        <w:rPr>
          <w:rFonts w:ascii="Times New Roman" w:hAnsi="Times New Roman" w:eastAsia="宋体" w:cs="Times New Roman"/>
          <w:color w:val="auto"/>
          <w:sz w:val="24"/>
        </w:rPr>
        <w:t xml:space="preserve"> </w:t>
      </w:r>
      <w:r>
        <w:rPr>
          <w:rFonts w:hint="eastAsia" w:ascii="Times New Roman" w:hAnsi="Times New Roman" w:cs="Times New Roman"/>
          <w:color w:val="auto"/>
          <w:sz w:val="24"/>
          <w:lang w:val="en-US" w:eastAsia="zh-CN"/>
        </w:rPr>
        <w:t>成都市建筑科学研究院有限公司</w:t>
      </w:r>
    </w:p>
    <w:p w14:paraId="6D92DC4B">
      <w:pPr>
        <w:tabs>
          <w:tab w:val="center" w:pos="4200"/>
          <w:tab w:val="right" w:pos="8400"/>
        </w:tabs>
        <w:spacing w:line="360" w:lineRule="auto"/>
        <w:ind w:right="-2" w:firstLine="1920" w:firstLineChars="8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成都建工第九建筑工程有限公司</w:t>
      </w:r>
    </w:p>
    <w:p w14:paraId="61536836">
      <w:pPr>
        <w:tabs>
          <w:tab w:val="center" w:pos="4200"/>
          <w:tab w:val="right" w:pos="8400"/>
        </w:tabs>
        <w:spacing w:line="360" w:lineRule="auto"/>
        <w:ind w:right="-2" w:firstLine="1920" w:firstLineChars="8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四川省建设工程造价总站</w:t>
      </w:r>
    </w:p>
    <w:p w14:paraId="7381687D">
      <w:pPr>
        <w:tabs>
          <w:tab w:val="center" w:pos="4200"/>
          <w:tab w:val="right" w:pos="8400"/>
        </w:tabs>
        <w:spacing w:line="360" w:lineRule="auto"/>
        <w:ind w:right="-2" w:firstLine="480" w:firstLineChars="200"/>
        <w:rPr>
          <w:rFonts w:hint="eastAsia" w:ascii="Times New Roman" w:hAnsi="Times New Roman" w:eastAsia="宋体" w:cs="Times New Roman"/>
          <w:color w:val="auto"/>
          <w:sz w:val="24"/>
        </w:rPr>
      </w:pPr>
      <w:r>
        <w:rPr>
          <w:rFonts w:ascii="Times New Roman" w:hAnsi="Times New Roman" w:eastAsia="宋体" w:cs="Times New Roman"/>
          <w:color w:val="auto"/>
          <w:sz w:val="24"/>
        </w:rPr>
        <w:t xml:space="preserve">参编单位：  </w:t>
      </w:r>
      <w:r>
        <w:rPr>
          <w:rFonts w:hint="eastAsia" w:ascii="Times New Roman" w:hAnsi="Times New Roman" w:eastAsia="宋体" w:cs="Times New Roman"/>
          <w:color w:val="auto"/>
          <w:sz w:val="24"/>
        </w:rPr>
        <w:t>成都设计咨询集团</w:t>
      </w:r>
    </w:p>
    <w:p w14:paraId="7E9FE80B">
      <w:pPr>
        <w:tabs>
          <w:tab w:val="center" w:pos="4200"/>
          <w:tab w:val="right" w:pos="8400"/>
        </w:tabs>
        <w:spacing w:line="360" w:lineRule="auto"/>
        <w:ind w:right="-2" w:firstLine="1920" w:firstLineChars="8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成都市建科院工程质量检测有限公司</w:t>
      </w:r>
    </w:p>
    <w:p w14:paraId="77F27A97">
      <w:pPr>
        <w:tabs>
          <w:tab w:val="center" w:pos="4200"/>
          <w:tab w:val="right" w:pos="8400"/>
        </w:tabs>
        <w:spacing w:line="360" w:lineRule="auto"/>
        <w:ind w:right="-2" w:firstLine="1920" w:firstLineChars="8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中冶成都勘察研究总院有限公司</w:t>
      </w:r>
    </w:p>
    <w:p w14:paraId="43C196BF">
      <w:pPr>
        <w:tabs>
          <w:tab w:val="center" w:pos="4200"/>
          <w:tab w:val="right" w:pos="8400"/>
        </w:tabs>
        <w:spacing w:line="360" w:lineRule="auto"/>
        <w:ind w:right="-2" w:firstLine="1920" w:firstLineChars="8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成都市建设工程施工安全监督站</w:t>
      </w:r>
    </w:p>
    <w:p w14:paraId="234CAA5B">
      <w:pPr>
        <w:tabs>
          <w:tab w:val="center" w:pos="4200"/>
          <w:tab w:val="right" w:pos="8400"/>
        </w:tabs>
        <w:spacing w:line="360" w:lineRule="auto"/>
        <w:ind w:right="-2" w:firstLine="1920" w:firstLineChars="8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四川省川建勘察设计院有限公司</w:t>
      </w:r>
    </w:p>
    <w:p w14:paraId="3EC69F2F">
      <w:pPr>
        <w:tabs>
          <w:tab w:val="center" w:pos="4200"/>
          <w:tab w:val="right" w:pos="8400"/>
        </w:tabs>
        <w:spacing w:line="360" w:lineRule="auto"/>
        <w:ind w:right="-2" w:firstLine="1920" w:firstLineChars="8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成都市建设工程质量监督站</w:t>
      </w:r>
    </w:p>
    <w:p w14:paraId="71DBAFE7">
      <w:pPr>
        <w:tabs>
          <w:tab w:val="center" w:pos="4200"/>
          <w:tab w:val="right" w:pos="8400"/>
        </w:tabs>
        <w:spacing w:line="360" w:lineRule="auto"/>
        <w:ind w:right="-2" w:firstLine="1920" w:firstLineChars="8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四川省地质工程勘察院集团有限公司</w:t>
      </w:r>
    </w:p>
    <w:p w14:paraId="5497C545">
      <w:pPr>
        <w:tabs>
          <w:tab w:val="center" w:pos="4200"/>
          <w:tab w:val="right" w:pos="8400"/>
        </w:tabs>
        <w:spacing w:line="360" w:lineRule="auto"/>
        <w:ind w:right="-2" w:firstLine="1920" w:firstLineChars="8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中国建筑西南勘察设计研究院有限公司</w:t>
      </w:r>
    </w:p>
    <w:p w14:paraId="2A066270">
      <w:pPr>
        <w:tabs>
          <w:tab w:val="center" w:pos="4200"/>
          <w:tab w:val="right" w:pos="8400"/>
        </w:tabs>
        <w:spacing w:line="360" w:lineRule="auto"/>
        <w:ind w:right="-2" w:firstLine="1920" w:firstLineChars="8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中节能建设工程设计院有限公司</w:t>
      </w:r>
    </w:p>
    <w:p w14:paraId="5BBEED64">
      <w:pPr>
        <w:tabs>
          <w:tab w:val="center" w:pos="4200"/>
          <w:tab w:val="right" w:pos="8400"/>
        </w:tabs>
        <w:spacing w:line="360" w:lineRule="auto"/>
        <w:ind w:right="-2" w:firstLine="1920" w:firstLineChars="8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成都高新未来科技城发展集团有限公司</w:t>
      </w:r>
    </w:p>
    <w:p w14:paraId="3F9FEAFC">
      <w:pPr>
        <w:keepNext w:val="0"/>
        <w:keepLines w:val="0"/>
        <w:pageBreakBefore w:val="0"/>
        <w:widowControl w:val="0"/>
        <w:tabs>
          <w:tab w:val="center" w:pos="4200"/>
          <w:tab w:val="right" w:pos="8400"/>
        </w:tabs>
        <w:kinsoku/>
        <w:wordWrap/>
        <w:overflowPunct/>
        <w:topLinePunct w:val="0"/>
        <w:autoSpaceDE/>
        <w:autoSpaceDN/>
        <w:bidi w:val="0"/>
        <w:adjustRightInd/>
        <w:snapToGrid/>
        <w:spacing w:line="360" w:lineRule="auto"/>
        <w:ind w:right="0" w:firstLine="480" w:firstLineChars="200"/>
        <w:textAlignment w:val="auto"/>
        <w:rPr>
          <w:rFonts w:hint="eastAsia" w:cs="Times New Roman"/>
          <w:color w:val="auto"/>
          <w:sz w:val="24"/>
          <w:lang w:val="en-US" w:eastAsia="zh-CN"/>
        </w:rPr>
      </w:pPr>
      <w:r>
        <w:rPr>
          <w:rFonts w:hint="eastAsia" w:cs="Times New Roman"/>
          <w:color w:val="auto"/>
          <w:sz w:val="24"/>
          <w:lang w:val="en-US" w:eastAsia="zh-CN"/>
        </w:rPr>
        <w:t>参加单位：  四川天府新区产业投资有限公司</w:t>
      </w:r>
    </w:p>
    <w:p w14:paraId="79705407">
      <w:pPr>
        <w:tabs>
          <w:tab w:val="center" w:pos="4200"/>
          <w:tab w:val="right" w:pos="8400"/>
        </w:tabs>
        <w:spacing w:line="360" w:lineRule="auto"/>
        <w:ind w:right="-2" w:firstLine="1920" w:firstLineChars="8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四川天府新区城市建设公司</w:t>
      </w:r>
    </w:p>
    <w:p w14:paraId="564E1316">
      <w:pPr>
        <w:tabs>
          <w:tab w:val="center" w:pos="4200"/>
          <w:tab w:val="right" w:pos="8400"/>
        </w:tabs>
        <w:spacing w:line="360" w:lineRule="auto"/>
        <w:ind w:right="-2" w:firstLine="1920" w:firstLineChars="8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成都兴锦城市更新建设公司</w:t>
      </w:r>
    </w:p>
    <w:p w14:paraId="296E10B8">
      <w:pPr>
        <w:keepNext w:val="0"/>
        <w:keepLines w:val="0"/>
        <w:pageBreakBefore w:val="0"/>
        <w:widowControl w:val="0"/>
        <w:tabs>
          <w:tab w:val="center" w:pos="4200"/>
          <w:tab w:val="right" w:pos="8400"/>
        </w:tabs>
        <w:kinsoku/>
        <w:wordWrap/>
        <w:overflowPunct/>
        <w:topLinePunct w:val="0"/>
        <w:autoSpaceDE/>
        <w:autoSpaceDN/>
        <w:bidi w:val="0"/>
        <w:adjustRightInd/>
        <w:snapToGrid/>
        <w:spacing w:line="360" w:lineRule="auto"/>
        <w:ind w:right="0" w:firstLine="480" w:firstLineChars="200"/>
        <w:textAlignment w:val="auto"/>
        <w:rPr>
          <w:rFonts w:ascii="Times New Roman" w:hAnsi="Times New Roman" w:eastAsia="宋体" w:cs="Times New Roman"/>
          <w:b/>
          <w:color w:val="auto"/>
          <w:sz w:val="24"/>
        </w:rPr>
      </w:pPr>
      <w:r>
        <w:rPr>
          <w:rFonts w:ascii="Times New Roman" w:hAnsi="Times New Roman" w:eastAsia="宋体" w:cs="Times New Roman"/>
          <w:color w:val="auto"/>
          <w:sz w:val="24"/>
        </w:rPr>
        <w:t>主要起草人：</w:t>
      </w:r>
    </w:p>
    <w:p w14:paraId="33C45FC4">
      <w:pPr>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sz w:val="28"/>
          <w:szCs w:val="28"/>
          <w:lang w:val="en-US" w:eastAsia="zh-CN"/>
        </w:rPr>
        <w:sectPr>
          <w:pgSz w:w="11906" w:h="16838"/>
          <w:pgMar w:top="2098" w:right="1474" w:bottom="1417" w:left="1587" w:header="851" w:footer="992" w:gutter="0"/>
          <w:cols w:space="720" w:num="1"/>
          <w:rtlGutter w:val="0"/>
          <w:docGrid w:type="lines" w:linePitch="312" w:charSpace="0"/>
        </w:sectPr>
      </w:pPr>
      <w:r>
        <w:rPr>
          <w:rFonts w:ascii="Times New Roman" w:hAnsi="Times New Roman" w:eastAsia="宋体" w:cs="Times New Roman"/>
          <w:color w:val="auto"/>
          <w:sz w:val="24"/>
        </w:rPr>
        <w:t>主要审查人：</w:t>
      </w:r>
    </w:p>
    <w:p w14:paraId="44F337C2">
      <w:pPr>
        <w:pageBreakBefore w:val="0"/>
        <w:widowControl w:val="0"/>
        <w:tabs>
          <w:tab w:val="right" w:leader="dot" w:pos="8306"/>
        </w:tabs>
        <w:kinsoku/>
        <w:wordWrap/>
        <w:overflowPunct/>
        <w:topLinePunct w:val="0"/>
        <w:bidi w:val="0"/>
        <w:spacing w:line="360" w:lineRule="auto"/>
        <w:ind w:left="0" w:leftChars="0"/>
        <w:jc w:val="center"/>
        <w:rPr>
          <w:rFonts w:hint="default" w:ascii="Times New Roman" w:hAnsi="Times New Roman" w:eastAsia="宋体" w:cs="Times New Roman"/>
          <w:kern w:val="2"/>
          <w:sz w:val="28"/>
          <w:szCs w:val="28"/>
          <w:lang w:val="en-US" w:eastAsia="zh-CN" w:bidi="ar-SA"/>
        </w:rPr>
      </w:pPr>
      <w:r>
        <w:rPr>
          <w:rFonts w:hint="default" w:ascii="Times New Roman" w:hAnsi="Times New Roman" w:eastAsia="宋体" w:cs="Times New Roman"/>
          <w:kern w:val="2"/>
          <w:sz w:val="28"/>
          <w:szCs w:val="28"/>
          <w:lang w:val="en-US" w:eastAsia="zh-CN" w:bidi="ar-SA"/>
        </w:rPr>
        <w:t xml:space="preserve"> 目  次</w:t>
      </w:r>
    </w:p>
    <w:p w14:paraId="14AF1629">
      <w:pPr>
        <w:pStyle w:val="10"/>
        <w:tabs>
          <w:tab w:val="right" w:leader="dot" w:pos="8845"/>
        </w:tabs>
      </w:pPr>
      <w:r>
        <w:rPr>
          <w:rFonts w:hint="default" w:ascii="Times New Roman" w:hAnsi="Times New Roman" w:eastAsia="宋体" w:cs="Times New Roman"/>
          <w:kern w:val="2"/>
          <w:sz w:val="24"/>
          <w:lang w:val="en-US" w:eastAsia="zh-CN" w:bidi="ar-SA"/>
        </w:rPr>
        <w:fldChar w:fldCharType="begin"/>
      </w:r>
      <w:r>
        <w:rPr>
          <w:rFonts w:hint="default" w:ascii="Times New Roman" w:hAnsi="Times New Roman" w:eastAsia="宋体" w:cs="Times New Roman"/>
          <w:kern w:val="2"/>
          <w:sz w:val="24"/>
          <w:lang w:val="en-US" w:eastAsia="zh-CN" w:bidi="ar-SA"/>
        </w:rPr>
        <w:instrText xml:space="preserve">TOC \o "1-2" \h \u </w:instrText>
      </w:r>
      <w:r>
        <w:rPr>
          <w:rFonts w:hint="default" w:ascii="Times New Roman" w:hAnsi="Times New Roman" w:eastAsia="宋体" w:cs="Times New Roman"/>
          <w:kern w:val="2"/>
          <w:sz w:val="24"/>
          <w:lang w:val="en-US" w:eastAsia="zh-CN" w:bidi="ar-SA"/>
        </w:rPr>
        <w:fldChar w:fldCharType="separate"/>
      </w:r>
      <w:r>
        <w:rPr>
          <w:rFonts w:hint="default" w:ascii="Times New Roman" w:hAnsi="Times New Roman" w:eastAsia="宋体" w:cs="Times New Roman"/>
          <w:kern w:val="2"/>
          <w:lang w:val="en-US" w:eastAsia="zh-CN" w:bidi="ar-SA"/>
        </w:rPr>
        <w:fldChar w:fldCharType="begin"/>
      </w:r>
      <w:r>
        <w:rPr>
          <w:rFonts w:hint="default" w:ascii="Times New Roman" w:hAnsi="Times New Roman" w:eastAsia="宋体" w:cs="Times New Roman"/>
          <w:kern w:val="2"/>
          <w:lang w:val="en-US" w:eastAsia="zh-CN" w:bidi="ar-SA"/>
        </w:rPr>
        <w:instrText xml:space="preserve"> HYPERLINK \l _Toc15364 </w:instrText>
      </w:r>
      <w:r>
        <w:rPr>
          <w:rFonts w:hint="default" w:ascii="Times New Roman" w:hAnsi="Times New Roman" w:eastAsia="宋体" w:cs="Times New Roman"/>
          <w:kern w:val="2"/>
          <w:lang w:val="en-US" w:eastAsia="zh-CN" w:bidi="ar-SA"/>
        </w:rPr>
        <w:fldChar w:fldCharType="separate"/>
      </w:r>
      <w:r>
        <w:rPr>
          <w:rFonts w:hint="default" w:ascii="Times New Roman" w:hAnsi="Times New Roman" w:cs="Times New Roman" w:eastAsiaTheme="minorEastAsia"/>
          <w:bCs w:val="0"/>
          <w:szCs w:val="30"/>
          <w:lang w:val="en-US" w:eastAsia="zh-CN" w:bidi="ar-SA"/>
        </w:rPr>
        <w:t>1  总  则</w:t>
      </w:r>
      <w:r>
        <w:tab/>
      </w:r>
      <w:r>
        <w:fldChar w:fldCharType="begin"/>
      </w:r>
      <w:r>
        <w:instrText xml:space="preserve"> PAGEREF _Toc15364 \h </w:instrText>
      </w:r>
      <w:r>
        <w:fldChar w:fldCharType="separate"/>
      </w:r>
      <w:r>
        <w:t>7</w:t>
      </w:r>
      <w:r>
        <w:fldChar w:fldCharType="end"/>
      </w:r>
      <w:r>
        <w:rPr>
          <w:rFonts w:hint="default" w:ascii="Times New Roman" w:hAnsi="Times New Roman" w:eastAsia="宋体" w:cs="Times New Roman"/>
          <w:kern w:val="2"/>
          <w:lang w:val="en-US" w:eastAsia="zh-CN" w:bidi="ar-SA"/>
        </w:rPr>
        <w:fldChar w:fldCharType="end"/>
      </w:r>
    </w:p>
    <w:p w14:paraId="66F1A235">
      <w:pPr>
        <w:pStyle w:val="10"/>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_Toc21503 </w:instrText>
      </w:r>
      <w:r>
        <w:rPr>
          <w:rFonts w:hint="default" w:ascii="Times New Roman" w:hAnsi="Times New Roman" w:cs="Times New Roman"/>
          <w:szCs w:val="20"/>
        </w:rPr>
        <w:fldChar w:fldCharType="separate"/>
      </w:r>
      <w:r>
        <w:rPr>
          <w:rFonts w:hint="default" w:ascii="Times New Roman" w:hAnsi="Times New Roman" w:cs="Times New Roman" w:eastAsiaTheme="minorEastAsia"/>
          <w:bCs w:val="0"/>
          <w:szCs w:val="30"/>
          <w:lang w:val="en-US" w:eastAsia="zh-CN" w:bidi="ar-SA"/>
        </w:rPr>
        <w:t>2  术语与符号</w:t>
      </w:r>
      <w:r>
        <w:tab/>
      </w:r>
      <w:r>
        <w:fldChar w:fldCharType="begin"/>
      </w:r>
      <w:r>
        <w:instrText xml:space="preserve"> PAGEREF _Toc21503 \h </w:instrText>
      </w:r>
      <w:r>
        <w:fldChar w:fldCharType="separate"/>
      </w:r>
      <w:r>
        <w:t>8</w:t>
      </w:r>
      <w:r>
        <w:fldChar w:fldCharType="end"/>
      </w:r>
      <w:r>
        <w:rPr>
          <w:rFonts w:hint="default" w:ascii="Times New Roman" w:hAnsi="Times New Roman" w:cs="Times New Roman"/>
          <w:szCs w:val="20"/>
        </w:rPr>
        <w:fldChar w:fldCharType="end"/>
      </w:r>
    </w:p>
    <w:p w14:paraId="7CA89BF3">
      <w:pPr>
        <w:pStyle w:val="11"/>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_Toc23643 </w:instrText>
      </w:r>
      <w:r>
        <w:rPr>
          <w:rFonts w:hint="default" w:ascii="Times New Roman" w:hAnsi="Times New Roman" w:cs="Times New Roman"/>
          <w:szCs w:val="20"/>
        </w:rPr>
        <w:fldChar w:fldCharType="separate"/>
      </w:r>
      <w:r>
        <w:rPr>
          <w:rFonts w:hint="default" w:ascii="Times New Roman" w:hAnsi="Times New Roman" w:cs="Times New Roman" w:eastAsiaTheme="minorEastAsia"/>
          <w:bCs w:val="0"/>
          <w:szCs w:val="28"/>
          <w:lang w:val="en-US" w:eastAsia="zh-CN" w:bidi="ar-SA"/>
        </w:rPr>
        <w:t>2.1术语</w:t>
      </w:r>
      <w:r>
        <w:tab/>
      </w:r>
      <w:r>
        <w:fldChar w:fldCharType="begin"/>
      </w:r>
      <w:r>
        <w:instrText xml:space="preserve"> PAGEREF _Toc23643 \h </w:instrText>
      </w:r>
      <w:r>
        <w:fldChar w:fldCharType="separate"/>
      </w:r>
      <w:r>
        <w:t>8</w:t>
      </w:r>
      <w:r>
        <w:fldChar w:fldCharType="end"/>
      </w:r>
      <w:r>
        <w:rPr>
          <w:rFonts w:hint="default" w:ascii="Times New Roman" w:hAnsi="Times New Roman" w:cs="Times New Roman"/>
          <w:szCs w:val="20"/>
        </w:rPr>
        <w:fldChar w:fldCharType="end"/>
      </w:r>
    </w:p>
    <w:p w14:paraId="4987B10F">
      <w:pPr>
        <w:pStyle w:val="11"/>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_Toc14029 </w:instrText>
      </w:r>
      <w:r>
        <w:rPr>
          <w:rFonts w:hint="default" w:ascii="Times New Roman" w:hAnsi="Times New Roman" w:cs="Times New Roman"/>
          <w:szCs w:val="20"/>
        </w:rPr>
        <w:fldChar w:fldCharType="separate"/>
      </w:r>
      <w:r>
        <w:rPr>
          <w:rFonts w:hint="default" w:ascii="Times New Roman" w:hAnsi="Times New Roman" w:cs="Times New Roman" w:eastAsiaTheme="minorEastAsia"/>
          <w:bCs w:val="0"/>
          <w:szCs w:val="28"/>
          <w:lang w:val="en-US" w:eastAsia="zh-CN" w:bidi="ar-SA"/>
        </w:rPr>
        <w:t>2.2符号</w:t>
      </w:r>
      <w:r>
        <w:tab/>
      </w:r>
      <w:r>
        <w:fldChar w:fldCharType="begin"/>
      </w:r>
      <w:r>
        <w:instrText xml:space="preserve"> PAGEREF _Toc14029 \h </w:instrText>
      </w:r>
      <w:r>
        <w:fldChar w:fldCharType="separate"/>
      </w:r>
      <w:r>
        <w:t>9</w:t>
      </w:r>
      <w:r>
        <w:fldChar w:fldCharType="end"/>
      </w:r>
      <w:r>
        <w:rPr>
          <w:rFonts w:hint="default" w:ascii="Times New Roman" w:hAnsi="Times New Roman" w:cs="Times New Roman"/>
          <w:szCs w:val="20"/>
        </w:rPr>
        <w:fldChar w:fldCharType="end"/>
      </w:r>
    </w:p>
    <w:p w14:paraId="06B98BC2">
      <w:pPr>
        <w:pStyle w:val="10"/>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_Toc24470 </w:instrText>
      </w:r>
      <w:r>
        <w:rPr>
          <w:rFonts w:hint="default" w:ascii="Times New Roman" w:hAnsi="Times New Roman" w:cs="Times New Roman"/>
          <w:szCs w:val="20"/>
        </w:rPr>
        <w:fldChar w:fldCharType="separate"/>
      </w:r>
      <w:r>
        <w:rPr>
          <w:rFonts w:hint="default" w:ascii="Times New Roman" w:hAnsi="Times New Roman" w:cs="Times New Roman" w:eastAsiaTheme="minorEastAsia"/>
          <w:bCs w:val="0"/>
          <w:szCs w:val="30"/>
          <w:lang w:val="en-US" w:eastAsia="zh-CN" w:bidi="ar-SA"/>
        </w:rPr>
        <w:t>3  基本规定</w:t>
      </w:r>
      <w:r>
        <w:tab/>
      </w:r>
      <w:r>
        <w:fldChar w:fldCharType="begin"/>
      </w:r>
      <w:r>
        <w:instrText xml:space="preserve"> PAGEREF _Toc24470 \h </w:instrText>
      </w:r>
      <w:r>
        <w:fldChar w:fldCharType="separate"/>
      </w:r>
      <w:r>
        <w:t>13</w:t>
      </w:r>
      <w:r>
        <w:fldChar w:fldCharType="end"/>
      </w:r>
      <w:r>
        <w:rPr>
          <w:rFonts w:hint="default" w:ascii="Times New Roman" w:hAnsi="Times New Roman" w:cs="Times New Roman"/>
          <w:szCs w:val="20"/>
        </w:rPr>
        <w:fldChar w:fldCharType="end"/>
      </w:r>
    </w:p>
    <w:p w14:paraId="6680A6E5">
      <w:pPr>
        <w:pStyle w:val="10"/>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_Toc17608 </w:instrText>
      </w:r>
      <w:r>
        <w:rPr>
          <w:rFonts w:hint="default" w:ascii="Times New Roman" w:hAnsi="Times New Roman" w:cs="Times New Roman"/>
          <w:szCs w:val="20"/>
        </w:rPr>
        <w:fldChar w:fldCharType="separate"/>
      </w:r>
      <w:r>
        <w:rPr>
          <w:rFonts w:hint="default" w:ascii="Times New Roman" w:hAnsi="Times New Roman" w:cs="Times New Roman" w:eastAsiaTheme="minorEastAsia"/>
          <w:bCs w:val="0"/>
          <w:szCs w:val="30"/>
          <w:lang w:bidi="ar-SA"/>
        </w:rPr>
        <w:t>4</w:t>
      </w:r>
      <w:r>
        <w:rPr>
          <w:rFonts w:hint="default" w:ascii="Times New Roman" w:hAnsi="Times New Roman" w:cs="Times New Roman" w:eastAsiaTheme="minorEastAsia"/>
          <w:bCs w:val="0"/>
          <w:szCs w:val="30"/>
          <w:lang w:val="en-US" w:eastAsia="zh-CN" w:bidi="ar-SA"/>
        </w:rPr>
        <w:t xml:space="preserve">  </w:t>
      </w:r>
      <w:r>
        <w:rPr>
          <w:rFonts w:hint="default" w:ascii="Times New Roman" w:hAnsi="Times New Roman" w:cs="Times New Roman" w:eastAsiaTheme="minorEastAsia"/>
          <w:bCs w:val="0"/>
          <w:szCs w:val="30"/>
          <w:lang w:bidi="ar-SA"/>
        </w:rPr>
        <w:t>基坑工程</w:t>
      </w:r>
      <w:r>
        <w:rPr>
          <w:rFonts w:hint="default" w:ascii="Times New Roman" w:hAnsi="Times New Roman" w:cs="Times New Roman" w:eastAsiaTheme="minorEastAsia"/>
          <w:bCs w:val="0"/>
          <w:spacing w:val="0"/>
          <w:szCs w:val="30"/>
          <w:lang w:eastAsia="zh-CN"/>
        </w:rPr>
        <w:t>安全性</w:t>
      </w:r>
      <w:r>
        <w:rPr>
          <w:rFonts w:hint="default" w:ascii="Times New Roman" w:hAnsi="Times New Roman" w:cs="Times New Roman" w:eastAsiaTheme="minorEastAsia"/>
          <w:bCs w:val="0"/>
          <w:szCs w:val="30"/>
          <w:lang w:bidi="ar-SA"/>
        </w:rPr>
        <w:t>鉴定</w:t>
      </w:r>
      <w:r>
        <w:tab/>
      </w:r>
      <w:r>
        <w:fldChar w:fldCharType="begin"/>
      </w:r>
      <w:r>
        <w:instrText xml:space="preserve"> PAGEREF _Toc17608 \h </w:instrText>
      </w:r>
      <w:r>
        <w:fldChar w:fldCharType="separate"/>
      </w:r>
      <w:r>
        <w:t>15</w:t>
      </w:r>
      <w:r>
        <w:fldChar w:fldCharType="end"/>
      </w:r>
      <w:r>
        <w:rPr>
          <w:rFonts w:hint="default" w:ascii="Times New Roman" w:hAnsi="Times New Roman" w:cs="Times New Roman"/>
          <w:szCs w:val="20"/>
        </w:rPr>
        <w:fldChar w:fldCharType="end"/>
      </w:r>
    </w:p>
    <w:p w14:paraId="4347B063">
      <w:pPr>
        <w:pStyle w:val="11"/>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_Toc7871 </w:instrText>
      </w:r>
      <w:r>
        <w:rPr>
          <w:rFonts w:hint="default" w:ascii="Times New Roman" w:hAnsi="Times New Roman" w:cs="Times New Roman"/>
          <w:szCs w:val="20"/>
        </w:rPr>
        <w:fldChar w:fldCharType="separate"/>
      </w:r>
      <w:r>
        <w:rPr>
          <w:rFonts w:hint="default" w:ascii="Times New Roman" w:hAnsi="Times New Roman" w:cs="Times New Roman" w:eastAsiaTheme="minorEastAsia"/>
          <w:bCs w:val="0"/>
          <w:szCs w:val="28"/>
          <w:lang w:val="en-US" w:eastAsia="zh-CN" w:bidi="ar-SA"/>
        </w:rPr>
        <w:t>4.1一般规定</w:t>
      </w:r>
      <w:r>
        <w:tab/>
      </w:r>
      <w:r>
        <w:fldChar w:fldCharType="begin"/>
      </w:r>
      <w:r>
        <w:instrText xml:space="preserve"> PAGEREF _Toc7871 \h </w:instrText>
      </w:r>
      <w:r>
        <w:fldChar w:fldCharType="separate"/>
      </w:r>
      <w:r>
        <w:t>15</w:t>
      </w:r>
      <w:r>
        <w:fldChar w:fldCharType="end"/>
      </w:r>
      <w:r>
        <w:rPr>
          <w:rFonts w:hint="default" w:ascii="Times New Roman" w:hAnsi="Times New Roman" w:cs="Times New Roman"/>
          <w:szCs w:val="20"/>
        </w:rPr>
        <w:fldChar w:fldCharType="end"/>
      </w:r>
    </w:p>
    <w:p w14:paraId="32DC0853">
      <w:pPr>
        <w:pStyle w:val="11"/>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_Toc15272 </w:instrText>
      </w:r>
      <w:r>
        <w:rPr>
          <w:rFonts w:hint="default" w:ascii="Times New Roman" w:hAnsi="Times New Roman" w:cs="Times New Roman"/>
          <w:szCs w:val="20"/>
        </w:rPr>
        <w:fldChar w:fldCharType="separate"/>
      </w:r>
      <w:r>
        <w:rPr>
          <w:rFonts w:hint="default" w:ascii="Times New Roman" w:hAnsi="Times New Roman" w:cs="Times New Roman" w:eastAsiaTheme="minorEastAsia"/>
          <w:bCs w:val="0"/>
          <w:szCs w:val="28"/>
          <w:lang w:val="en-US" w:eastAsia="zh-CN" w:bidi="ar-SA"/>
        </w:rPr>
        <w:t>4.2资料收集与分析</w:t>
      </w:r>
      <w:r>
        <w:tab/>
      </w:r>
      <w:r>
        <w:fldChar w:fldCharType="begin"/>
      </w:r>
      <w:r>
        <w:instrText xml:space="preserve"> PAGEREF _Toc15272 \h </w:instrText>
      </w:r>
      <w:r>
        <w:fldChar w:fldCharType="separate"/>
      </w:r>
      <w:r>
        <w:t>16</w:t>
      </w:r>
      <w:r>
        <w:fldChar w:fldCharType="end"/>
      </w:r>
      <w:r>
        <w:rPr>
          <w:rFonts w:hint="default" w:ascii="Times New Roman" w:hAnsi="Times New Roman" w:cs="Times New Roman"/>
          <w:szCs w:val="20"/>
        </w:rPr>
        <w:fldChar w:fldCharType="end"/>
      </w:r>
    </w:p>
    <w:p w14:paraId="5B83D5D3">
      <w:pPr>
        <w:pStyle w:val="11"/>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_Toc20017 </w:instrText>
      </w:r>
      <w:r>
        <w:rPr>
          <w:rFonts w:hint="default" w:ascii="Times New Roman" w:hAnsi="Times New Roman" w:cs="Times New Roman"/>
          <w:szCs w:val="20"/>
        </w:rPr>
        <w:fldChar w:fldCharType="separate"/>
      </w:r>
      <w:r>
        <w:rPr>
          <w:rFonts w:hint="default" w:ascii="Times New Roman" w:hAnsi="Times New Roman" w:cs="Times New Roman" w:eastAsiaTheme="minorEastAsia"/>
          <w:bCs w:val="0"/>
          <w:szCs w:val="28"/>
          <w:lang w:val="en-US" w:eastAsia="zh-CN" w:bidi="ar-SA"/>
        </w:rPr>
        <w:t>4.3现场勘查</w:t>
      </w:r>
      <w:r>
        <w:tab/>
      </w:r>
      <w:r>
        <w:fldChar w:fldCharType="begin"/>
      </w:r>
      <w:r>
        <w:instrText xml:space="preserve"> PAGEREF _Toc20017 \h </w:instrText>
      </w:r>
      <w:r>
        <w:fldChar w:fldCharType="separate"/>
      </w:r>
      <w:r>
        <w:t>17</w:t>
      </w:r>
      <w:r>
        <w:fldChar w:fldCharType="end"/>
      </w:r>
      <w:r>
        <w:rPr>
          <w:rFonts w:hint="default" w:ascii="Times New Roman" w:hAnsi="Times New Roman" w:cs="Times New Roman"/>
          <w:szCs w:val="20"/>
        </w:rPr>
        <w:fldChar w:fldCharType="end"/>
      </w:r>
    </w:p>
    <w:p w14:paraId="51C815C2">
      <w:pPr>
        <w:pStyle w:val="11"/>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_Toc23995 </w:instrText>
      </w:r>
      <w:r>
        <w:rPr>
          <w:rFonts w:hint="default" w:ascii="Times New Roman" w:hAnsi="Times New Roman" w:cs="Times New Roman"/>
          <w:szCs w:val="20"/>
        </w:rPr>
        <w:fldChar w:fldCharType="separate"/>
      </w:r>
      <w:r>
        <w:rPr>
          <w:rFonts w:hint="default" w:ascii="Times New Roman" w:hAnsi="Times New Roman" w:cs="Times New Roman" w:eastAsiaTheme="minorEastAsia"/>
          <w:bCs w:val="0"/>
          <w:szCs w:val="28"/>
          <w:lang w:val="en-US" w:eastAsia="zh-CN" w:bidi="ar-SA"/>
        </w:rPr>
        <w:t>4.4基坑支护结构检验检测</w:t>
      </w:r>
      <w:r>
        <w:tab/>
      </w:r>
      <w:r>
        <w:fldChar w:fldCharType="begin"/>
      </w:r>
      <w:r>
        <w:instrText xml:space="preserve"> PAGEREF _Toc23995 \h </w:instrText>
      </w:r>
      <w:r>
        <w:fldChar w:fldCharType="separate"/>
      </w:r>
      <w:r>
        <w:t>18</w:t>
      </w:r>
      <w:r>
        <w:fldChar w:fldCharType="end"/>
      </w:r>
      <w:r>
        <w:rPr>
          <w:rFonts w:hint="default" w:ascii="Times New Roman" w:hAnsi="Times New Roman" w:cs="Times New Roman"/>
          <w:szCs w:val="20"/>
        </w:rPr>
        <w:fldChar w:fldCharType="end"/>
      </w:r>
    </w:p>
    <w:p w14:paraId="42EFB76B">
      <w:pPr>
        <w:pStyle w:val="11"/>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_Toc4319 </w:instrText>
      </w:r>
      <w:r>
        <w:rPr>
          <w:rFonts w:hint="default" w:ascii="Times New Roman" w:hAnsi="Times New Roman" w:cs="Times New Roman"/>
          <w:szCs w:val="20"/>
        </w:rPr>
        <w:fldChar w:fldCharType="separate"/>
      </w:r>
      <w:r>
        <w:rPr>
          <w:rFonts w:hint="default" w:ascii="Times New Roman" w:hAnsi="Times New Roman" w:cs="Times New Roman" w:eastAsiaTheme="minorEastAsia"/>
          <w:bCs w:val="0"/>
          <w:szCs w:val="28"/>
          <w:lang w:val="en-US" w:eastAsia="zh-CN" w:bidi="ar-SA"/>
        </w:rPr>
        <w:t>4.5鉴定分析</w:t>
      </w:r>
      <w:r>
        <w:tab/>
      </w:r>
      <w:r>
        <w:fldChar w:fldCharType="begin"/>
      </w:r>
      <w:r>
        <w:instrText xml:space="preserve"> PAGEREF _Toc4319 \h </w:instrText>
      </w:r>
      <w:r>
        <w:fldChar w:fldCharType="separate"/>
      </w:r>
      <w:r>
        <w:t>22</w:t>
      </w:r>
      <w:r>
        <w:fldChar w:fldCharType="end"/>
      </w:r>
      <w:r>
        <w:rPr>
          <w:rFonts w:hint="default" w:ascii="Times New Roman" w:hAnsi="Times New Roman" w:cs="Times New Roman"/>
          <w:szCs w:val="20"/>
        </w:rPr>
        <w:fldChar w:fldCharType="end"/>
      </w:r>
    </w:p>
    <w:p w14:paraId="69AB350F">
      <w:pPr>
        <w:pStyle w:val="11"/>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_Toc27799 </w:instrText>
      </w:r>
      <w:r>
        <w:rPr>
          <w:rFonts w:hint="default" w:ascii="Times New Roman" w:hAnsi="Times New Roman" w:cs="Times New Roman"/>
          <w:szCs w:val="20"/>
        </w:rPr>
        <w:fldChar w:fldCharType="separate"/>
      </w:r>
      <w:r>
        <w:rPr>
          <w:rFonts w:hint="default" w:ascii="Times New Roman" w:hAnsi="Times New Roman" w:cs="Times New Roman" w:eastAsiaTheme="minorEastAsia"/>
          <w:bCs w:val="0"/>
          <w:szCs w:val="28"/>
          <w:lang w:val="en-US" w:eastAsia="zh-CN" w:bidi="ar-SA"/>
        </w:rPr>
        <w:t>4.6基坑安全性鉴定评级</w:t>
      </w:r>
      <w:r>
        <w:tab/>
      </w:r>
      <w:r>
        <w:fldChar w:fldCharType="begin"/>
      </w:r>
      <w:r>
        <w:instrText xml:space="preserve"> PAGEREF _Toc27799 \h </w:instrText>
      </w:r>
      <w:r>
        <w:fldChar w:fldCharType="separate"/>
      </w:r>
      <w:r>
        <w:t>31</w:t>
      </w:r>
      <w:r>
        <w:fldChar w:fldCharType="end"/>
      </w:r>
      <w:r>
        <w:rPr>
          <w:rFonts w:hint="default" w:ascii="Times New Roman" w:hAnsi="Times New Roman" w:cs="Times New Roman"/>
          <w:szCs w:val="20"/>
        </w:rPr>
        <w:fldChar w:fldCharType="end"/>
      </w:r>
    </w:p>
    <w:p w14:paraId="4749566C">
      <w:pPr>
        <w:pStyle w:val="11"/>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_Toc27315 </w:instrText>
      </w:r>
      <w:r>
        <w:rPr>
          <w:rFonts w:hint="default" w:ascii="Times New Roman" w:hAnsi="Times New Roman" w:cs="Times New Roman"/>
          <w:szCs w:val="20"/>
        </w:rPr>
        <w:fldChar w:fldCharType="separate"/>
      </w:r>
      <w:r>
        <w:rPr>
          <w:rFonts w:hint="default" w:ascii="Times New Roman" w:hAnsi="Times New Roman" w:cs="Times New Roman" w:eastAsiaTheme="minorEastAsia"/>
          <w:bCs w:val="0"/>
          <w:szCs w:val="28"/>
          <w:lang w:val="en-US" w:eastAsia="zh-CN" w:bidi="ar-SA"/>
        </w:rPr>
        <w:t>4.7鉴定报告</w:t>
      </w:r>
      <w:r>
        <w:tab/>
      </w:r>
      <w:r>
        <w:fldChar w:fldCharType="begin"/>
      </w:r>
      <w:r>
        <w:instrText xml:space="preserve"> PAGEREF _Toc27315 \h </w:instrText>
      </w:r>
      <w:r>
        <w:fldChar w:fldCharType="separate"/>
      </w:r>
      <w:r>
        <w:t>38</w:t>
      </w:r>
      <w:r>
        <w:fldChar w:fldCharType="end"/>
      </w:r>
      <w:r>
        <w:rPr>
          <w:rFonts w:hint="default" w:ascii="Times New Roman" w:hAnsi="Times New Roman" w:cs="Times New Roman"/>
          <w:szCs w:val="20"/>
        </w:rPr>
        <w:fldChar w:fldCharType="end"/>
      </w:r>
    </w:p>
    <w:p w14:paraId="3D063530">
      <w:pPr>
        <w:pStyle w:val="10"/>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_Toc10887 </w:instrText>
      </w:r>
      <w:r>
        <w:rPr>
          <w:rFonts w:hint="default" w:ascii="Times New Roman" w:hAnsi="Times New Roman" w:cs="Times New Roman"/>
          <w:szCs w:val="20"/>
        </w:rPr>
        <w:fldChar w:fldCharType="separate"/>
      </w:r>
      <w:r>
        <w:rPr>
          <w:rFonts w:cs="Times New Roman" w:eastAsiaTheme="minorEastAsia"/>
          <w:szCs w:val="30"/>
        </w:rPr>
        <w:t>5  基坑工程加固设计</w:t>
      </w:r>
      <w:r>
        <w:tab/>
      </w:r>
      <w:r>
        <w:fldChar w:fldCharType="begin"/>
      </w:r>
      <w:r>
        <w:instrText xml:space="preserve"> PAGEREF _Toc10887 \h </w:instrText>
      </w:r>
      <w:r>
        <w:fldChar w:fldCharType="separate"/>
      </w:r>
      <w:r>
        <w:t>40</w:t>
      </w:r>
      <w:r>
        <w:fldChar w:fldCharType="end"/>
      </w:r>
      <w:r>
        <w:rPr>
          <w:rFonts w:hint="default" w:ascii="Times New Roman" w:hAnsi="Times New Roman" w:cs="Times New Roman"/>
          <w:szCs w:val="20"/>
        </w:rPr>
        <w:fldChar w:fldCharType="end"/>
      </w:r>
    </w:p>
    <w:p w14:paraId="4D24C6B8">
      <w:pPr>
        <w:pStyle w:val="11"/>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_Toc12996 </w:instrText>
      </w:r>
      <w:r>
        <w:rPr>
          <w:rFonts w:hint="default" w:ascii="Times New Roman" w:hAnsi="Times New Roman" w:cs="Times New Roman"/>
          <w:szCs w:val="20"/>
        </w:rPr>
        <w:fldChar w:fldCharType="separate"/>
      </w:r>
      <w:r>
        <w:rPr>
          <w:rFonts w:ascii="Times New Roman" w:hAnsi="Times New Roman" w:cs="Times New Roman" w:eastAsiaTheme="minorEastAsia"/>
          <w:szCs w:val="28"/>
        </w:rPr>
        <w:t>5.1一般规定</w:t>
      </w:r>
      <w:r>
        <w:tab/>
      </w:r>
      <w:r>
        <w:fldChar w:fldCharType="begin"/>
      </w:r>
      <w:r>
        <w:instrText xml:space="preserve"> PAGEREF _Toc12996 \h </w:instrText>
      </w:r>
      <w:r>
        <w:fldChar w:fldCharType="separate"/>
      </w:r>
      <w:r>
        <w:t>40</w:t>
      </w:r>
      <w:r>
        <w:fldChar w:fldCharType="end"/>
      </w:r>
      <w:r>
        <w:rPr>
          <w:rFonts w:hint="default" w:ascii="Times New Roman" w:hAnsi="Times New Roman" w:cs="Times New Roman"/>
          <w:szCs w:val="20"/>
        </w:rPr>
        <w:fldChar w:fldCharType="end"/>
      </w:r>
    </w:p>
    <w:p w14:paraId="37724789">
      <w:pPr>
        <w:pStyle w:val="11"/>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_Toc8276 </w:instrText>
      </w:r>
      <w:r>
        <w:rPr>
          <w:rFonts w:hint="default" w:ascii="Times New Roman" w:hAnsi="Times New Roman" w:cs="Times New Roman"/>
          <w:szCs w:val="20"/>
        </w:rPr>
        <w:fldChar w:fldCharType="separate"/>
      </w:r>
      <w:r>
        <w:rPr>
          <w:rFonts w:ascii="Times New Roman" w:hAnsi="Times New Roman" w:cs="Times New Roman" w:eastAsiaTheme="minorEastAsia"/>
          <w:szCs w:val="28"/>
        </w:rPr>
        <w:t>5.2设计计算</w:t>
      </w:r>
      <w:r>
        <w:tab/>
      </w:r>
      <w:r>
        <w:fldChar w:fldCharType="begin"/>
      </w:r>
      <w:r>
        <w:instrText xml:space="preserve"> PAGEREF _Toc8276 \h </w:instrText>
      </w:r>
      <w:r>
        <w:fldChar w:fldCharType="separate"/>
      </w:r>
      <w:r>
        <w:t>40</w:t>
      </w:r>
      <w:r>
        <w:fldChar w:fldCharType="end"/>
      </w:r>
      <w:r>
        <w:rPr>
          <w:rFonts w:hint="default" w:ascii="Times New Roman" w:hAnsi="Times New Roman" w:cs="Times New Roman"/>
          <w:szCs w:val="20"/>
        </w:rPr>
        <w:fldChar w:fldCharType="end"/>
      </w:r>
    </w:p>
    <w:p w14:paraId="59FF27FC">
      <w:pPr>
        <w:pStyle w:val="11"/>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_Toc27777 </w:instrText>
      </w:r>
      <w:r>
        <w:rPr>
          <w:rFonts w:hint="default" w:ascii="Times New Roman" w:hAnsi="Times New Roman" w:cs="Times New Roman"/>
          <w:szCs w:val="20"/>
        </w:rPr>
        <w:fldChar w:fldCharType="separate"/>
      </w:r>
      <w:r>
        <w:rPr>
          <w:rFonts w:hint="eastAsia" w:ascii="Times New Roman" w:hAnsi="Times New Roman" w:cs="Times New Roman" w:eastAsiaTheme="minorEastAsia"/>
          <w:szCs w:val="28"/>
        </w:rPr>
        <w:t>5.3</w:t>
      </w:r>
      <w:r>
        <w:rPr>
          <w:rFonts w:ascii="Times New Roman" w:hAnsi="Times New Roman" w:cs="Times New Roman" w:eastAsiaTheme="minorEastAsia"/>
          <w:szCs w:val="28"/>
        </w:rPr>
        <w:t>堆载反压法</w:t>
      </w:r>
      <w:r>
        <w:tab/>
      </w:r>
      <w:r>
        <w:fldChar w:fldCharType="begin"/>
      </w:r>
      <w:r>
        <w:instrText xml:space="preserve"> PAGEREF _Toc27777 \h </w:instrText>
      </w:r>
      <w:r>
        <w:fldChar w:fldCharType="separate"/>
      </w:r>
      <w:r>
        <w:t>57</w:t>
      </w:r>
      <w:r>
        <w:fldChar w:fldCharType="end"/>
      </w:r>
      <w:r>
        <w:rPr>
          <w:rFonts w:hint="default" w:ascii="Times New Roman" w:hAnsi="Times New Roman" w:cs="Times New Roman"/>
          <w:szCs w:val="20"/>
        </w:rPr>
        <w:fldChar w:fldCharType="end"/>
      </w:r>
    </w:p>
    <w:p w14:paraId="0E921C93">
      <w:pPr>
        <w:pStyle w:val="11"/>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_Toc4690 </w:instrText>
      </w:r>
      <w:r>
        <w:rPr>
          <w:rFonts w:hint="default" w:ascii="Times New Roman" w:hAnsi="Times New Roman" w:cs="Times New Roman"/>
          <w:szCs w:val="20"/>
        </w:rPr>
        <w:fldChar w:fldCharType="separate"/>
      </w:r>
      <w:r>
        <w:rPr>
          <w:rFonts w:hint="eastAsia" w:ascii="Times New Roman" w:hAnsi="Times New Roman" w:cs="Times New Roman" w:eastAsiaTheme="minorEastAsia"/>
          <w:szCs w:val="28"/>
        </w:rPr>
        <w:t>5.4</w:t>
      </w:r>
      <w:r>
        <w:rPr>
          <w:rFonts w:ascii="Times New Roman" w:hAnsi="Times New Roman" w:cs="Times New Roman" w:eastAsiaTheme="minorEastAsia"/>
          <w:szCs w:val="28"/>
        </w:rPr>
        <w:t>削方减载法</w:t>
      </w:r>
      <w:r>
        <w:tab/>
      </w:r>
      <w:r>
        <w:fldChar w:fldCharType="begin"/>
      </w:r>
      <w:r>
        <w:instrText xml:space="preserve"> PAGEREF _Toc4690 \h </w:instrText>
      </w:r>
      <w:r>
        <w:fldChar w:fldCharType="separate"/>
      </w:r>
      <w:r>
        <w:t>58</w:t>
      </w:r>
      <w:r>
        <w:fldChar w:fldCharType="end"/>
      </w:r>
      <w:r>
        <w:rPr>
          <w:rFonts w:hint="default" w:ascii="Times New Roman" w:hAnsi="Times New Roman" w:cs="Times New Roman"/>
          <w:szCs w:val="20"/>
        </w:rPr>
        <w:fldChar w:fldCharType="end"/>
      </w:r>
    </w:p>
    <w:p w14:paraId="7FAC02D8">
      <w:pPr>
        <w:pStyle w:val="11"/>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_Toc26375 </w:instrText>
      </w:r>
      <w:r>
        <w:rPr>
          <w:rFonts w:hint="default" w:ascii="Times New Roman" w:hAnsi="Times New Roman" w:cs="Times New Roman"/>
          <w:szCs w:val="20"/>
        </w:rPr>
        <w:fldChar w:fldCharType="separate"/>
      </w:r>
      <w:r>
        <w:rPr>
          <w:rFonts w:hint="eastAsia" w:ascii="Times New Roman" w:hAnsi="Times New Roman" w:cs="Times New Roman" w:eastAsiaTheme="minorEastAsia"/>
          <w:szCs w:val="28"/>
        </w:rPr>
        <w:t>5.5</w:t>
      </w:r>
      <w:r>
        <w:rPr>
          <w:rFonts w:ascii="Times New Roman" w:hAnsi="Times New Roman" w:cs="Times New Roman" w:eastAsiaTheme="minorEastAsia"/>
          <w:szCs w:val="28"/>
        </w:rPr>
        <w:t>基坑土体加固法</w:t>
      </w:r>
      <w:r>
        <w:tab/>
      </w:r>
      <w:r>
        <w:fldChar w:fldCharType="begin"/>
      </w:r>
      <w:r>
        <w:instrText xml:space="preserve"> PAGEREF _Toc26375 \h </w:instrText>
      </w:r>
      <w:r>
        <w:fldChar w:fldCharType="separate"/>
      </w:r>
      <w:r>
        <w:t>59</w:t>
      </w:r>
      <w:r>
        <w:fldChar w:fldCharType="end"/>
      </w:r>
      <w:r>
        <w:rPr>
          <w:rFonts w:hint="default" w:ascii="Times New Roman" w:hAnsi="Times New Roman" w:cs="Times New Roman"/>
          <w:szCs w:val="20"/>
        </w:rPr>
        <w:fldChar w:fldCharType="end"/>
      </w:r>
    </w:p>
    <w:p w14:paraId="28A3A4B5">
      <w:pPr>
        <w:pStyle w:val="11"/>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_Toc9947 </w:instrText>
      </w:r>
      <w:r>
        <w:rPr>
          <w:rFonts w:hint="default" w:ascii="Times New Roman" w:hAnsi="Times New Roman" w:cs="Times New Roman"/>
          <w:szCs w:val="20"/>
        </w:rPr>
        <w:fldChar w:fldCharType="separate"/>
      </w:r>
      <w:r>
        <w:rPr>
          <w:rFonts w:hint="eastAsia" w:ascii="Times New Roman" w:hAnsi="Times New Roman" w:cs="Times New Roman" w:eastAsiaTheme="minorEastAsia"/>
          <w:szCs w:val="28"/>
        </w:rPr>
        <w:t>5.6</w:t>
      </w:r>
      <w:r>
        <w:rPr>
          <w:rFonts w:ascii="Times New Roman" w:hAnsi="Times New Roman" w:cs="Times New Roman" w:eastAsiaTheme="minorEastAsia"/>
          <w:szCs w:val="28"/>
        </w:rPr>
        <w:t>微型桩加固法</w:t>
      </w:r>
      <w:r>
        <w:tab/>
      </w:r>
      <w:r>
        <w:fldChar w:fldCharType="begin"/>
      </w:r>
      <w:r>
        <w:instrText xml:space="preserve"> PAGEREF _Toc9947 \h </w:instrText>
      </w:r>
      <w:r>
        <w:fldChar w:fldCharType="separate"/>
      </w:r>
      <w:r>
        <w:t>62</w:t>
      </w:r>
      <w:r>
        <w:fldChar w:fldCharType="end"/>
      </w:r>
      <w:r>
        <w:rPr>
          <w:rFonts w:hint="default" w:ascii="Times New Roman" w:hAnsi="Times New Roman" w:cs="Times New Roman"/>
          <w:szCs w:val="20"/>
        </w:rPr>
        <w:fldChar w:fldCharType="end"/>
      </w:r>
    </w:p>
    <w:p w14:paraId="01C0615E">
      <w:pPr>
        <w:pStyle w:val="11"/>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_Toc15411 </w:instrText>
      </w:r>
      <w:r>
        <w:rPr>
          <w:rFonts w:hint="default" w:ascii="Times New Roman" w:hAnsi="Times New Roman" w:cs="Times New Roman"/>
          <w:szCs w:val="20"/>
        </w:rPr>
        <w:fldChar w:fldCharType="separate"/>
      </w:r>
      <w:r>
        <w:rPr>
          <w:rFonts w:hint="eastAsia" w:ascii="Times New Roman" w:hAnsi="Times New Roman" w:cs="Times New Roman" w:eastAsiaTheme="minorEastAsia"/>
          <w:szCs w:val="28"/>
        </w:rPr>
        <w:t>5.7</w:t>
      </w:r>
      <w:r>
        <w:rPr>
          <w:rFonts w:ascii="Times New Roman" w:hAnsi="Times New Roman" w:cs="Times New Roman" w:eastAsiaTheme="minorEastAsia"/>
          <w:szCs w:val="28"/>
        </w:rPr>
        <w:t>钢板桩加固法</w:t>
      </w:r>
      <w:r>
        <w:tab/>
      </w:r>
      <w:r>
        <w:fldChar w:fldCharType="begin"/>
      </w:r>
      <w:r>
        <w:instrText xml:space="preserve"> PAGEREF _Toc15411 \h </w:instrText>
      </w:r>
      <w:r>
        <w:fldChar w:fldCharType="separate"/>
      </w:r>
      <w:r>
        <w:t>64</w:t>
      </w:r>
      <w:r>
        <w:fldChar w:fldCharType="end"/>
      </w:r>
      <w:r>
        <w:rPr>
          <w:rFonts w:hint="default" w:ascii="Times New Roman" w:hAnsi="Times New Roman" w:cs="Times New Roman"/>
          <w:szCs w:val="20"/>
        </w:rPr>
        <w:fldChar w:fldCharType="end"/>
      </w:r>
    </w:p>
    <w:p w14:paraId="16E784E8">
      <w:pPr>
        <w:pStyle w:val="11"/>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_Toc4512 </w:instrText>
      </w:r>
      <w:r>
        <w:rPr>
          <w:rFonts w:hint="default" w:ascii="Times New Roman" w:hAnsi="Times New Roman" w:cs="Times New Roman"/>
          <w:szCs w:val="20"/>
        </w:rPr>
        <w:fldChar w:fldCharType="separate"/>
      </w:r>
      <w:r>
        <w:rPr>
          <w:rFonts w:hint="eastAsia" w:ascii="Times New Roman" w:hAnsi="Times New Roman" w:cs="Times New Roman" w:eastAsiaTheme="minorEastAsia"/>
          <w:szCs w:val="28"/>
        </w:rPr>
        <w:t>5.8</w:t>
      </w:r>
      <w:r>
        <w:rPr>
          <w:rFonts w:ascii="Times New Roman" w:hAnsi="Times New Roman" w:cs="Times New Roman" w:eastAsiaTheme="minorEastAsia"/>
          <w:szCs w:val="28"/>
        </w:rPr>
        <w:t>锚杆（索）加固法</w:t>
      </w:r>
      <w:r>
        <w:tab/>
      </w:r>
      <w:r>
        <w:fldChar w:fldCharType="begin"/>
      </w:r>
      <w:r>
        <w:instrText xml:space="preserve"> PAGEREF _Toc4512 \h </w:instrText>
      </w:r>
      <w:r>
        <w:fldChar w:fldCharType="separate"/>
      </w:r>
      <w:r>
        <w:t>65</w:t>
      </w:r>
      <w:r>
        <w:fldChar w:fldCharType="end"/>
      </w:r>
      <w:r>
        <w:rPr>
          <w:rFonts w:hint="default" w:ascii="Times New Roman" w:hAnsi="Times New Roman" w:cs="Times New Roman"/>
          <w:szCs w:val="20"/>
        </w:rPr>
        <w:fldChar w:fldCharType="end"/>
      </w:r>
    </w:p>
    <w:p w14:paraId="019E0460">
      <w:pPr>
        <w:pStyle w:val="11"/>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_Toc21806 </w:instrText>
      </w:r>
      <w:r>
        <w:rPr>
          <w:rFonts w:hint="default" w:ascii="Times New Roman" w:hAnsi="Times New Roman" w:cs="Times New Roman"/>
          <w:szCs w:val="20"/>
        </w:rPr>
        <w:fldChar w:fldCharType="separate"/>
      </w:r>
      <w:r>
        <w:rPr>
          <w:rFonts w:hint="eastAsia" w:ascii="Times New Roman" w:hAnsi="Times New Roman" w:cs="Times New Roman" w:eastAsiaTheme="minorEastAsia"/>
          <w:szCs w:val="28"/>
          <w:lang w:val="en-US" w:eastAsia="zh-CN"/>
        </w:rPr>
        <w:t>5</w:t>
      </w:r>
      <w:r>
        <w:rPr>
          <w:rFonts w:hint="eastAsia" w:ascii="Times New Roman" w:hAnsi="Times New Roman" w:cs="Times New Roman" w:eastAsiaTheme="minorEastAsia"/>
          <w:szCs w:val="28"/>
        </w:rPr>
        <w:t>.9</w:t>
      </w:r>
      <w:r>
        <w:rPr>
          <w:rFonts w:ascii="Times New Roman" w:hAnsi="Times New Roman" w:cs="Times New Roman" w:eastAsiaTheme="minorEastAsia"/>
          <w:szCs w:val="28"/>
        </w:rPr>
        <w:t>灌注桩加固</w:t>
      </w:r>
      <w:r>
        <w:tab/>
      </w:r>
      <w:r>
        <w:fldChar w:fldCharType="begin"/>
      </w:r>
      <w:r>
        <w:instrText xml:space="preserve"> PAGEREF _Toc21806 \h </w:instrText>
      </w:r>
      <w:r>
        <w:fldChar w:fldCharType="separate"/>
      </w:r>
      <w:r>
        <w:t>69</w:t>
      </w:r>
      <w:r>
        <w:fldChar w:fldCharType="end"/>
      </w:r>
      <w:r>
        <w:rPr>
          <w:rFonts w:hint="default" w:ascii="Times New Roman" w:hAnsi="Times New Roman" w:cs="Times New Roman"/>
          <w:szCs w:val="20"/>
        </w:rPr>
        <w:fldChar w:fldCharType="end"/>
      </w:r>
    </w:p>
    <w:p w14:paraId="16FBA74F">
      <w:pPr>
        <w:pStyle w:val="11"/>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_Toc29298 </w:instrText>
      </w:r>
      <w:r>
        <w:rPr>
          <w:rFonts w:hint="default" w:ascii="Times New Roman" w:hAnsi="Times New Roman" w:cs="Times New Roman"/>
          <w:szCs w:val="20"/>
        </w:rPr>
        <w:fldChar w:fldCharType="separate"/>
      </w:r>
      <w:r>
        <w:rPr>
          <w:rFonts w:hint="eastAsia" w:ascii="Times New Roman" w:hAnsi="Times New Roman" w:cs="Times New Roman" w:eastAsiaTheme="minorEastAsia"/>
          <w:szCs w:val="28"/>
          <w:lang w:val="en-US" w:eastAsia="zh-CN"/>
        </w:rPr>
        <w:t>5</w:t>
      </w:r>
      <w:r>
        <w:rPr>
          <w:rFonts w:hint="eastAsia" w:ascii="Times New Roman" w:hAnsi="Times New Roman" w:cs="Times New Roman" w:eastAsiaTheme="minorEastAsia"/>
          <w:szCs w:val="28"/>
        </w:rPr>
        <w:t>.10</w:t>
      </w:r>
      <w:r>
        <w:rPr>
          <w:rFonts w:ascii="Times New Roman" w:hAnsi="Times New Roman" w:cs="Times New Roman" w:eastAsiaTheme="minorEastAsia"/>
          <w:szCs w:val="28"/>
        </w:rPr>
        <w:t>内支撑加固法</w:t>
      </w:r>
      <w:r>
        <w:tab/>
      </w:r>
      <w:r>
        <w:fldChar w:fldCharType="begin"/>
      </w:r>
      <w:r>
        <w:instrText xml:space="preserve"> PAGEREF _Toc29298 \h </w:instrText>
      </w:r>
      <w:r>
        <w:fldChar w:fldCharType="separate"/>
      </w:r>
      <w:r>
        <w:t>73</w:t>
      </w:r>
      <w:r>
        <w:fldChar w:fldCharType="end"/>
      </w:r>
      <w:r>
        <w:rPr>
          <w:rFonts w:hint="default" w:ascii="Times New Roman" w:hAnsi="Times New Roman" w:cs="Times New Roman"/>
          <w:szCs w:val="20"/>
        </w:rPr>
        <w:fldChar w:fldCharType="end"/>
      </w:r>
    </w:p>
    <w:p w14:paraId="10D58209">
      <w:pPr>
        <w:pStyle w:val="11"/>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_Toc2189 </w:instrText>
      </w:r>
      <w:r>
        <w:rPr>
          <w:rFonts w:hint="default" w:ascii="Times New Roman" w:hAnsi="Times New Roman" w:cs="Times New Roman"/>
          <w:szCs w:val="20"/>
        </w:rPr>
        <w:fldChar w:fldCharType="separate"/>
      </w:r>
      <w:r>
        <w:rPr>
          <w:rFonts w:ascii="Times New Roman" w:hAnsi="Times New Roman" w:cs="Times New Roman" w:eastAsiaTheme="minorEastAsia"/>
          <w:szCs w:val="28"/>
        </w:rPr>
        <w:t>5.</w:t>
      </w:r>
      <w:r>
        <w:rPr>
          <w:rFonts w:hint="eastAsia" w:ascii="Times New Roman" w:hAnsi="Times New Roman" w:cs="Times New Roman" w:eastAsiaTheme="minorEastAsia"/>
          <w:szCs w:val="28"/>
        </w:rPr>
        <w:t>11</w:t>
      </w:r>
      <w:r>
        <w:rPr>
          <w:rFonts w:ascii="Times New Roman" w:hAnsi="Times New Roman" w:cs="Times New Roman" w:eastAsiaTheme="minorEastAsia"/>
          <w:szCs w:val="28"/>
        </w:rPr>
        <w:t>地表水与地下水控制修复</w:t>
      </w:r>
      <w:r>
        <w:tab/>
      </w:r>
      <w:r>
        <w:fldChar w:fldCharType="begin"/>
      </w:r>
      <w:r>
        <w:instrText xml:space="preserve"> PAGEREF _Toc2189 \h </w:instrText>
      </w:r>
      <w:r>
        <w:fldChar w:fldCharType="separate"/>
      </w:r>
      <w:r>
        <w:t>75</w:t>
      </w:r>
      <w:r>
        <w:fldChar w:fldCharType="end"/>
      </w:r>
      <w:r>
        <w:rPr>
          <w:rFonts w:hint="default" w:ascii="Times New Roman" w:hAnsi="Times New Roman" w:cs="Times New Roman"/>
          <w:szCs w:val="20"/>
        </w:rPr>
        <w:fldChar w:fldCharType="end"/>
      </w:r>
    </w:p>
    <w:p w14:paraId="130E4DA4">
      <w:pPr>
        <w:pStyle w:val="10"/>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_Toc19319 </w:instrText>
      </w:r>
      <w:r>
        <w:rPr>
          <w:rFonts w:hint="default" w:ascii="Times New Roman" w:hAnsi="Times New Roman" w:cs="Times New Roman"/>
          <w:szCs w:val="20"/>
        </w:rPr>
        <w:fldChar w:fldCharType="separate"/>
      </w:r>
      <w:r>
        <w:rPr>
          <w:rFonts w:hint="eastAsia" w:ascii="Times New Roman" w:hAnsi="Times New Roman" w:cs="Times New Roman" w:eastAsiaTheme="minorEastAsia"/>
          <w:bCs w:val="0"/>
          <w:szCs w:val="30"/>
          <w:lang w:val="en-US" w:eastAsia="zh-CN" w:bidi="ar-SA"/>
        </w:rPr>
        <w:t>6  基坑工程加固施工</w:t>
      </w:r>
      <w:r>
        <w:tab/>
      </w:r>
      <w:r>
        <w:fldChar w:fldCharType="begin"/>
      </w:r>
      <w:r>
        <w:instrText xml:space="preserve"> PAGEREF _Toc19319 \h </w:instrText>
      </w:r>
      <w:r>
        <w:fldChar w:fldCharType="separate"/>
      </w:r>
      <w:r>
        <w:t>77</w:t>
      </w:r>
      <w:r>
        <w:fldChar w:fldCharType="end"/>
      </w:r>
      <w:r>
        <w:rPr>
          <w:rFonts w:hint="default" w:ascii="Times New Roman" w:hAnsi="Times New Roman" w:cs="Times New Roman"/>
          <w:szCs w:val="20"/>
        </w:rPr>
        <w:fldChar w:fldCharType="end"/>
      </w:r>
    </w:p>
    <w:p w14:paraId="1887BF4E">
      <w:pPr>
        <w:pStyle w:val="11"/>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_Toc17977 </w:instrText>
      </w:r>
      <w:r>
        <w:rPr>
          <w:rFonts w:hint="default" w:ascii="Times New Roman" w:hAnsi="Times New Roman" w:cs="Times New Roman"/>
          <w:szCs w:val="20"/>
        </w:rPr>
        <w:fldChar w:fldCharType="separate"/>
      </w:r>
      <w:r>
        <w:rPr>
          <w:rFonts w:hint="eastAsia" w:ascii="Times New Roman" w:hAnsi="Times New Roman" w:cs="Times New Roman" w:eastAsiaTheme="minorEastAsia"/>
          <w:bCs w:val="0"/>
          <w:szCs w:val="28"/>
          <w:lang w:val="en-US" w:eastAsia="zh-CN" w:bidi="ar-SA"/>
        </w:rPr>
        <w:t>6</w:t>
      </w:r>
      <w:r>
        <w:rPr>
          <w:rFonts w:hint="default" w:ascii="Times New Roman" w:hAnsi="Times New Roman" w:cs="Times New Roman" w:eastAsiaTheme="minorEastAsia"/>
          <w:bCs w:val="0"/>
          <w:szCs w:val="28"/>
          <w:lang w:val="en-US" w:eastAsia="zh-CN" w:bidi="ar-SA"/>
        </w:rPr>
        <w:t>.1</w:t>
      </w:r>
      <w:r>
        <w:rPr>
          <w:rFonts w:hint="eastAsia" w:ascii="Times New Roman" w:hAnsi="Times New Roman" w:cs="Times New Roman" w:eastAsiaTheme="minorEastAsia"/>
          <w:bCs w:val="0"/>
          <w:szCs w:val="28"/>
          <w:lang w:val="en-US" w:eastAsia="zh-CN" w:bidi="ar-SA"/>
        </w:rPr>
        <w:t>一般规定</w:t>
      </w:r>
      <w:r>
        <w:tab/>
      </w:r>
      <w:r>
        <w:fldChar w:fldCharType="begin"/>
      </w:r>
      <w:r>
        <w:instrText xml:space="preserve"> PAGEREF _Toc17977 \h </w:instrText>
      </w:r>
      <w:r>
        <w:fldChar w:fldCharType="separate"/>
      </w:r>
      <w:r>
        <w:t>77</w:t>
      </w:r>
      <w:r>
        <w:fldChar w:fldCharType="end"/>
      </w:r>
      <w:r>
        <w:rPr>
          <w:rFonts w:hint="default" w:ascii="Times New Roman" w:hAnsi="Times New Roman" w:cs="Times New Roman"/>
          <w:szCs w:val="20"/>
        </w:rPr>
        <w:fldChar w:fldCharType="end"/>
      </w:r>
    </w:p>
    <w:p w14:paraId="21EDF9B4">
      <w:pPr>
        <w:pStyle w:val="11"/>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_Toc20967 </w:instrText>
      </w:r>
      <w:r>
        <w:rPr>
          <w:rFonts w:hint="default" w:ascii="Times New Roman" w:hAnsi="Times New Roman" w:cs="Times New Roman"/>
          <w:szCs w:val="20"/>
        </w:rPr>
        <w:fldChar w:fldCharType="separate"/>
      </w:r>
      <w:r>
        <w:rPr>
          <w:rFonts w:hint="eastAsia" w:ascii="Times New Roman" w:hAnsi="Times New Roman" w:cs="Times New Roman" w:eastAsiaTheme="minorEastAsia"/>
          <w:bCs w:val="0"/>
          <w:szCs w:val="28"/>
          <w:lang w:val="en-US" w:eastAsia="zh-CN" w:bidi="ar-SA"/>
        </w:rPr>
        <w:t>6</w:t>
      </w:r>
      <w:r>
        <w:rPr>
          <w:rFonts w:hint="default" w:ascii="Times New Roman" w:hAnsi="Times New Roman" w:cs="Times New Roman" w:eastAsiaTheme="minorEastAsia"/>
          <w:bCs w:val="0"/>
          <w:szCs w:val="28"/>
          <w:lang w:val="en-US" w:eastAsia="zh-CN" w:bidi="ar-SA"/>
        </w:rPr>
        <w:t>.</w:t>
      </w:r>
      <w:r>
        <w:rPr>
          <w:rFonts w:hint="eastAsia" w:ascii="Times New Roman" w:hAnsi="Times New Roman" w:cs="Times New Roman" w:eastAsiaTheme="minorEastAsia"/>
          <w:bCs w:val="0"/>
          <w:szCs w:val="28"/>
          <w:lang w:val="en-US" w:eastAsia="zh-CN" w:bidi="ar-SA"/>
        </w:rPr>
        <w:t>2加固施工</w:t>
      </w:r>
      <w:r>
        <w:tab/>
      </w:r>
      <w:r>
        <w:fldChar w:fldCharType="begin"/>
      </w:r>
      <w:r>
        <w:instrText xml:space="preserve"> PAGEREF _Toc20967 \h </w:instrText>
      </w:r>
      <w:r>
        <w:fldChar w:fldCharType="separate"/>
      </w:r>
      <w:r>
        <w:t>77</w:t>
      </w:r>
      <w:r>
        <w:fldChar w:fldCharType="end"/>
      </w:r>
      <w:r>
        <w:rPr>
          <w:rFonts w:hint="default" w:ascii="Times New Roman" w:hAnsi="Times New Roman" w:cs="Times New Roman"/>
          <w:szCs w:val="20"/>
        </w:rPr>
        <w:fldChar w:fldCharType="end"/>
      </w:r>
    </w:p>
    <w:p w14:paraId="34257BA1">
      <w:pPr>
        <w:pStyle w:val="11"/>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_Toc10161 </w:instrText>
      </w:r>
      <w:r>
        <w:rPr>
          <w:rFonts w:hint="default" w:ascii="Times New Roman" w:hAnsi="Times New Roman" w:cs="Times New Roman"/>
          <w:szCs w:val="20"/>
        </w:rPr>
        <w:fldChar w:fldCharType="separate"/>
      </w:r>
      <w:r>
        <w:rPr>
          <w:rFonts w:hint="eastAsia" w:ascii="Times New Roman" w:hAnsi="Times New Roman" w:cs="Times New Roman" w:eastAsiaTheme="minorEastAsia"/>
          <w:bCs w:val="0"/>
          <w:szCs w:val="28"/>
          <w:lang w:val="en-US" w:eastAsia="zh-CN" w:bidi="ar-SA"/>
        </w:rPr>
        <w:t>6</w:t>
      </w:r>
      <w:r>
        <w:rPr>
          <w:rFonts w:hint="default" w:ascii="Times New Roman" w:hAnsi="Times New Roman" w:cs="Times New Roman" w:eastAsiaTheme="minorEastAsia"/>
          <w:bCs w:val="0"/>
          <w:szCs w:val="28"/>
          <w:lang w:val="en-US" w:eastAsia="zh-CN" w:bidi="ar-SA"/>
        </w:rPr>
        <w:t>.</w:t>
      </w:r>
      <w:r>
        <w:rPr>
          <w:rFonts w:hint="eastAsia" w:ascii="Times New Roman" w:hAnsi="Times New Roman" w:cs="Times New Roman" w:eastAsiaTheme="minorEastAsia"/>
          <w:bCs w:val="0"/>
          <w:szCs w:val="28"/>
          <w:lang w:val="en-US" w:eastAsia="zh-CN" w:bidi="ar-SA"/>
        </w:rPr>
        <w:t>3地表水与地下水控制修复</w:t>
      </w:r>
      <w:r>
        <w:tab/>
      </w:r>
      <w:r>
        <w:fldChar w:fldCharType="begin"/>
      </w:r>
      <w:r>
        <w:instrText xml:space="preserve"> PAGEREF _Toc10161 \h </w:instrText>
      </w:r>
      <w:r>
        <w:fldChar w:fldCharType="separate"/>
      </w:r>
      <w:r>
        <w:t>85</w:t>
      </w:r>
      <w:r>
        <w:fldChar w:fldCharType="end"/>
      </w:r>
      <w:r>
        <w:rPr>
          <w:rFonts w:hint="default" w:ascii="Times New Roman" w:hAnsi="Times New Roman" w:cs="Times New Roman"/>
          <w:szCs w:val="20"/>
        </w:rPr>
        <w:fldChar w:fldCharType="end"/>
      </w:r>
    </w:p>
    <w:p w14:paraId="2DC9A6E4">
      <w:pPr>
        <w:pStyle w:val="10"/>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_Toc13761 </w:instrText>
      </w:r>
      <w:r>
        <w:rPr>
          <w:rFonts w:hint="default" w:ascii="Times New Roman" w:hAnsi="Times New Roman" w:cs="Times New Roman"/>
          <w:szCs w:val="20"/>
        </w:rPr>
        <w:fldChar w:fldCharType="separate"/>
      </w:r>
      <w:r>
        <w:rPr>
          <w:rFonts w:hint="eastAsia" w:ascii="Times New Roman" w:hAnsi="Times New Roman" w:cs="Times New Roman" w:eastAsiaTheme="minorEastAsia"/>
          <w:szCs w:val="30"/>
          <w:highlight w:val="none"/>
          <w:lang w:val="en-US" w:eastAsia="zh-CN"/>
        </w:rPr>
        <w:t>7</w:t>
      </w:r>
      <w:r>
        <w:rPr>
          <w:rFonts w:hint="eastAsia" w:cs="Times New Roman" w:eastAsiaTheme="minorEastAsia"/>
          <w:szCs w:val="30"/>
          <w:highlight w:val="none"/>
          <w:lang w:val="en-US" w:eastAsia="zh-CN"/>
        </w:rPr>
        <w:t xml:space="preserve">  </w:t>
      </w:r>
      <w:r>
        <w:rPr>
          <w:rFonts w:hint="eastAsia" w:ascii="Times New Roman" w:hAnsi="Times New Roman" w:cs="Times New Roman" w:eastAsiaTheme="minorEastAsia"/>
          <w:szCs w:val="30"/>
          <w:highlight w:val="none"/>
          <w:lang w:val="en-US" w:eastAsia="zh-CN"/>
        </w:rPr>
        <w:t>基坑工程监测</w:t>
      </w:r>
      <w:r>
        <w:tab/>
      </w:r>
      <w:r>
        <w:fldChar w:fldCharType="begin"/>
      </w:r>
      <w:r>
        <w:instrText xml:space="preserve"> PAGEREF _Toc13761 \h </w:instrText>
      </w:r>
      <w:r>
        <w:fldChar w:fldCharType="separate"/>
      </w:r>
      <w:r>
        <w:t>86</w:t>
      </w:r>
      <w:r>
        <w:fldChar w:fldCharType="end"/>
      </w:r>
      <w:r>
        <w:rPr>
          <w:rFonts w:hint="default" w:ascii="Times New Roman" w:hAnsi="Times New Roman" w:cs="Times New Roman"/>
          <w:szCs w:val="20"/>
        </w:rPr>
        <w:fldChar w:fldCharType="end"/>
      </w:r>
    </w:p>
    <w:p w14:paraId="34E989CD">
      <w:pPr>
        <w:pStyle w:val="11"/>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_Toc12151 </w:instrText>
      </w:r>
      <w:r>
        <w:rPr>
          <w:rFonts w:hint="default" w:ascii="Times New Roman" w:hAnsi="Times New Roman" w:cs="Times New Roman"/>
          <w:szCs w:val="20"/>
        </w:rPr>
        <w:fldChar w:fldCharType="separate"/>
      </w:r>
      <w:r>
        <w:rPr>
          <w:rFonts w:hint="eastAsia" w:ascii="Times New Roman" w:hAnsi="Times New Roman" w:eastAsia="宋体" w:cs="Times New Roman"/>
          <w:szCs w:val="28"/>
          <w:highlight w:val="none"/>
          <w:lang w:val="en-US" w:eastAsia="zh-CN"/>
        </w:rPr>
        <w:t>7</w:t>
      </w:r>
      <w:r>
        <w:rPr>
          <w:rFonts w:hint="default" w:ascii="Times New Roman" w:hAnsi="Times New Roman" w:eastAsia="宋体" w:cs="Times New Roman"/>
          <w:szCs w:val="28"/>
          <w:highlight w:val="none"/>
          <w:lang w:val="en-US" w:eastAsia="zh-CN"/>
        </w:rPr>
        <w:t>.1</w:t>
      </w:r>
      <w:r>
        <w:rPr>
          <w:rFonts w:hint="eastAsia" w:ascii="Times New Roman" w:hAnsi="Times New Roman" w:eastAsia="宋体" w:cs="Times New Roman"/>
          <w:szCs w:val="28"/>
          <w:highlight w:val="none"/>
          <w:lang w:val="en-US" w:eastAsia="zh-CN"/>
        </w:rPr>
        <w:t>一般规定</w:t>
      </w:r>
      <w:r>
        <w:tab/>
      </w:r>
      <w:r>
        <w:fldChar w:fldCharType="begin"/>
      </w:r>
      <w:r>
        <w:instrText xml:space="preserve"> PAGEREF _Toc12151 \h </w:instrText>
      </w:r>
      <w:r>
        <w:fldChar w:fldCharType="separate"/>
      </w:r>
      <w:r>
        <w:t>86</w:t>
      </w:r>
      <w:r>
        <w:fldChar w:fldCharType="end"/>
      </w:r>
      <w:r>
        <w:rPr>
          <w:rFonts w:hint="default" w:ascii="Times New Roman" w:hAnsi="Times New Roman" w:cs="Times New Roman"/>
          <w:szCs w:val="20"/>
        </w:rPr>
        <w:fldChar w:fldCharType="end"/>
      </w:r>
    </w:p>
    <w:p w14:paraId="7697C987">
      <w:pPr>
        <w:pStyle w:val="11"/>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_Toc8217 </w:instrText>
      </w:r>
      <w:r>
        <w:rPr>
          <w:rFonts w:hint="default" w:ascii="Times New Roman" w:hAnsi="Times New Roman" w:cs="Times New Roman"/>
          <w:szCs w:val="20"/>
        </w:rPr>
        <w:fldChar w:fldCharType="separate"/>
      </w:r>
      <w:r>
        <w:rPr>
          <w:rFonts w:hint="eastAsia" w:ascii="Times New Roman" w:hAnsi="Times New Roman" w:eastAsia="宋体" w:cs="Times New Roman"/>
          <w:bCs/>
          <w:kern w:val="2"/>
          <w:szCs w:val="28"/>
          <w:highlight w:val="none"/>
          <w:lang w:val="en-US" w:eastAsia="zh-CN" w:bidi="ar"/>
        </w:rPr>
        <w:t>7</w:t>
      </w:r>
      <w:r>
        <w:rPr>
          <w:rFonts w:hint="default" w:ascii="Times New Roman" w:hAnsi="Times New Roman" w:eastAsia="宋体" w:cs="Times New Roman"/>
          <w:bCs/>
          <w:kern w:val="2"/>
          <w:szCs w:val="28"/>
          <w:highlight w:val="none"/>
          <w:lang w:val="en-US" w:eastAsia="zh-CN" w:bidi="ar"/>
        </w:rPr>
        <w:t>.2</w:t>
      </w:r>
      <w:r>
        <w:rPr>
          <w:rFonts w:hint="eastAsia" w:ascii="Times New Roman" w:hAnsi="Times New Roman" w:eastAsia="宋体" w:cs="Times New Roman"/>
          <w:bCs/>
          <w:kern w:val="2"/>
          <w:szCs w:val="28"/>
          <w:highlight w:val="none"/>
          <w:lang w:val="en-US" w:eastAsia="zh-CN" w:bidi="ar"/>
        </w:rPr>
        <w:t>监测内容与精度</w:t>
      </w:r>
      <w:r>
        <w:tab/>
      </w:r>
      <w:r>
        <w:fldChar w:fldCharType="begin"/>
      </w:r>
      <w:r>
        <w:instrText xml:space="preserve"> PAGEREF _Toc8217 \h </w:instrText>
      </w:r>
      <w:r>
        <w:fldChar w:fldCharType="separate"/>
      </w:r>
      <w:r>
        <w:t>87</w:t>
      </w:r>
      <w:r>
        <w:fldChar w:fldCharType="end"/>
      </w:r>
      <w:r>
        <w:rPr>
          <w:rFonts w:hint="default" w:ascii="Times New Roman" w:hAnsi="Times New Roman" w:cs="Times New Roman"/>
          <w:szCs w:val="20"/>
        </w:rPr>
        <w:fldChar w:fldCharType="end"/>
      </w:r>
    </w:p>
    <w:p w14:paraId="2E6E161C">
      <w:pPr>
        <w:pStyle w:val="11"/>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_Toc6292 </w:instrText>
      </w:r>
      <w:r>
        <w:rPr>
          <w:rFonts w:hint="default" w:ascii="Times New Roman" w:hAnsi="Times New Roman" w:cs="Times New Roman"/>
          <w:szCs w:val="20"/>
        </w:rPr>
        <w:fldChar w:fldCharType="separate"/>
      </w:r>
      <w:r>
        <w:rPr>
          <w:rFonts w:hint="eastAsia" w:ascii="Times New Roman" w:hAnsi="Times New Roman" w:cs="Times New Roman" w:eastAsiaTheme="minorEastAsia"/>
          <w:szCs w:val="28"/>
          <w:highlight w:val="none"/>
          <w:lang w:val="en-US" w:eastAsia="zh-CN"/>
        </w:rPr>
        <w:t>7</w:t>
      </w:r>
      <w:r>
        <w:rPr>
          <w:rFonts w:hint="default" w:ascii="Times New Roman" w:hAnsi="Times New Roman" w:cs="Times New Roman" w:eastAsiaTheme="minorEastAsia"/>
          <w:szCs w:val="28"/>
          <w:highlight w:val="none"/>
          <w:lang w:val="en-US" w:eastAsia="zh-CN"/>
        </w:rPr>
        <w:t>.3</w:t>
      </w:r>
      <w:r>
        <w:rPr>
          <w:rFonts w:hint="eastAsia" w:ascii="Times New Roman" w:hAnsi="Times New Roman" w:cs="Times New Roman" w:eastAsiaTheme="minorEastAsia"/>
          <w:szCs w:val="28"/>
          <w:highlight w:val="none"/>
          <w:lang w:val="en-US" w:eastAsia="zh-CN"/>
        </w:rPr>
        <w:t>监测频率与预警</w:t>
      </w:r>
      <w:r>
        <w:tab/>
      </w:r>
      <w:r>
        <w:fldChar w:fldCharType="begin"/>
      </w:r>
      <w:r>
        <w:instrText xml:space="preserve"> PAGEREF _Toc6292 \h </w:instrText>
      </w:r>
      <w:r>
        <w:fldChar w:fldCharType="separate"/>
      </w:r>
      <w:r>
        <w:t>89</w:t>
      </w:r>
      <w:r>
        <w:fldChar w:fldCharType="end"/>
      </w:r>
      <w:r>
        <w:rPr>
          <w:rFonts w:hint="default" w:ascii="Times New Roman" w:hAnsi="Times New Roman" w:cs="Times New Roman"/>
          <w:szCs w:val="20"/>
        </w:rPr>
        <w:fldChar w:fldCharType="end"/>
      </w:r>
    </w:p>
    <w:p w14:paraId="0A030BF5">
      <w:pPr>
        <w:pStyle w:val="11"/>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_Toc25841 </w:instrText>
      </w:r>
      <w:r>
        <w:rPr>
          <w:rFonts w:hint="default" w:ascii="Times New Roman" w:hAnsi="Times New Roman" w:cs="Times New Roman"/>
          <w:szCs w:val="20"/>
        </w:rPr>
        <w:fldChar w:fldCharType="separate"/>
      </w:r>
      <w:r>
        <w:rPr>
          <w:rFonts w:hint="eastAsia" w:ascii="Times New Roman" w:hAnsi="Times New Roman" w:cs="Times New Roman" w:eastAsiaTheme="minorEastAsia"/>
          <w:szCs w:val="28"/>
          <w:highlight w:val="none"/>
          <w:lang w:val="en-US" w:eastAsia="zh-CN"/>
        </w:rPr>
        <w:t>7</w:t>
      </w:r>
      <w:r>
        <w:rPr>
          <w:rFonts w:hint="default" w:ascii="Times New Roman" w:hAnsi="Times New Roman" w:cs="Times New Roman" w:eastAsiaTheme="minorEastAsia"/>
          <w:szCs w:val="28"/>
          <w:highlight w:val="none"/>
          <w:lang w:val="en-US" w:eastAsia="zh-CN"/>
        </w:rPr>
        <w:t>.4</w:t>
      </w:r>
      <w:r>
        <w:rPr>
          <w:rFonts w:hint="eastAsia" w:ascii="Times New Roman" w:hAnsi="Times New Roman" w:cs="Times New Roman" w:eastAsiaTheme="minorEastAsia"/>
          <w:szCs w:val="28"/>
          <w:highlight w:val="none"/>
          <w:lang w:val="en-US" w:eastAsia="zh-CN"/>
        </w:rPr>
        <w:t>监测报告与成果</w:t>
      </w:r>
      <w:r>
        <w:tab/>
      </w:r>
      <w:r>
        <w:fldChar w:fldCharType="begin"/>
      </w:r>
      <w:r>
        <w:instrText xml:space="preserve"> PAGEREF _Toc25841 \h </w:instrText>
      </w:r>
      <w:r>
        <w:fldChar w:fldCharType="separate"/>
      </w:r>
      <w:r>
        <w:t>91</w:t>
      </w:r>
      <w:r>
        <w:fldChar w:fldCharType="end"/>
      </w:r>
      <w:r>
        <w:rPr>
          <w:rFonts w:hint="default" w:ascii="Times New Roman" w:hAnsi="Times New Roman" w:cs="Times New Roman"/>
          <w:szCs w:val="20"/>
        </w:rPr>
        <w:fldChar w:fldCharType="end"/>
      </w:r>
    </w:p>
    <w:p w14:paraId="49C0B2BC">
      <w:pPr>
        <w:pStyle w:val="10"/>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_Toc24478 </w:instrText>
      </w:r>
      <w:r>
        <w:rPr>
          <w:rFonts w:hint="default" w:ascii="Times New Roman" w:hAnsi="Times New Roman" w:cs="Times New Roman"/>
          <w:szCs w:val="20"/>
        </w:rPr>
        <w:fldChar w:fldCharType="separate"/>
      </w:r>
      <w:r>
        <w:rPr>
          <w:rFonts w:hint="default" w:ascii="Times New Roman" w:hAnsi="Times New Roman" w:cs="Times New Roman" w:eastAsiaTheme="minorEastAsia"/>
          <w:szCs w:val="30"/>
          <w:lang w:val="en-US" w:eastAsia="zh-CN"/>
        </w:rPr>
        <w:t>8  检测与验收</w:t>
      </w:r>
      <w:r>
        <w:tab/>
      </w:r>
      <w:r>
        <w:fldChar w:fldCharType="begin"/>
      </w:r>
      <w:r>
        <w:instrText xml:space="preserve"> PAGEREF _Toc24478 \h </w:instrText>
      </w:r>
      <w:r>
        <w:fldChar w:fldCharType="separate"/>
      </w:r>
      <w:r>
        <w:t>92</w:t>
      </w:r>
      <w:r>
        <w:fldChar w:fldCharType="end"/>
      </w:r>
      <w:r>
        <w:rPr>
          <w:rFonts w:hint="default" w:ascii="Times New Roman" w:hAnsi="Times New Roman" w:cs="Times New Roman"/>
          <w:szCs w:val="20"/>
        </w:rPr>
        <w:fldChar w:fldCharType="end"/>
      </w:r>
    </w:p>
    <w:p w14:paraId="6F0F08C6">
      <w:pPr>
        <w:pStyle w:val="11"/>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_Toc3257 </w:instrText>
      </w:r>
      <w:r>
        <w:rPr>
          <w:rFonts w:hint="default" w:ascii="Times New Roman" w:hAnsi="Times New Roman" w:cs="Times New Roman"/>
          <w:szCs w:val="20"/>
        </w:rPr>
        <w:fldChar w:fldCharType="separate"/>
      </w:r>
      <w:r>
        <w:rPr>
          <w:rFonts w:hint="default" w:ascii="Times New Roman" w:hAnsi="Times New Roman" w:cs="Times New Roman" w:eastAsiaTheme="minorEastAsia"/>
          <w:szCs w:val="28"/>
          <w:lang w:val="en-US" w:eastAsia="zh-CN"/>
        </w:rPr>
        <w:t>8.1一般规定</w:t>
      </w:r>
      <w:r>
        <w:tab/>
      </w:r>
      <w:r>
        <w:fldChar w:fldCharType="begin"/>
      </w:r>
      <w:r>
        <w:instrText xml:space="preserve"> PAGEREF _Toc3257 \h </w:instrText>
      </w:r>
      <w:r>
        <w:fldChar w:fldCharType="separate"/>
      </w:r>
      <w:r>
        <w:t>92</w:t>
      </w:r>
      <w:r>
        <w:fldChar w:fldCharType="end"/>
      </w:r>
      <w:r>
        <w:rPr>
          <w:rFonts w:hint="default" w:ascii="Times New Roman" w:hAnsi="Times New Roman" w:cs="Times New Roman"/>
          <w:szCs w:val="20"/>
        </w:rPr>
        <w:fldChar w:fldCharType="end"/>
      </w:r>
    </w:p>
    <w:p w14:paraId="78B2E2B9">
      <w:pPr>
        <w:pStyle w:val="11"/>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_Toc14511 </w:instrText>
      </w:r>
      <w:r>
        <w:rPr>
          <w:rFonts w:hint="default" w:ascii="Times New Roman" w:hAnsi="Times New Roman" w:cs="Times New Roman"/>
          <w:szCs w:val="20"/>
        </w:rPr>
        <w:fldChar w:fldCharType="separate"/>
      </w:r>
      <w:r>
        <w:rPr>
          <w:rFonts w:hint="default" w:ascii="Times New Roman" w:hAnsi="Times New Roman" w:cs="Times New Roman" w:eastAsiaTheme="minorEastAsia"/>
          <w:szCs w:val="28"/>
          <w:lang w:val="en-US" w:eastAsia="zh-CN"/>
        </w:rPr>
        <w:t>8.2质量检测</w:t>
      </w:r>
      <w:r>
        <w:tab/>
      </w:r>
      <w:r>
        <w:fldChar w:fldCharType="begin"/>
      </w:r>
      <w:r>
        <w:instrText xml:space="preserve"> PAGEREF _Toc14511 \h </w:instrText>
      </w:r>
      <w:r>
        <w:fldChar w:fldCharType="separate"/>
      </w:r>
      <w:r>
        <w:t>92</w:t>
      </w:r>
      <w:r>
        <w:fldChar w:fldCharType="end"/>
      </w:r>
      <w:r>
        <w:rPr>
          <w:rFonts w:hint="default" w:ascii="Times New Roman" w:hAnsi="Times New Roman" w:cs="Times New Roman"/>
          <w:szCs w:val="20"/>
        </w:rPr>
        <w:fldChar w:fldCharType="end"/>
      </w:r>
    </w:p>
    <w:p w14:paraId="743AEAEC">
      <w:pPr>
        <w:pStyle w:val="11"/>
        <w:tabs>
          <w:tab w:val="right" w:leader="dot" w:pos="8845"/>
        </w:tabs>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HYPERLINK \l _Toc15081 </w:instrText>
      </w:r>
      <w:r>
        <w:rPr>
          <w:rFonts w:hint="default" w:ascii="Times New Roman" w:hAnsi="Times New Roman" w:cs="Times New Roman"/>
          <w:szCs w:val="20"/>
        </w:rPr>
        <w:fldChar w:fldCharType="separate"/>
      </w:r>
      <w:r>
        <w:rPr>
          <w:rFonts w:hint="default" w:ascii="Times New Roman" w:hAnsi="Times New Roman" w:cs="Times New Roman" w:eastAsiaTheme="minorEastAsia"/>
          <w:szCs w:val="28"/>
          <w:lang w:val="en-US" w:eastAsia="zh-CN"/>
        </w:rPr>
        <w:t>8.3成果验收</w:t>
      </w:r>
      <w:r>
        <w:tab/>
      </w:r>
      <w:r>
        <w:fldChar w:fldCharType="begin"/>
      </w:r>
      <w:r>
        <w:instrText xml:space="preserve"> PAGEREF _Toc15081 \h </w:instrText>
      </w:r>
      <w:r>
        <w:fldChar w:fldCharType="separate"/>
      </w:r>
      <w:r>
        <w:t>92</w:t>
      </w:r>
      <w:r>
        <w:fldChar w:fldCharType="end"/>
      </w:r>
      <w:r>
        <w:rPr>
          <w:rFonts w:hint="default" w:ascii="Times New Roman" w:hAnsi="Times New Roman" w:cs="Times New Roman"/>
          <w:szCs w:val="20"/>
        </w:rPr>
        <w:fldChar w:fldCharType="end"/>
      </w:r>
    </w:p>
    <w:p w14:paraId="6B8DE997">
      <w:pPr>
        <w:pageBreakBefore w:val="0"/>
        <w:kinsoku/>
        <w:wordWrap/>
        <w:overflowPunct/>
        <w:topLinePunct w:val="0"/>
        <w:bidi w:val="0"/>
        <w:spacing w:line="360" w:lineRule="auto"/>
        <w:ind w:left="0" w:leftChars="0"/>
        <w:rPr>
          <w:rFonts w:hint="default" w:ascii="Times New Roman" w:hAnsi="Times New Roman" w:cs="Times New Roman"/>
        </w:rPr>
        <w:sectPr>
          <w:pgSz w:w="11906" w:h="16838"/>
          <w:pgMar w:top="2098" w:right="1474" w:bottom="1417" w:left="1587" w:header="851" w:footer="992" w:gutter="0"/>
          <w:cols w:space="720" w:num="1"/>
          <w:rtlGutter w:val="0"/>
          <w:docGrid w:type="lines" w:linePitch="312" w:charSpace="0"/>
        </w:sectPr>
      </w:pPr>
      <w:r>
        <w:rPr>
          <w:rFonts w:hint="default" w:ascii="Times New Roman" w:hAnsi="Times New Roman" w:cs="Times New Roman"/>
          <w:szCs w:val="20"/>
        </w:rPr>
        <w:fldChar w:fldCharType="end"/>
      </w:r>
    </w:p>
    <w:p w14:paraId="21803EB9">
      <w:pPr>
        <w:pStyle w:val="2"/>
        <w:suppressLineNumbers w:val="0"/>
        <w:spacing w:before="156" w:beforeLines="50" w:beforeAutospacing="0" w:after="156" w:afterLines="50" w:afterAutospacing="0" w:line="360" w:lineRule="auto"/>
        <w:ind w:left="0" w:firstLine="0"/>
        <w:rPr>
          <w:rFonts w:hint="default" w:ascii="Times New Roman" w:hAnsi="Times New Roman" w:cs="Times New Roman" w:eastAsiaTheme="minorEastAsia"/>
          <w:b/>
          <w:bCs w:val="0"/>
          <w:sz w:val="30"/>
          <w:szCs w:val="30"/>
          <w:lang w:val="en-US" w:eastAsia="zh-CN" w:bidi="ar-SA"/>
        </w:rPr>
      </w:pPr>
      <w:bookmarkStart w:id="15" w:name="_Toc15364"/>
      <w:r>
        <w:rPr>
          <w:rFonts w:hint="default" w:ascii="Times New Roman" w:hAnsi="Times New Roman" w:cs="Times New Roman" w:eastAsiaTheme="minorEastAsia"/>
          <w:b/>
          <w:bCs w:val="0"/>
          <w:sz w:val="30"/>
          <w:szCs w:val="30"/>
          <w:lang w:val="en-US" w:eastAsia="zh-CN" w:bidi="ar-SA"/>
        </w:rPr>
        <w:t>1  总  则</w:t>
      </w:r>
      <w:bookmarkEnd w:id="15"/>
    </w:p>
    <w:p w14:paraId="1BE1A92F">
      <w:pPr>
        <w:pageBreakBefore w:val="0"/>
        <w:kinsoku/>
        <w:wordWrap/>
        <w:overflowPunct/>
        <w:topLinePunct w:val="0"/>
        <w:bidi w:val="0"/>
        <w:spacing w:line="360" w:lineRule="auto"/>
        <w:ind w:left="0" w:leftChars="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b/>
          <w:bCs/>
          <w:sz w:val="24"/>
          <w:szCs w:val="24"/>
          <w:highlight w:val="none"/>
        </w:rPr>
        <w:t>1.0.1</w:t>
      </w:r>
      <w:r>
        <w:rPr>
          <w:rFonts w:hint="default" w:ascii="Times New Roman" w:hAnsi="Times New Roman" w:eastAsia="宋体" w:cs="Times New Roman"/>
          <w:sz w:val="24"/>
          <w:szCs w:val="24"/>
          <w:highlight w:val="none"/>
        </w:rPr>
        <w:t xml:space="preserve"> </w:t>
      </w:r>
      <w:r>
        <w:rPr>
          <w:rFonts w:hint="default" w:ascii="Times New Roman" w:hAnsi="Times New Roman" w:eastAsia="宋体" w:cs="Times New Roman"/>
          <w:sz w:val="24"/>
          <w:szCs w:val="24"/>
          <w:highlight w:val="none"/>
          <w:lang w:val="en-US" w:eastAsia="zh-CN"/>
        </w:rPr>
        <w:t>为规范基坑工程鉴定与加固的技术要求及工程活动，保护周边环境，做到安全可靠、技术先进、经济合理，制定本标准。</w:t>
      </w:r>
    </w:p>
    <w:p w14:paraId="3E67BAA9">
      <w:pPr>
        <w:keepNext w:val="0"/>
        <w:keepLines w:val="0"/>
        <w:widowControl/>
        <w:suppressLineNumbers w:val="0"/>
        <w:jc w:val="left"/>
        <w:rPr>
          <w:rFonts w:hint="default" w:ascii="Times New Roman" w:hAnsi="Times New Roman" w:eastAsia="楷体" w:cs="Times New Roman"/>
          <w:sz w:val="24"/>
          <w:szCs w:val="28"/>
          <w:u w:val="single"/>
          <w:lang w:val="zh-CN" w:eastAsia="zh-CN"/>
        </w:rPr>
      </w:pPr>
      <w:r>
        <w:rPr>
          <w:rFonts w:hint="default" w:ascii="Times New Roman" w:hAnsi="Times New Roman" w:eastAsia="楷体" w:cs="Times New Roman"/>
          <w:sz w:val="24"/>
          <w:szCs w:val="28"/>
          <w:u w:val="single"/>
          <w:lang w:val="zh-CN" w:eastAsia="zh-CN"/>
        </w:rPr>
        <w:t>【条文说明】</w:t>
      </w:r>
      <w:r>
        <w:rPr>
          <w:rFonts w:hint="default" w:ascii="Times New Roman" w:hAnsi="Times New Roman" w:eastAsia="楷体" w:cs="Times New Roman"/>
          <w:sz w:val="24"/>
          <w:szCs w:val="28"/>
          <w:u w:val="single"/>
          <w:lang w:val="en-US" w:eastAsia="zh-CN"/>
        </w:rPr>
        <w:t>目前四川省尚无基坑工程鉴定与加固的专用标准，在实际中，涉及基坑工程勘察、设计、施工等相关内容只能借鉴《建筑基坑支护技术规程》JGJ 120、《岩土工程勘察规范》GB 50021、《建筑地基基础设计规范》GB 50007以及《建筑边坡工程鉴定与加固技术规范》GB 50843、《四川省基坑工程勘察设计技术标准》DBJ51/T236、《四川省基坑工程施工安全技术标准》DBJ51/T 5072、《既有建筑地基基础加固技术规范》JGJ 123等其他工程类型的鉴定与加固标准。四川省在基坑工程鉴定与加固工作中缺乏指导性标准，致使各家鉴定单位检测鉴定标准不统一，加固措施不到位而留下安全隐患，或由于加固措施保守而造成的资源浪费，故制定了本标准。</w:t>
      </w:r>
    </w:p>
    <w:p w14:paraId="67596FF0">
      <w:pPr>
        <w:bidi w:val="0"/>
        <w:rPr>
          <w:rFonts w:hint="default" w:ascii="Times New Roman" w:hAnsi="Times New Roman" w:cs="Times New Roman"/>
          <w:lang w:val="en-US" w:eastAsia="zh-CN"/>
        </w:rPr>
      </w:pPr>
      <w:r>
        <w:rPr>
          <w:rFonts w:hint="default" w:ascii="Times New Roman" w:hAnsi="Times New Roman" w:cs="Times New Roman"/>
          <w:b/>
          <w:bCs/>
          <w:lang w:val="en-US" w:eastAsia="zh-CN"/>
        </w:rPr>
        <w:t>1.0.2</w:t>
      </w:r>
      <w:r>
        <w:rPr>
          <w:rFonts w:hint="default" w:ascii="Times New Roman" w:hAnsi="Times New Roman" w:cs="Times New Roman"/>
          <w:lang w:val="en-US" w:eastAsia="zh-CN"/>
        </w:rPr>
        <w:t xml:space="preserve"> 本标准适用于四川省建筑与市政基坑工程的鉴定、加固设计、施工、验收与监测。</w:t>
      </w:r>
    </w:p>
    <w:p w14:paraId="0259A43E">
      <w:pPr>
        <w:bidi w:val="0"/>
        <w:rPr>
          <w:rFonts w:hint="default" w:ascii="Times New Roman" w:hAnsi="Times New Roman" w:cs="Times New Roman"/>
          <w:lang w:val="en-US" w:eastAsia="zh-CN"/>
        </w:rPr>
      </w:pPr>
      <w:r>
        <w:rPr>
          <w:rFonts w:hint="default" w:ascii="Times New Roman" w:hAnsi="Times New Roman" w:cs="Times New Roman"/>
          <w:b/>
          <w:bCs/>
          <w:lang w:val="en-US" w:eastAsia="zh-CN"/>
        </w:rPr>
        <w:t>1.0.3</w:t>
      </w:r>
      <w:r>
        <w:rPr>
          <w:rFonts w:hint="default" w:ascii="Times New Roman" w:hAnsi="Times New Roman" w:cs="Times New Roman"/>
          <w:lang w:val="en-US" w:eastAsia="zh-CN"/>
        </w:rPr>
        <w:t xml:space="preserve"> 基坑工程的鉴定与加固除应符合本标准外，尚应符合国家现行有关标准的规定。</w:t>
      </w:r>
    </w:p>
    <w:p w14:paraId="3F93D851">
      <w:pPr>
        <w:spacing w:line="360" w:lineRule="auto"/>
        <w:rPr>
          <w:rFonts w:hint="default" w:ascii="Times New Roman" w:hAnsi="Times New Roman" w:eastAsia="楷体" w:cs="Times New Roman"/>
          <w:sz w:val="24"/>
          <w:szCs w:val="28"/>
          <w:u w:val="single"/>
          <w:lang w:val="en-US" w:eastAsia="zh-CN"/>
        </w:rPr>
      </w:pPr>
      <w:r>
        <w:rPr>
          <w:rFonts w:hint="default" w:ascii="Times New Roman" w:hAnsi="Times New Roman" w:eastAsia="楷体" w:cs="Times New Roman"/>
          <w:sz w:val="24"/>
          <w:szCs w:val="28"/>
          <w:u w:val="single"/>
          <w:lang w:val="en-US" w:eastAsia="zh-CN"/>
        </w:rPr>
        <w:t>【条文说明】基坑工程作为建设工程领域的重要组成部分，涵盖了结构工程领域的混凝土结构、钢结构等，岩土工程领域的桩基础、地基处理、岩土锚固、地下水渗流等方面；同事也涉及特殊性土如膨胀岩土、深厚填土、昔格达地层及岩溶地区等方面。在进行基坑工程鉴定加固时，必须依据工程的实际情况，选择恰当的国家现行标准和方法，进行必要的分析和验算。因此，在运用本标准的过程中，还应结合具体问题，遵循其他现行国家相关标准的规定。</w:t>
      </w:r>
    </w:p>
    <w:p w14:paraId="3CBC6846">
      <w:pPr>
        <w:pStyle w:val="2"/>
        <w:suppressLineNumbers w:val="0"/>
        <w:spacing w:before="156" w:beforeLines="50" w:beforeAutospacing="0" w:after="156" w:afterLines="50" w:afterAutospacing="0" w:line="360" w:lineRule="auto"/>
        <w:ind w:left="0" w:firstLine="0"/>
        <w:rPr>
          <w:rFonts w:hint="default" w:ascii="Times New Roman" w:hAnsi="Times New Roman" w:cs="Times New Roman" w:eastAsiaTheme="minorEastAsia"/>
          <w:b/>
          <w:bCs w:val="0"/>
          <w:sz w:val="30"/>
          <w:szCs w:val="30"/>
          <w:lang w:val="en-US" w:eastAsia="zh-CN" w:bidi="ar-SA"/>
        </w:rPr>
      </w:pPr>
      <w:r>
        <w:rPr>
          <w:rFonts w:hint="default" w:ascii="Times New Roman" w:hAnsi="Times New Roman" w:eastAsia="仿宋" w:cs="Times New Roman"/>
          <w:bCs/>
          <w:kern w:val="44"/>
          <w:sz w:val="28"/>
          <w:szCs w:val="28"/>
          <w:highlight w:val="none"/>
          <w:lang w:val="zh-CN" w:eastAsia="zh-CN" w:bidi="ar"/>
        </w:rPr>
        <w:br w:type="page"/>
      </w:r>
      <w:bookmarkStart w:id="16" w:name="_Toc21503"/>
      <w:r>
        <w:rPr>
          <w:rFonts w:hint="default" w:ascii="Times New Roman" w:hAnsi="Times New Roman" w:cs="Times New Roman" w:eastAsiaTheme="minorEastAsia"/>
          <w:b/>
          <w:bCs w:val="0"/>
          <w:sz w:val="30"/>
          <w:szCs w:val="30"/>
          <w:lang w:val="en-US" w:eastAsia="zh-CN" w:bidi="ar-SA"/>
        </w:rPr>
        <w:t>2  术语与符号</w:t>
      </w:r>
      <w:bookmarkEnd w:id="16"/>
    </w:p>
    <w:p w14:paraId="10D3A2D2">
      <w:pPr>
        <w:pStyle w:val="3"/>
        <w:suppressLineNumbers w:val="0"/>
        <w:spacing w:before="0" w:beforeLines="-2147483648" w:beforeAutospacing="0" w:after="0" w:afterLines="-2147483648" w:afterAutospacing="0" w:line="360" w:lineRule="auto"/>
        <w:ind w:left="0" w:firstLine="0"/>
        <w:rPr>
          <w:rFonts w:hint="default" w:ascii="Times New Roman" w:hAnsi="Times New Roman" w:cs="Times New Roman" w:eastAsiaTheme="minorEastAsia"/>
          <w:bCs w:val="0"/>
          <w:sz w:val="28"/>
          <w:szCs w:val="28"/>
          <w:lang w:val="en-US" w:eastAsia="zh-CN" w:bidi="ar-SA"/>
        </w:rPr>
      </w:pPr>
      <w:bookmarkStart w:id="17" w:name="_Toc23643"/>
      <w:r>
        <w:rPr>
          <w:rFonts w:hint="default" w:ascii="Times New Roman" w:hAnsi="Times New Roman" w:cs="Times New Roman" w:eastAsiaTheme="minorEastAsia"/>
          <w:bCs w:val="0"/>
          <w:sz w:val="28"/>
          <w:szCs w:val="28"/>
          <w:lang w:val="en-US" w:eastAsia="zh-CN" w:bidi="ar-SA"/>
        </w:rPr>
        <w:t>2.1术语</w:t>
      </w:r>
      <w:bookmarkEnd w:id="17"/>
    </w:p>
    <w:p w14:paraId="149CF4AD">
      <w:pPr>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firstLine="482" w:firstLineChars="200"/>
        <w:jc w:val="both"/>
        <w:textAlignment w:val="auto"/>
        <w:outlineLvl w:val="2"/>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2.0.</w:t>
      </w:r>
      <w:r>
        <w:rPr>
          <w:rFonts w:hint="default" w:ascii="Times New Roman" w:hAnsi="Times New Roman" w:cs="Times New Roman"/>
          <w:b/>
          <w:bCs/>
          <w:kern w:val="2"/>
          <w:sz w:val="24"/>
          <w:szCs w:val="24"/>
          <w:highlight w:val="none"/>
          <w:lang w:val="en-US" w:eastAsia="zh-CN" w:bidi="ar-SA"/>
        </w:rPr>
        <w:t>1</w:t>
      </w:r>
      <w:r>
        <w:rPr>
          <w:rFonts w:hint="default" w:ascii="Times New Roman" w:hAnsi="Times New Roman" w:eastAsia="宋体" w:cs="Times New Roman"/>
          <w:b/>
          <w:bCs/>
          <w:kern w:val="2"/>
          <w:sz w:val="24"/>
          <w:szCs w:val="24"/>
          <w:highlight w:val="none"/>
          <w:lang w:val="en-US" w:eastAsia="zh-CN" w:bidi="ar-SA"/>
        </w:rPr>
        <w:t xml:space="preserve"> </w:t>
      </w:r>
      <w:r>
        <w:rPr>
          <w:rFonts w:hint="default" w:ascii="Times New Roman" w:hAnsi="Times New Roman" w:eastAsia="宋体" w:cs="Times New Roman"/>
          <w:b/>
          <w:bCs/>
          <w:color w:val="000000"/>
          <w:kern w:val="2"/>
          <w:sz w:val="24"/>
          <w:szCs w:val="24"/>
          <w:highlight w:val="none"/>
          <w:lang w:val="en-US" w:eastAsia="zh-CN" w:bidi="ar-SA"/>
        </w:rPr>
        <w:t>基坑施工质量鉴定  q</w:t>
      </w:r>
      <w:r>
        <w:rPr>
          <w:rFonts w:hint="default" w:ascii="Times New Roman" w:hAnsi="Times New Roman" w:eastAsia="宋体" w:cs="Times New Roman"/>
          <w:b/>
          <w:bCs/>
          <w:kern w:val="2"/>
          <w:sz w:val="24"/>
          <w:szCs w:val="24"/>
          <w:highlight w:val="none"/>
          <w:lang w:val="en-US" w:eastAsia="zh-CN" w:bidi="ar-SA"/>
        </w:rPr>
        <w:t>uality appraisal of excavations</w:t>
      </w:r>
    </w:p>
    <w:p w14:paraId="2D2E9DED">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对支护结构、地下水控制及其加固措施等施工质量</w:t>
      </w:r>
      <w:r>
        <w:rPr>
          <w:rFonts w:hint="default" w:ascii="Times New Roman" w:hAnsi="Times New Roman" w:cs="Times New Roman"/>
          <w:sz w:val="24"/>
          <w:szCs w:val="24"/>
          <w:highlight w:val="none"/>
          <w:lang w:val="en-US" w:eastAsia="zh-CN"/>
        </w:rPr>
        <w:t>依据</w:t>
      </w:r>
      <w:r>
        <w:rPr>
          <w:rFonts w:hint="default" w:ascii="Times New Roman" w:hAnsi="Times New Roman" w:eastAsia="宋体" w:cs="Times New Roman"/>
          <w:sz w:val="24"/>
          <w:szCs w:val="24"/>
          <w:highlight w:val="none"/>
          <w:lang w:val="en-US" w:eastAsia="zh-CN"/>
        </w:rPr>
        <w:t>设计要求及相关技术标准所进行的调查、检验、鉴定分析与评价等工作。</w:t>
      </w:r>
    </w:p>
    <w:p w14:paraId="2A3002DC">
      <w:pPr>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2.0.</w:t>
      </w:r>
      <w:r>
        <w:rPr>
          <w:rFonts w:hint="default" w:ascii="Times New Roman" w:hAnsi="Times New Roman" w:cs="Times New Roman"/>
          <w:b/>
          <w:bCs/>
          <w:kern w:val="2"/>
          <w:sz w:val="24"/>
          <w:szCs w:val="24"/>
          <w:highlight w:val="none"/>
          <w:lang w:val="en-US" w:eastAsia="zh-CN" w:bidi="ar-SA"/>
        </w:rPr>
        <w:t>2</w:t>
      </w:r>
      <w:r>
        <w:rPr>
          <w:rFonts w:hint="default" w:ascii="Times New Roman" w:hAnsi="Times New Roman" w:eastAsia="宋体" w:cs="Times New Roman"/>
          <w:b/>
          <w:bCs/>
          <w:kern w:val="2"/>
          <w:sz w:val="24"/>
          <w:szCs w:val="24"/>
          <w:highlight w:val="none"/>
          <w:lang w:val="en-US" w:eastAsia="zh-CN" w:bidi="ar-SA"/>
        </w:rPr>
        <w:t xml:space="preserve"> 基坑安全性鉴定</w:t>
      </w:r>
      <w:r>
        <w:rPr>
          <w:rFonts w:hint="default" w:ascii="Times New Roman" w:hAnsi="Times New Roman" w:cs="Times New Roman"/>
          <w:b/>
          <w:bCs/>
          <w:kern w:val="2"/>
          <w:sz w:val="24"/>
          <w:szCs w:val="24"/>
          <w:highlight w:val="none"/>
          <w:lang w:val="en-US" w:eastAsia="zh-CN" w:bidi="ar-SA"/>
        </w:rPr>
        <w:t xml:space="preserve">  </w:t>
      </w:r>
      <w:r>
        <w:rPr>
          <w:rFonts w:hint="eastAsia" w:cs="Times New Roman"/>
          <w:b/>
          <w:bCs/>
          <w:kern w:val="2"/>
          <w:sz w:val="24"/>
          <w:szCs w:val="24"/>
          <w:highlight w:val="none"/>
          <w:lang w:val="en-US" w:eastAsia="zh-CN" w:bidi="ar-SA"/>
        </w:rPr>
        <w:t>s</w:t>
      </w:r>
      <w:r>
        <w:rPr>
          <w:rFonts w:hint="default" w:ascii="Times New Roman" w:hAnsi="Times New Roman" w:cs="Times New Roman"/>
          <w:b/>
          <w:bCs/>
          <w:kern w:val="2"/>
          <w:sz w:val="24"/>
          <w:szCs w:val="24"/>
          <w:highlight w:val="none"/>
          <w:lang w:val="en-US" w:eastAsia="zh-CN" w:bidi="ar-SA"/>
        </w:rPr>
        <w:t>afety appraisal of excavations</w:t>
      </w:r>
    </w:p>
    <w:p w14:paraId="0D52747E">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对支护结构构件承载力、地表水和地下水</w:t>
      </w:r>
      <w:r>
        <w:rPr>
          <w:rFonts w:hint="default" w:ascii="Times New Roman" w:hAnsi="Times New Roman" w:cs="Times New Roman"/>
          <w:sz w:val="24"/>
          <w:szCs w:val="24"/>
          <w:highlight w:val="none"/>
          <w:lang w:val="en-US" w:eastAsia="zh-CN"/>
        </w:rPr>
        <w:t>及其</w:t>
      </w:r>
      <w:r>
        <w:rPr>
          <w:rFonts w:hint="default" w:ascii="Times New Roman" w:hAnsi="Times New Roman" w:eastAsia="宋体" w:cs="Times New Roman"/>
          <w:sz w:val="24"/>
          <w:szCs w:val="24"/>
          <w:highlight w:val="none"/>
          <w:lang w:val="en-US" w:eastAsia="zh-CN"/>
        </w:rPr>
        <w:t>控制效果、基坑稳定性及其对基坑周围环境影响所进行的调查、检验、鉴定分析与评价等工作。</w:t>
      </w:r>
    </w:p>
    <w:p w14:paraId="5FC2B528">
      <w:pPr>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firstLine="482" w:firstLineChars="200"/>
        <w:jc w:val="both"/>
        <w:textAlignment w:val="auto"/>
        <w:outlineLvl w:val="2"/>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2.0.</w:t>
      </w:r>
      <w:r>
        <w:rPr>
          <w:rFonts w:hint="default" w:ascii="Times New Roman" w:hAnsi="Times New Roman" w:cs="Times New Roman"/>
          <w:b/>
          <w:bCs/>
          <w:kern w:val="2"/>
          <w:sz w:val="24"/>
          <w:szCs w:val="24"/>
          <w:highlight w:val="none"/>
          <w:lang w:val="en-US" w:eastAsia="zh-CN" w:bidi="ar-SA"/>
        </w:rPr>
        <w:t>3</w:t>
      </w:r>
      <w:r>
        <w:rPr>
          <w:rFonts w:hint="default" w:ascii="Times New Roman" w:hAnsi="Times New Roman" w:eastAsia="宋体" w:cs="Times New Roman"/>
          <w:b/>
          <w:bCs/>
          <w:kern w:val="2"/>
          <w:sz w:val="24"/>
          <w:szCs w:val="24"/>
          <w:highlight w:val="none"/>
          <w:lang w:val="en-US" w:eastAsia="zh-CN" w:bidi="ar-SA"/>
        </w:rPr>
        <w:t xml:space="preserve"> 基坑工程加固 </w:t>
      </w:r>
      <w:r>
        <w:rPr>
          <w:rFonts w:hint="default" w:ascii="Times New Roman" w:hAnsi="Times New Roman" w:cs="Times New Roman"/>
          <w:b/>
          <w:bCs/>
          <w:kern w:val="2"/>
          <w:sz w:val="24"/>
          <w:szCs w:val="24"/>
          <w:highlight w:val="none"/>
          <w:lang w:val="en-US" w:eastAsia="zh-CN" w:bidi="ar-SA"/>
        </w:rPr>
        <w:t>r</w:t>
      </w:r>
      <w:r>
        <w:rPr>
          <w:rFonts w:hint="default" w:ascii="Times New Roman" w:hAnsi="Times New Roman" w:eastAsia="宋体" w:cs="Times New Roman"/>
          <w:b/>
          <w:bCs/>
          <w:kern w:val="2"/>
          <w:sz w:val="24"/>
          <w:szCs w:val="24"/>
          <w:highlight w:val="none"/>
          <w:lang w:val="en-US" w:eastAsia="zh-CN" w:bidi="ar-SA"/>
        </w:rPr>
        <w:t>einforcement of foundation pit engineering</w:t>
      </w:r>
    </w:p>
    <w:p w14:paraId="7C953948">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b w:val="0"/>
          <w:bCs w:val="0"/>
          <w:kern w:val="2"/>
          <w:sz w:val="24"/>
          <w:szCs w:val="24"/>
          <w:highlight w:val="none"/>
          <w:lang w:val="en-US" w:eastAsia="zh-CN" w:bidi="ar-SA"/>
        </w:rPr>
        <w:t>对基坑工程及其相关部分采取增强、局部更换等措施，使其满足安全性、适用性和耐久性的工程活动。</w:t>
      </w:r>
    </w:p>
    <w:p w14:paraId="17ED9589">
      <w:pPr>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firstLine="482" w:firstLineChars="200"/>
        <w:jc w:val="both"/>
        <w:textAlignment w:val="auto"/>
        <w:outlineLvl w:val="2"/>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2.0.</w:t>
      </w:r>
      <w:r>
        <w:rPr>
          <w:rFonts w:hint="default" w:ascii="Times New Roman" w:hAnsi="Times New Roman" w:cs="Times New Roman"/>
          <w:b/>
          <w:bCs/>
          <w:kern w:val="2"/>
          <w:sz w:val="24"/>
          <w:szCs w:val="24"/>
          <w:highlight w:val="none"/>
          <w:lang w:val="en-US" w:eastAsia="zh-CN" w:bidi="ar-SA"/>
        </w:rPr>
        <w:t>4</w:t>
      </w:r>
      <w:r>
        <w:rPr>
          <w:rFonts w:hint="default" w:ascii="Times New Roman" w:hAnsi="Times New Roman" w:eastAsia="宋体" w:cs="Times New Roman"/>
          <w:b/>
          <w:bCs/>
          <w:kern w:val="2"/>
          <w:sz w:val="24"/>
          <w:szCs w:val="24"/>
          <w:highlight w:val="none"/>
          <w:lang w:val="en-US" w:eastAsia="zh-CN" w:bidi="ar-SA"/>
        </w:rPr>
        <w:t xml:space="preserve"> 基坑工程监测 monitoring of excavation engineering</w:t>
      </w:r>
    </w:p>
    <w:p w14:paraId="755E6173">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在基坑施工及使用阶段，采用仪器量测、现场巡视等手段和方法对基坑及周边环境的安全状况、变化特征及其发展趋势实施的定期或连续巡查、量测、监视以及数据采集、分析、反馈等工程活动。</w:t>
      </w:r>
    </w:p>
    <w:p w14:paraId="37CE61AA">
      <w:pPr>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firstLine="482" w:firstLineChars="200"/>
        <w:jc w:val="both"/>
        <w:textAlignment w:val="auto"/>
        <w:outlineLvl w:val="2"/>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2.0.</w:t>
      </w:r>
      <w:r>
        <w:rPr>
          <w:rFonts w:hint="default" w:ascii="Times New Roman" w:hAnsi="Times New Roman" w:cs="Times New Roman"/>
          <w:b/>
          <w:bCs/>
          <w:kern w:val="2"/>
          <w:sz w:val="24"/>
          <w:szCs w:val="24"/>
          <w:highlight w:val="none"/>
          <w:lang w:val="en-US" w:eastAsia="zh-CN" w:bidi="ar-SA"/>
        </w:rPr>
        <w:t>5</w:t>
      </w:r>
      <w:r>
        <w:rPr>
          <w:rFonts w:hint="default" w:ascii="Times New Roman" w:hAnsi="Times New Roman" w:eastAsia="宋体" w:cs="Times New Roman"/>
          <w:b/>
          <w:bCs/>
          <w:kern w:val="2"/>
          <w:sz w:val="24"/>
          <w:szCs w:val="24"/>
          <w:highlight w:val="none"/>
          <w:lang w:val="en-US" w:eastAsia="zh-CN" w:bidi="ar-SA"/>
        </w:rPr>
        <w:t xml:space="preserve"> 地下水控制  groundwater control</w:t>
      </w:r>
    </w:p>
    <w:p w14:paraId="358E0EA0">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en-US" w:eastAsia="zh-CN"/>
        </w:rPr>
        <w:t>为保障支护结构、土石方挖运、地下结构的正常施工，避免地下水变化对基坑周边环境造成影响而采取的截水、降水、排水、回灌等工程措施。</w:t>
      </w:r>
    </w:p>
    <w:p w14:paraId="448A0C22">
      <w:pPr>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firstLine="482" w:firstLineChars="200"/>
        <w:jc w:val="both"/>
        <w:textAlignment w:val="auto"/>
        <w:outlineLvl w:val="2"/>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2.0.</w:t>
      </w:r>
      <w:r>
        <w:rPr>
          <w:rFonts w:hint="default" w:ascii="Times New Roman" w:hAnsi="Times New Roman" w:cs="Times New Roman"/>
          <w:b/>
          <w:bCs/>
          <w:kern w:val="2"/>
          <w:sz w:val="24"/>
          <w:szCs w:val="24"/>
          <w:highlight w:val="none"/>
          <w:lang w:val="en-US" w:eastAsia="zh-CN" w:bidi="ar-SA"/>
        </w:rPr>
        <w:t>6</w:t>
      </w:r>
      <w:r>
        <w:rPr>
          <w:rFonts w:hint="default" w:ascii="Times New Roman" w:hAnsi="Times New Roman" w:eastAsia="宋体" w:cs="Times New Roman"/>
          <w:b/>
          <w:bCs/>
          <w:kern w:val="2"/>
          <w:sz w:val="24"/>
          <w:szCs w:val="24"/>
          <w:highlight w:val="none"/>
          <w:lang w:val="en-US" w:eastAsia="zh-CN" w:bidi="ar-SA"/>
        </w:rPr>
        <w:t xml:space="preserve"> 鉴定单元 appraisal</w:t>
      </w:r>
      <w:r>
        <w:rPr>
          <w:rFonts w:hint="default" w:ascii="Times New Roman" w:hAnsi="Times New Roman" w:cs="Times New Roman"/>
          <w:b/>
          <w:bCs/>
          <w:kern w:val="2"/>
          <w:sz w:val="24"/>
          <w:szCs w:val="24"/>
          <w:highlight w:val="none"/>
          <w:lang w:val="en-US" w:eastAsia="zh-CN" w:bidi="ar-SA"/>
        </w:rPr>
        <w:t xml:space="preserve"> </w:t>
      </w:r>
      <w:r>
        <w:rPr>
          <w:rFonts w:hint="default" w:ascii="Times New Roman" w:hAnsi="Times New Roman" w:eastAsia="宋体" w:cs="Times New Roman"/>
          <w:b/>
          <w:bCs/>
          <w:kern w:val="2"/>
          <w:sz w:val="24"/>
          <w:szCs w:val="24"/>
          <w:highlight w:val="none"/>
          <w:lang w:val="en-US" w:eastAsia="zh-CN" w:bidi="ar-SA"/>
        </w:rPr>
        <w:t>system</w:t>
      </w:r>
    </w:p>
    <w:p w14:paraId="6807F735">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en-US" w:eastAsia="zh-CN"/>
        </w:rPr>
        <w:t>依据</w:t>
      </w:r>
      <w:r>
        <w:rPr>
          <w:rFonts w:hint="default" w:ascii="Times New Roman" w:hAnsi="Times New Roman" w:eastAsia="宋体" w:cs="Times New Roman"/>
          <w:sz w:val="24"/>
          <w:szCs w:val="24"/>
          <w:highlight w:val="none"/>
          <w:lang w:val="en-US" w:eastAsia="zh-CN"/>
        </w:rPr>
        <w:t>被鉴定</w:t>
      </w:r>
      <w:r>
        <w:rPr>
          <w:rFonts w:hint="default" w:ascii="Times New Roman" w:hAnsi="Times New Roman" w:cs="Times New Roman"/>
          <w:sz w:val="24"/>
          <w:szCs w:val="24"/>
          <w:highlight w:val="none"/>
          <w:lang w:val="en-US" w:eastAsia="zh-CN"/>
        </w:rPr>
        <w:t>基坑</w:t>
      </w:r>
      <w:r>
        <w:rPr>
          <w:rFonts w:hint="default" w:ascii="Times New Roman" w:hAnsi="Times New Roman" w:eastAsia="宋体" w:cs="Times New Roman"/>
          <w:sz w:val="24"/>
          <w:szCs w:val="24"/>
          <w:highlight w:val="none"/>
          <w:lang w:val="en-US" w:eastAsia="zh-CN"/>
        </w:rPr>
        <w:t>的结构特点和结构体系的</w:t>
      </w:r>
      <w:r>
        <w:rPr>
          <w:rFonts w:hint="default" w:ascii="Times New Roman" w:hAnsi="Times New Roman" w:cs="Times New Roman"/>
          <w:sz w:val="24"/>
          <w:szCs w:val="24"/>
          <w:highlight w:val="none"/>
          <w:lang w:val="en-US" w:eastAsia="zh-CN"/>
        </w:rPr>
        <w:t>类型</w:t>
      </w:r>
      <w:r>
        <w:rPr>
          <w:rFonts w:hint="default" w:ascii="Times New Roman" w:hAnsi="Times New Roman" w:eastAsia="宋体" w:cs="Times New Roman"/>
          <w:sz w:val="24"/>
          <w:szCs w:val="24"/>
          <w:highlight w:val="none"/>
          <w:lang w:val="en-US" w:eastAsia="zh-CN"/>
        </w:rPr>
        <w:t>，将</w:t>
      </w:r>
      <w:r>
        <w:rPr>
          <w:rFonts w:hint="default" w:ascii="Times New Roman" w:hAnsi="Times New Roman" w:cs="Times New Roman"/>
          <w:sz w:val="24"/>
          <w:szCs w:val="24"/>
          <w:highlight w:val="none"/>
          <w:lang w:val="en-US" w:eastAsia="zh-CN"/>
        </w:rPr>
        <w:t>其</w:t>
      </w:r>
      <w:r>
        <w:rPr>
          <w:rFonts w:hint="default" w:ascii="Times New Roman" w:hAnsi="Times New Roman" w:eastAsia="宋体" w:cs="Times New Roman"/>
          <w:sz w:val="24"/>
          <w:szCs w:val="24"/>
          <w:highlight w:val="none"/>
          <w:lang w:val="en-US" w:eastAsia="zh-CN"/>
        </w:rPr>
        <w:t>划分成一个或若干个可以独立进行鉴定的区段</w:t>
      </w:r>
      <w:r>
        <w:rPr>
          <w:rFonts w:hint="default"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每一区段为一</w:t>
      </w:r>
      <w:r>
        <w:rPr>
          <w:rFonts w:hint="default" w:ascii="Times New Roman" w:hAnsi="Times New Roman" w:cs="Times New Roman"/>
          <w:sz w:val="24"/>
          <w:szCs w:val="24"/>
          <w:highlight w:val="none"/>
          <w:lang w:val="en-US" w:eastAsia="zh-CN"/>
        </w:rPr>
        <w:t>个</w:t>
      </w:r>
      <w:r>
        <w:rPr>
          <w:rFonts w:hint="default" w:ascii="Times New Roman" w:hAnsi="Times New Roman" w:eastAsia="宋体" w:cs="Times New Roman"/>
          <w:sz w:val="24"/>
          <w:szCs w:val="24"/>
          <w:highlight w:val="none"/>
          <w:lang w:val="en-US" w:eastAsia="zh-CN"/>
        </w:rPr>
        <w:t>鉴定单元。</w:t>
      </w:r>
    </w:p>
    <w:p w14:paraId="6723A48D">
      <w:pPr>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firstLine="482" w:firstLineChars="200"/>
        <w:jc w:val="both"/>
        <w:textAlignment w:val="auto"/>
        <w:outlineLvl w:val="2"/>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2.0.</w:t>
      </w:r>
      <w:r>
        <w:rPr>
          <w:rFonts w:hint="default" w:ascii="Times New Roman" w:hAnsi="Times New Roman" w:cs="Times New Roman"/>
          <w:b/>
          <w:bCs/>
          <w:kern w:val="2"/>
          <w:sz w:val="24"/>
          <w:szCs w:val="24"/>
          <w:highlight w:val="none"/>
          <w:lang w:val="en-US" w:eastAsia="zh-CN" w:bidi="ar-SA"/>
        </w:rPr>
        <w:t>7</w:t>
      </w:r>
      <w:r>
        <w:rPr>
          <w:rFonts w:hint="default" w:ascii="Times New Roman" w:hAnsi="Times New Roman" w:eastAsia="宋体" w:cs="Times New Roman"/>
          <w:b/>
          <w:bCs/>
          <w:kern w:val="2"/>
          <w:sz w:val="24"/>
          <w:szCs w:val="24"/>
          <w:highlight w:val="none"/>
          <w:lang w:val="en-US" w:eastAsia="zh-CN" w:bidi="ar-SA"/>
        </w:rPr>
        <w:t xml:space="preserve"> 子单元 sub-system</w:t>
      </w:r>
    </w:p>
    <w:p w14:paraId="11DF624E">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en-US" w:eastAsia="zh-CN"/>
        </w:rPr>
        <w:t>将</w:t>
      </w:r>
      <w:r>
        <w:rPr>
          <w:rFonts w:hint="default" w:ascii="Times New Roman" w:hAnsi="Times New Roman" w:eastAsia="宋体" w:cs="Times New Roman"/>
          <w:sz w:val="24"/>
          <w:szCs w:val="24"/>
          <w:highlight w:val="none"/>
          <w:lang w:val="en-US" w:eastAsia="zh-CN"/>
        </w:rPr>
        <w:t>鉴定单元</w:t>
      </w:r>
      <w:r>
        <w:rPr>
          <w:rFonts w:hint="default" w:ascii="Times New Roman" w:hAnsi="Times New Roman" w:cs="Times New Roman"/>
          <w:sz w:val="24"/>
          <w:szCs w:val="24"/>
          <w:highlight w:val="none"/>
          <w:lang w:val="en-US" w:eastAsia="zh-CN"/>
        </w:rPr>
        <w:t>再</w:t>
      </w:r>
      <w:r>
        <w:rPr>
          <w:rFonts w:hint="default" w:ascii="Times New Roman" w:hAnsi="Times New Roman" w:eastAsia="宋体" w:cs="Times New Roman"/>
          <w:sz w:val="24"/>
          <w:szCs w:val="24"/>
          <w:highlight w:val="none"/>
          <w:lang w:val="en-US" w:eastAsia="zh-CN"/>
        </w:rPr>
        <w:t>细分的构成组分单位。</w:t>
      </w:r>
    </w:p>
    <w:p w14:paraId="279AFCFD">
      <w:pPr>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firstLine="482" w:firstLineChars="200"/>
        <w:jc w:val="both"/>
        <w:textAlignment w:val="auto"/>
        <w:outlineLvl w:val="2"/>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2.0.</w:t>
      </w:r>
      <w:r>
        <w:rPr>
          <w:rFonts w:hint="default" w:ascii="Times New Roman" w:hAnsi="Times New Roman" w:cs="Times New Roman"/>
          <w:b/>
          <w:bCs/>
          <w:kern w:val="2"/>
          <w:sz w:val="24"/>
          <w:szCs w:val="24"/>
          <w:highlight w:val="none"/>
          <w:lang w:val="en-US" w:eastAsia="zh-CN" w:bidi="ar-SA"/>
        </w:rPr>
        <w:t>8</w:t>
      </w:r>
      <w:r>
        <w:rPr>
          <w:rFonts w:hint="default" w:ascii="Times New Roman" w:hAnsi="Times New Roman" w:eastAsia="宋体" w:cs="Times New Roman"/>
          <w:b/>
          <w:bCs/>
          <w:kern w:val="2"/>
          <w:sz w:val="24"/>
          <w:szCs w:val="24"/>
          <w:highlight w:val="none"/>
          <w:lang w:val="en-US" w:eastAsia="zh-CN" w:bidi="ar-SA"/>
        </w:rPr>
        <w:t xml:space="preserve"> 构件 member</w:t>
      </w:r>
    </w:p>
    <w:p w14:paraId="47729C14">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4"/>
          <w:highlight w:val="none"/>
          <w:lang w:val="en-US" w:eastAsia="zh-CN"/>
        </w:rPr>
      </w:pPr>
      <w:r>
        <w:rPr>
          <w:rFonts w:hint="default" w:ascii="Times New Roman" w:hAnsi="Times New Roman" w:cs="Times New Roman"/>
          <w:b w:val="0"/>
          <w:bCs w:val="0"/>
          <w:sz w:val="24"/>
          <w:szCs w:val="24"/>
          <w:highlight w:val="none"/>
          <w:lang w:val="en-US" w:eastAsia="zh-CN"/>
        </w:rPr>
        <w:t>子单元中进一步细分的基本鉴定单位，可为单件、组合件或一个片段。</w:t>
      </w:r>
    </w:p>
    <w:p w14:paraId="3CEB3A8F">
      <w:pPr>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firstLine="482" w:firstLineChars="200"/>
        <w:jc w:val="both"/>
        <w:textAlignment w:val="auto"/>
        <w:outlineLvl w:val="2"/>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2.</w:t>
      </w:r>
      <w:r>
        <w:rPr>
          <w:rFonts w:hint="default" w:ascii="Times New Roman" w:hAnsi="Times New Roman" w:cs="Times New Roman"/>
          <w:b/>
          <w:bCs/>
          <w:kern w:val="2"/>
          <w:sz w:val="24"/>
          <w:szCs w:val="24"/>
          <w:highlight w:val="none"/>
          <w:lang w:val="en-US" w:eastAsia="zh-CN" w:bidi="ar-SA"/>
        </w:rPr>
        <w:t>0</w:t>
      </w:r>
      <w:r>
        <w:rPr>
          <w:rFonts w:hint="default" w:ascii="Times New Roman" w:hAnsi="Times New Roman" w:eastAsia="宋体" w:cs="Times New Roman"/>
          <w:b/>
          <w:bCs/>
          <w:kern w:val="2"/>
          <w:sz w:val="24"/>
          <w:szCs w:val="24"/>
          <w:highlight w:val="none"/>
          <w:lang w:val="en-US" w:eastAsia="zh-CN" w:bidi="ar-SA"/>
        </w:rPr>
        <w:t>.</w:t>
      </w:r>
      <w:r>
        <w:rPr>
          <w:rFonts w:hint="default" w:ascii="Times New Roman" w:hAnsi="Times New Roman" w:cs="Times New Roman"/>
          <w:b/>
          <w:bCs/>
          <w:kern w:val="2"/>
          <w:sz w:val="24"/>
          <w:szCs w:val="24"/>
          <w:highlight w:val="none"/>
          <w:lang w:val="en-US" w:eastAsia="zh-CN" w:bidi="ar-SA"/>
        </w:rPr>
        <w:t>9</w:t>
      </w:r>
      <w:r>
        <w:rPr>
          <w:rFonts w:hint="default" w:ascii="Times New Roman" w:hAnsi="Times New Roman" w:eastAsia="宋体" w:cs="Times New Roman"/>
          <w:b/>
          <w:bCs/>
          <w:kern w:val="2"/>
          <w:sz w:val="24"/>
          <w:szCs w:val="24"/>
          <w:highlight w:val="none"/>
          <w:lang w:val="en-US" w:eastAsia="zh-CN" w:bidi="ar-SA"/>
        </w:rPr>
        <w:t xml:space="preserve"> 构件集 member assemblage</w:t>
      </w:r>
    </w:p>
    <w:p w14:paraId="7465464D">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4"/>
          <w:highlight w:val="none"/>
          <w:lang w:val="en-US" w:eastAsia="zh-CN"/>
        </w:rPr>
      </w:pPr>
      <w:r>
        <w:rPr>
          <w:rFonts w:hint="default" w:ascii="Times New Roman" w:hAnsi="Times New Roman" w:cs="Times New Roman"/>
          <w:b w:val="0"/>
          <w:bCs w:val="0"/>
          <w:sz w:val="24"/>
          <w:szCs w:val="24"/>
          <w:highlight w:val="none"/>
          <w:lang w:val="en-US" w:eastAsia="zh-CN"/>
        </w:rPr>
        <w:t>同种构件的集合，分为主要构件集和一般构件集。</w:t>
      </w:r>
    </w:p>
    <w:p w14:paraId="147DC2C2">
      <w:pPr>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firstLine="482" w:firstLineChars="200"/>
        <w:jc w:val="both"/>
        <w:textAlignment w:val="auto"/>
        <w:outlineLvl w:val="2"/>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2.</w:t>
      </w:r>
      <w:r>
        <w:rPr>
          <w:rFonts w:hint="default" w:ascii="Times New Roman" w:hAnsi="Times New Roman" w:cs="Times New Roman"/>
          <w:b/>
          <w:bCs/>
          <w:kern w:val="2"/>
          <w:sz w:val="24"/>
          <w:szCs w:val="24"/>
          <w:highlight w:val="none"/>
          <w:lang w:val="en-US" w:eastAsia="zh-CN" w:bidi="ar-SA"/>
        </w:rPr>
        <w:t>0</w:t>
      </w:r>
      <w:r>
        <w:rPr>
          <w:rFonts w:hint="default" w:ascii="Times New Roman" w:hAnsi="Times New Roman" w:eastAsia="宋体" w:cs="Times New Roman"/>
          <w:b/>
          <w:bCs/>
          <w:kern w:val="2"/>
          <w:sz w:val="24"/>
          <w:szCs w:val="24"/>
          <w:highlight w:val="none"/>
          <w:lang w:val="en-US" w:eastAsia="zh-CN" w:bidi="ar-SA"/>
        </w:rPr>
        <w:t>.1</w:t>
      </w:r>
      <w:r>
        <w:rPr>
          <w:rFonts w:hint="default" w:ascii="Times New Roman" w:hAnsi="Times New Roman" w:cs="Times New Roman"/>
          <w:b/>
          <w:bCs/>
          <w:kern w:val="2"/>
          <w:sz w:val="24"/>
          <w:szCs w:val="24"/>
          <w:highlight w:val="none"/>
          <w:lang w:val="en-US" w:eastAsia="zh-CN" w:bidi="ar-SA"/>
        </w:rPr>
        <w:t>0</w:t>
      </w:r>
      <w:r>
        <w:rPr>
          <w:rFonts w:hint="default" w:ascii="Times New Roman" w:hAnsi="Times New Roman" w:eastAsia="宋体" w:cs="Times New Roman"/>
          <w:b/>
          <w:bCs/>
          <w:kern w:val="2"/>
          <w:sz w:val="24"/>
          <w:szCs w:val="24"/>
          <w:highlight w:val="none"/>
          <w:lang w:val="en-US" w:eastAsia="zh-CN" w:bidi="ar-SA"/>
        </w:rPr>
        <w:t xml:space="preserve"> 主要构件 dominant</w:t>
      </w:r>
      <w:r>
        <w:rPr>
          <w:rFonts w:hint="default" w:ascii="Times New Roman" w:hAnsi="Times New Roman" w:cs="Times New Roman"/>
          <w:b/>
          <w:bCs/>
          <w:kern w:val="2"/>
          <w:sz w:val="24"/>
          <w:szCs w:val="24"/>
          <w:highlight w:val="none"/>
          <w:lang w:val="en-US" w:eastAsia="zh-CN" w:bidi="ar-SA"/>
        </w:rPr>
        <w:t xml:space="preserve"> </w:t>
      </w:r>
      <w:r>
        <w:rPr>
          <w:rFonts w:hint="default" w:ascii="Times New Roman" w:hAnsi="Times New Roman" w:eastAsia="宋体" w:cs="Times New Roman"/>
          <w:b/>
          <w:bCs/>
          <w:kern w:val="2"/>
          <w:sz w:val="24"/>
          <w:szCs w:val="24"/>
          <w:highlight w:val="none"/>
          <w:lang w:val="en-US" w:eastAsia="zh-CN" w:bidi="ar-SA"/>
        </w:rPr>
        <w:t>member</w:t>
      </w:r>
    </w:p>
    <w:p w14:paraId="40DA3C17">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4"/>
          <w:highlight w:val="none"/>
          <w:lang w:val="en-US" w:eastAsia="zh-CN"/>
        </w:rPr>
      </w:pPr>
      <w:r>
        <w:rPr>
          <w:rFonts w:hint="default" w:ascii="Times New Roman" w:hAnsi="Times New Roman" w:cs="Times New Roman"/>
          <w:b w:val="0"/>
          <w:bCs w:val="0"/>
          <w:sz w:val="24"/>
          <w:szCs w:val="24"/>
          <w:highlight w:val="none"/>
          <w:lang w:val="en-US" w:eastAsia="zh-CN"/>
        </w:rPr>
        <w:t>自身失效导致其他构件失效，并危及承载结构系统安全工作的构件。</w:t>
      </w:r>
    </w:p>
    <w:p w14:paraId="392D14D3">
      <w:pPr>
        <w:pStyle w:val="3"/>
        <w:suppressLineNumbers w:val="0"/>
        <w:spacing w:before="0" w:beforeLines="-2147483648" w:beforeAutospacing="0" w:after="0" w:afterLines="-2147483648" w:afterAutospacing="0" w:line="360" w:lineRule="auto"/>
        <w:ind w:left="0" w:firstLine="0"/>
        <w:rPr>
          <w:rFonts w:hint="default" w:ascii="Times New Roman" w:hAnsi="Times New Roman" w:cs="Times New Roman" w:eastAsiaTheme="minorEastAsia"/>
          <w:bCs w:val="0"/>
          <w:sz w:val="28"/>
          <w:szCs w:val="28"/>
          <w:lang w:val="en-US" w:eastAsia="zh-CN" w:bidi="ar-SA"/>
        </w:rPr>
      </w:pPr>
      <w:bookmarkStart w:id="18" w:name="_Toc14029"/>
      <w:r>
        <w:rPr>
          <w:rFonts w:hint="default" w:ascii="Times New Roman" w:hAnsi="Times New Roman" w:cs="Times New Roman" w:eastAsiaTheme="minorEastAsia"/>
          <w:bCs w:val="0"/>
          <w:sz w:val="28"/>
          <w:szCs w:val="28"/>
          <w:lang w:val="en-US" w:eastAsia="zh-CN" w:bidi="ar-SA"/>
        </w:rPr>
        <w:t>2.2符号</w:t>
      </w:r>
      <w:bookmarkEnd w:id="18"/>
    </w:p>
    <w:tbl>
      <w:tblPr>
        <w:tblStyle w:val="13"/>
        <w:tblW w:w="4639" w:type="pct"/>
        <w:tblInd w:w="0" w:type="dxa"/>
        <w:tblLayout w:type="fixed"/>
        <w:tblCellMar>
          <w:top w:w="0" w:type="dxa"/>
          <w:left w:w="108" w:type="dxa"/>
          <w:bottom w:w="0" w:type="dxa"/>
          <w:right w:w="108" w:type="dxa"/>
        </w:tblCellMar>
      </w:tblPr>
      <w:tblGrid>
        <w:gridCol w:w="988"/>
        <w:gridCol w:w="688"/>
        <w:gridCol w:w="6530"/>
      </w:tblGrid>
      <w:tr w14:paraId="50F538AC">
        <w:tblPrEx>
          <w:tblCellMar>
            <w:top w:w="0" w:type="dxa"/>
            <w:left w:w="108" w:type="dxa"/>
            <w:bottom w:w="0" w:type="dxa"/>
            <w:right w:w="108" w:type="dxa"/>
          </w:tblCellMar>
        </w:tblPrEx>
        <w:trPr>
          <w:trHeight w:val="92" w:hRule="exact"/>
        </w:trPr>
        <w:tc>
          <w:tcPr>
            <w:tcW w:w="601" w:type="pct"/>
            <w:tcMar>
              <w:left w:w="0" w:type="dxa"/>
              <w:right w:w="28" w:type="dxa"/>
            </w:tcMar>
          </w:tcPr>
          <w:p w14:paraId="5FC5225A">
            <w:pPr>
              <w:spacing w:line="460" w:lineRule="exact"/>
              <w:rPr>
                <w:rFonts w:hint="default" w:ascii="Times New Roman" w:hAnsi="Times New Roman" w:cs="Times New Roman" w:eastAsiaTheme="minorEastAsia"/>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E</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P</m:t>
                    </m:r>
                    <m:ctrlPr>
                      <w:rPr>
                        <w:rFonts w:hint="default" w:ascii="Cambria Math" w:hAnsi="Cambria Math" w:cs="Times New Roman" w:eastAsiaTheme="minorEastAsia"/>
                        <w:i/>
                        <w:sz w:val="24"/>
                        <w:vertAlign w:val="subscript"/>
                        <w:lang w:val="de-DE"/>
                      </w:rPr>
                    </m:ctrlPr>
                  </m:sub>
                </m:sSub>
              </m:oMath>
            </m:oMathPara>
          </w:p>
          <w:p w14:paraId="6053C192">
            <w:pPr>
              <w:spacing w:line="460" w:lineRule="exact"/>
              <w:rPr>
                <w:rFonts w:hint="default" w:ascii="Times New Roman" w:hAnsi="Times New Roman" w:cs="Times New Roman" w:eastAsiaTheme="minorEastAsia"/>
                <w:sz w:val="24"/>
                <w:vertAlign w:val="subscript"/>
                <w:lang w:val="de-DE"/>
              </w:rPr>
            </w:pPr>
            <m:oMathPara>
              <m:oMath>
                <m:r>
                  <m:rPr>
                    <m:nor/>
                  </m:rPr>
                  <w:rPr>
                    <w:rFonts w:hint="default" w:ascii="Cambria Math" w:hAnsi="Cambria Math" w:cs="Times New Roman" w:eastAsiaTheme="minorEastAsia"/>
                    <w:i/>
                    <w:sz w:val="24"/>
                    <w:vertAlign w:val="subscript"/>
                    <w:lang w:val="de-DE"/>
                  </w:rPr>
                  <m:t>γ</m:t>
                </m:r>
              </m:oMath>
            </m:oMathPara>
          </w:p>
          <w:p w14:paraId="035D423B">
            <w:pPr>
              <w:spacing w:line="460" w:lineRule="exact"/>
              <w:rPr>
                <w:rFonts w:hint="default" w:ascii="Times New Roman" w:hAnsi="Times New Roman" w:cs="Times New Roman" w:eastAsiaTheme="minorEastAsia"/>
                <w:sz w:val="24"/>
                <w:vertAlign w:val="subscript"/>
                <w:lang w:val="de-DE"/>
              </w:rPr>
            </w:pPr>
            <m:oMathPara>
              <m:oMath>
                <m:r>
                  <m:rPr>
                    <m:nor/>
                  </m:rPr>
                  <w:rPr>
                    <w:rFonts w:hint="default" w:ascii="Cambria Math" w:hAnsi="Cambria Math" w:cs="Times New Roman" w:eastAsiaTheme="minorEastAsia"/>
                    <w:i/>
                    <w:sz w:val="24"/>
                    <w:vertAlign w:val="subscript"/>
                    <w:lang w:val="de-DE"/>
                  </w:rPr>
                  <m:t>c</m:t>
                </m:r>
              </m:oMath>
            </m:oMathPara>
          </w:p>
          <w:p w14:paraId="408C7051">
            <w:pPr>
              <w:spacing w:line="460" w:lineRule="exact"/>
              <w:rPr>
                <w:rFonts w:hint="default" w:ascii="Times New Roman" w:hAnsi="Times New Roman" w:cs="Times New Roman" w:eastAsiaTheme="minorEastAsia"/>
                <w:i/>
                <w:sz w:val="24"/>
                <w:vertAlign w:val="subscript"/>
                <w:lang w:val="de-DE"/>
              </w:rPr>
            </w:pPr>
            <m:oMathPara>
              <m:oMath>
                <m:r>
                  <m:rPr>
                    <m:nor/>
                    <m:sty m:val="p"/>
                  </m:rPr>
                  <w:rPr>
                    <w:rFonts w:hint="default" w:ascii="Cambria Math" w:hAnsi="Cambria Math" w:cs="Times New Roman" w:eastAsiaTheme="minorEastAsia"/>
                    <w:b w:val="0"/>
                    <w:i w:val="0"/>
                    <w:sz w:val="24"/>
                    <w:vertAlign w:val="subscript"/>
                    <w:lang w:val="de-DE"/>
                  </w:rPr>
                  <m:t>h</m:t>
                </m:r>
              </m:oMath>
            </m:oMathPara>
          </w:p>
          <w:p w14:paraId="749CBA33">
            <w:pPr>
              <w:spacing w:line="460" w:lineRule="exact"/>
              <w:rPr>
                <w:rFonts w:hint="default" w:ascii="Times New Roman" w:hAnsi="Times New Roman" w:cs="Times New Roman" w:eastAsiaTheme="minorEastAsia"/>
                <w:sz w:val="24"/>
                <w:vertAlign w:val="subscript"/>
                <w:lang w:val="de-DE"/>
              </w:rPr>
            </w:pPr>
            <m:oMathPara>
              <m:oMath>
                <m:r>
                  <m:rPr>
                    <m:nor/>
                  </m:rPr>
                  <w:rPr>
                    <w:rFonts w:hint="default" w:ascii="Cambria Math" w:hAnsi="Cambria Math" w:cs="Times New Roman" w:eastAsiaTheme="minorEastAsia"/>
                    <w:i/>
                    <w:sz w:val="24"/>
                    <w:vertAlign w:val="subscript"/>
                    <w:lang w:val="de-DE"/>
                  </w:rPr>
                  <m:t>b</m:t>
                </m:r>
              </m:oMath>
            </m:oMathPara>
          </w:p>
          <w:p w14:paraId="4E003659">
            <w:pPr>
              <w:spacing w:line="460" w:lineRule="exact"/>
              <w:rPr>
                <w:rFonts w:hint="default" w:ascii="Times New Roman" w:hAnsi="Times New Roman" w:cs="Times New Roman" w:eastAsiaTheme="minorEastAsia"/>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K</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P</m:t>
                    </m:r>
                    <m:ctrlPr>
                      <w:rPr>
                        <w:rFonts w:hint="default" w:ascii="Cambria Math" w:hAnsi="Cambria Math" w:cs="Times New Roman" w:eastAsiaTheme="minorEastAsia"/>
                        <w:i/>
                        <w:sz w:val="24"/>
                        <w:vertAlign w:val="subscript"/>
                        <w:lang w:val="de-DE"/>
                      </w:rPr>
                    </m:ctrlPr>
                  </m:sub>
                </m:sSub>
              </m:oMath>
            </m:oMathPara>
          </w:p>
          <w:p w14:paraId="2960C01E">
            <w:pPr>
              <w:spacing w:line="460" w:lineRule="exact"/>
              <w:rPr>
                <w:rFonts w:hint="default" w:ascii="Times New Roman" w:hAnsi="Times New Roman" w:cs="Times New Roman" w:eastAsiaTheme="minorEastAsia"/>
                <w:sz w:val="24"/>
                <w:vertAlign w:val="subscript"/>
                <w:lang w:val="de-DE"/>
              </w:rPr>
            </w:pPr>
            <m:oMathPara>
              <m:oMath>
                <m:r>
                  <m:rPr>
                    <m:nor/>
                  </m:rPr>
                  <w:rPr>
                    <w:rFonts w:hint="default" w:ascii="Cambria Math" w:hAnsi="Cambria Math" w:cs="Times New Roman" w:eastAsiaTheme="minorEastAsia"/>
                    <w:i/>
                    <w:sz w:val="24"/>
                    <w:vertAlign w:val="subscript"/>
                    <w:lang w:val="de-DE"/>
                  </w:rPr>
                  <m:t>α</m:t>
                </m:r>
              </m:oMath>
            </m:oMathPara>
          </w:p>
          <w:p w14:paraId="1F2F437A">
            <w:pPr>
              <w:spacing w:line="460" w:lineRule="exact"/>
              <w:rPr>
                <w:rFonts w:hint="default" w:ascii="Times New Roman" w:hAnsi="Times New Roman" w:cs="Times New Roman" w:eastAsiaTheme="minorEastAsia"/>
                <w:sz w:val="24"/>
                <w:vertAlign w:val="subscript"/>
                <w:lang w:val="de-DE"/>
              </w:rPr>
            </w:pPr>
            <m:oMathPara>
              <m:oMath>
                <m:r>
                  <m:rPr>
                    <m:nor/>
                  </m:rPr>
                  <w:rPr>
                    <w:rFonts w:hint="default" w:ascii="Cambria Math" w:hAnsi="Cambria Math" w:cs="Times New Roman" w:eastAsiaTheme="minorEastAsia"/>
                    <w:i/>
                    <w:sz w:val="24"/>
                    <w:vertAlign w:val="subscript"/>
                    <w:lang w:val="de-DE"/>
                  </w:rPr>
                  <m:t>θ</m:t>
                </m:r>
              </m:oMath>
            </m:oMathPara>
          </w:p>
          <w:p w14:paraId="7D2E27E6">
            <w:pPr>
              <w:spacing w:line="460" w:lineRule="exact"/>
              <w:rPr>
                <w:rFonts w:hint="default" w:ascii="Times New Roman" w:hAnsi="Times New Roman" w:cs="Times New Roman" w:eastAsiaTheme="minorEastAsia"/>
                <w:sz w:val="24"/>
                <w:vertAlign w:val="subscript"/>
                <w:lang w:val="de-DE"/>
              </w:rPr>
            </w:pPr>
          </w:p>
          <w:p w14:paraId="7D10A56E">
            <w:pPr>
              <w:spacing w:line="460" w:lineRule="exact"/>
              <w:rPr>
                <w:rFonts w:hint="default" w:ascii="Times New Roman" w:hAnsi="Times New Roman" w:cs="Times New Roman" w:eastAsiaTheme="minorEastAsia"/>
                <w:sz w:val="24"/>
                <w:vertAlign w:val="subscript"/>
                <w:lang w:val="de-DE"/>
              </w:rPr>
            </w:pPr>
            <m:oMathPara>
              <m:oMath>
                <m:r>
                  <m:rPr>
                    <m:nor/>
                  </m:rPr>
                  <w:rPr>
                    <w:rFonts w:hint="default" w:ascii="Cambria Math" w:hAnsi="Cambria Math" w:cs="Times New Roman" w:eastAsiaTheme="minorEastAsia"/>
                    <w:i/>
                    <w:sz w:val="24"/>
                    <w:vertAlign w:val="subscript"/>
                    <w:lang w:val="de-DE"/>
                  </w:rPr>
                  <m:t>φ</m:t>
                </m:r>
              </m:oMath>
            </m:oMathPara>
          </w:p>
          <w:p w14:paraId="0ACE254C">
            <w:pPr>
              <w:spacing w:line="530" w:lineRule="exact"/>
              <w:rPr>
                <w:rFonts w:hint="default" w:ascii="Cambria Math" w:hAnsi="Cambria Math" w:cs="Times New Roman" w:eastAsiaTheme="minorEastAsia"/>
                <w:i w:val="0"/>
                <w:sz w:val="24"/>
                <w:vertAlign w:val="subscript"/>
                <w:lang w:val="de-DE"/>
                <w:oMath/>
              </w:rPr>
            </w:pPr>
            <m:oMathPara>
              <m:oMath>
                <m:r>
                  <m:rPr>
                    <m:nor/>
                  </m:rPr>
                  <w:rPr>
                    <w:rFonts w:hint="default" w:ascii="Cambria Math" w:hAnsi="Cambria Math" w:cs="Times New Roman" w:eastAsiaTheme="minorEastAsia"/>
                    <w:i/>
                    <w:sz w:val="24"/>
                    <w:vertAlign w:val="subscript"/>
                    <w:lang w:val="de-DE"/>
                  </w:rPr>
                  <m:t>δ</m:t>
                </m:r>
              </m:oMath>
            </m:oMathPara>
          </w:p>
        </w:tc>
        <w:tc>
          <w:tcPr>
            <w:tcW w:w="419" w:type="pct"/>
            <w:tcMar>
              <w:left w:w="28" w:type="dxa"/>
              <w:right w:w="0" w:type="dxa"/>
            </w:tcMar>
          </w:tcPr>
          <w:p w14:paraId="34398F25">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6ED3A638">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151EE6E4">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7D40034D">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37EF15F0">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195625D9">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583D1EEF">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30887827">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01EB1640">
            <w:pPr>
              <w:spacing w:line="360" w:lineRule="auto"/>
              <w:rPr>
                <w:rFonts w:hint="default" w:ascii="Times New Roman" w:hAnsi="Times New Roman" w:cs="Times New Roman" w:eastAsiaTheme="minorEastAsia"/>
                <w:sz w:val="24"/>
                <w:lang w:val="de-DE"/>
              </w:rPr>
            </w:pPr>
          </w:p>
          <w:p w14:paraId="1B89F910">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429A312C">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tc>
        <w:tc>
          <w:tcPr>
            <w:tcW w:w="3979" w:type="pct"/>
            <w:tcMar>
              <w:left w:w="0" w:type="dxa"/>
              <w:right w:w="0" w:type="dxa"/>
            </w:tcMar>
          </w:tcPr>
          <w:p w14:paraId="25939122">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有限土体的被动土压力标准值（kPa）；</w:t>
            </w:r>
          </w:p>
          <w:p w14:paraId="2667E89E">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有限土体的重度（kN/m）；</w:t>
            </w:r>
          </w:p>
          <w:p w14:paraId="08DB5628">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有限土体黏聚力（kPa）；</w:t>
            </w:r>
          </w:p>
          <w:p w14:paraId="78B706A7">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有限土体的堆载高度（m）；</w:t>
            </w:r>
          </w:p>
          <w:p w14:paraId="0DCA18D7">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有限土体的顶部宽度（m）；</w:t>
            </w:r>
          </w:p>
          <w:p w14:paraId="459DFC2D">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有限土体的被动土压力系数；</w:t>
            </w:r>
          </w:p>
          <w:p w14:paraId="7F5148F9">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有限土体与水平面的夹角（°）。</w:t>
            </w:r>
          </w:p>
          <w:p w14:paraId="7E80DA47">
            <w:pPr>
              <w:spacing w:line="460" w:lineRule="exact"/>
              <w:rPr>
                <w:rFonts w:hint="default" w:ascii="Times New Roman" w:hAnsi="Times New Roman" w:cs="Times New Roman" w:eastAsiaTheme="minorEastAsia"/>
                <w:sz w:val="24"/>
                <w:vertAlign w:val="subscript"/>
                <w:lang w:val="de-DE"/>
              </w:rPr>
            </w:pPr>
            <w:r>
              <w:rPr>
                <w:rFonts w:hint="default" w:ascii="Times New Roman" w:hAnsi="Times New Roman" w:cs="Times New Roman" w:eastAsiaTheme="minorEastAsia"/>
                <w:sz w:val="24"/>
              </w:rPr>
              <w:t>有限土体破裂面与水平面的夹角（°），一般取45°－</w:t>
            </w:r>
            <m:oMath>
              <m:r>
                <m:rPr>
                  <m:nor/>
                </m:rPr>
                <w:rPr>
                  <w:rFonts w:hint="default" w:ascii="Cambria Math" w:hAnsi="Cambria Math" w:cs="Times New Roman" w:eastAsiaTheme="minorEastAsia"/>
                  <w:i/>
                  <w:sz w:val="24"/>
                  <w:vertAlign w:val="subscript"/>
                  <w:lang w:val="de-DE"/>
                </w:rPr>
                <m:t>φ</m:t>
              </m:r>
            </m:oMath>
            <w:r>
              <w:rPr>
                <w:rFonts w:hint="default" w:ascii="Times New Roman" w:hAnsi="Times New Roman" w:cs="Times New Roman" w:eastAsiaTheme="minorEastAsia"/>
                <w:sz w:val="24"/>
              </w:rPr>
              <w:t>/2</w:t>
            </w:r>
          </w:p>
          <w:p w14:paraId="45F2C0C3">
            <w:pPr>
              <w:spacing w:line="360" w:lineRule="auto"/>
              <w:rPr>
                <w:rFonts w:hint="default" w:ascii="Times New Roman" w:hAnsi="Times New Roman" w:cs="Times New Roman" w:eastAsiaTheme="minorEastAsia"/>
                <w:sz w:val="24"/>
              </w:rPr>
            </w:pPr>
          </w:p>
          <w:p w14:paraId="78401FB6">
            <w:pPr>
              <w:spacing w:line="360" w:lineRule="auto"/>
              <w:rPr>
                <w:rFonts w:hint="default" w:ascii="Times New Roman" w:hAnsi="Times New Roman" w:cs="Times New Roman" w:eastAsiaTheme="minorEastAsia"/>
                <w:sz w:val="24"/>
                <w:highlight w:val="yellow"/>
              </w:rPr>
            </w:pPr>
            <w:r>
              <w:rPr>
                <w:rFonts w:hint="default" w:ascii="Times New Roman" w:hAnsi="Times New Roman" w:cs="Times New Roman" w:eastAsiaTheme="minorEastAsia"/>
                <w:sz w:val="24"/>
              </w:rPr>
              <w:t>有限土体的内摩擦角（°）</w:t>
            </w:r>
          </w:p>
          <w:p w14:paraId="5D70DFFC">
            <w:pPr>
              <w:spacing w:line="460" w:lineRule="exact"/>
              <w:rPr>
                <w:rFonts w:hint="default" w:ascii="Times New Roman" w:hAnsi="Times New Roman" w:cs="Times New Roman" w:eastAsiaTheme="minorEastAsia"/>
                <w:sz w:val="24"/>
                <w:vertAlign w:val="subscript"/>
                <w:lang w:val="de-DE"/>
              </w:rPr>
            </w:pPr>
            <w:r>
              <w:rPr>
                <w:rFonts w:hint="default" w:ascii="Times New Roman" w:hAnsi="Times New Roman" w:cs="Times New Roman" w:eastAsiaTheme="minorEastAsia"/>
                <w:sz w:val="24"/>
                <w:highlight w:val="none"/>
              </w:rPr>
              <w:t>坑外岩土体对支护结构的摩擦角（°）</w:t>
            </w:r>
          </w:p>
        </w:tc>
      </w:tr>
      <w:tr w14:paraId="60ADCB65">
        <w:tblPrEx>
          <w:tblCellMar>
            <w:top w:w="0" w:type="dxa"/>
            <w:left w:w="108" w:type="dxa"/>
            <w:bottom w:w="0" w:type="dxa"/>
            <w:right w:w="108" w:type="dxa"/>
          </w:tblCellMar>
        </w:tblPrEx>
        <w:trPr>
          <w:trHeight w:val="517" w:hRule="exact"/>
        </w:trPr>
        <w:tc>
          <w:tcPr>
            <w:tcW w:w="601" w:type="pct"/>
            <w:tcMar>
              <w:left w:w="0" w:type="dxa"/>
              <w:right w:w="28" w:type="dxa"/>
            </w:tcMar>
          </w:tcPr>
          <w:p w14:paraId="101BDB22">
            <w:pPr>
              <w:spacing w:line="530" w:lineRule="exact"/>
              <w:rPr>
                <w:rFonts w:hint="default" w:ascii="Times New Roman" w:hAnsi="Times New Roman" w:cs="Times New Roman" w:eastAsiaTheme="minorEastAsia"/>
                <w:i/>
                <w:sz w:val="24"/>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K</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s</m:t>
                    </m:r>
                    <m:ctrlPr>
                      <w:rPr>
                        <w:rFonts w:hint="default" w:ascii="Cambria Math" w:hAnsi="Cambria Math" w:cs="Times New Roman" w:eastAsiaTheme="minorEastAsia"/>
                        <w:i/>
                        <w:sz w:val="24"/>
                        <w:vertAlign w:val="subscript"/>
                        <w:lang w:val="de-DE"/>
                      </w:rPr>
                    </m:ctrlPr>
                  </m:sub>
                </m:sSub>
              </m:oMath>
            </m:oMathPara>
          </w:p>
        </w:tc>
        <w:tc>
          <w:tcPr>
            <w:tcW w:w="419" w:type="pct"/>
            <w:tcMar>
              <w:left w:w="28" w:type="dxa"/>
              <w:right w:w="0" w:type="dxa"/>
            </w:tcMar>
          </w:tcPr>
          <w:p w14:paraId="6C8A631D">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lang w:val="de-DE"/>
              </w:rPr>
              <w:t>——</w:t>
            </w:r>
          </w:p>
        </w:tc>
        <w:tc>
          <w:tcPr>
            <w:tcW w:w="3979" w:type="pct"/>
            <w:tcMar>
              <w:left w:w="0" w:type="dxa"/>
              <w:right w:w="0" w:type="dxa"/>
            </w:tcMar>
          </w:tcPr>
          <w:p w14:paraId="703E6255">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整体稳定性安全系数</w:t>
            </w:r>
          </w:p>
        </w:tc>
      </w:tr>
      <w:tr w14:paraId="385246A7">
        <w:tblPrEx>
          <w:tblCellMar>
            <w:top w:w="0" w:type="dxa"/>
            <w:left w:w="108" w:type="dxa"/>
            <w:bottom w:w="0" w:type="dxa"/>
            <w:right w:w="108" w:type="dxa"/>
          </w:tblCellMar>
        </w:tblPrEx>
        <w:trPr>
          <w:trHeight w:val="496" w:hRule="exact"/>
        </w:trPr>
        <w:tc>
          <w:tcPr>
            <w:tcW w:w="601" w:type="pct"/>
            <w:tcMar>
              <w:left w:w="0" w:type="dxa"/>
              <w:right w:w="28" w:type="dxa"/>
            </w:tcMar>
          </w:tcPr>
          <w:p w14:paraId="750CB32E">
            <w:pPr>
              <w:spacing w:line="530" w:lineRule="exact"/>
              <w:rPr>
                <w:rFonts w:hint="default" w:ascii="Times New Roman" w:hAnsi="Times New Roman" w:cs="Times New Roman" w:eastAsiaTheme="minorEastAsia"/>
                <w:i/>
                <w:sz w:val="24"/>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K</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s</m:t>
                    </m:r>
                    <m:r>
                      <m:rPr>
                        <m:nor/>
                        <m:sty m:val="p"/>
                      </m:rPr>
                      <w:rPr>
                        <w:rFonts w:hint="default" w:ascii="Cambria Math" w:hAnsi="Cambria Math" w:cs="Times New Roman" w:eastAsiaTheme="minorEastAsia"/>
                        <w:b w:val="0"/>
                        <w:i w:val="0"/>
                        <w:sz w:val="24"/>
                        <w:vertAlign w:val="subscript"/>
                        <w:lang w:val="de-DE"/>
                      </w:rPr>
                      <m:t>0</m:t>
                    </m:r>
                    <m:r>
                      <m:rPr>
                        <m:nor/>
                        <m:sty m:val="p"/>
                      </m:rPr>
                      <w:rPr>
                        <w:rFonts w:hint="default" w:ascii="Cambria Math" w:hAnsi="Cambria Math" w:cs="Times New Roman" w:eastAsiaTheme="minorEastAsia"/>
                        <w:b w:val="0"/>
                        <w:i w:val="0"/>
                        <w:sz w:val="24"/>
                        <w:vertAlign w:val="subscript"/>
                        <w:lang w:val="en-US" w:eastAsia="zh-CN"/>
                      </w:rPr>
                      <m:t>−</m:t>
                    </m:r>
                    <m:r>
                      <m:rPr>
                        <m:nor/>
                      </m:rPr>
                      <w:rPr>
                        <w:rFonts w:hint="default" w:ascii="Cambria Math" w:hAnsi="Cambria Math" w:cs="Times New Roman" w:eastAsiaTheme="minorEastAsia"/>
                        <w:i/>
                        <w:sz w:val="24"/>
                        <w:vertAlign w:val="subscript"/>
                        <w:lang w:val="en-US" w:eastAsia="zh-CN"/>
                      </w:rPr>
                      <m:t>s</m:t>
                    </m:r>
                    <m:r>
                      <m:rPr>
                        <m:nor/>
                        <m:sty m:val="p"/>
                      </m:rPr>
                      <w:rPr>
                        <w:rFonts w:hint="default" w:ascii="Cambria Math" w:hAnsi="Cambria Math" w:cs="Times New Roman" w:eastAsiaTheme="minorEastAsia"/>
                        <w:b w:val="0"/>
                        <w:i w:val="0"/>
                        <w:sz w:val="24"/>
                        <w:vertAlign w:val="subscript"/>
                        <w:lang w:val="en-US" w:eastAsia="zh-CN"/>
                      </w:rPr>
                      <m:t>4</m:t>
                    </m:r>
                    <m:ctrlPr>
                      <w:rPr>
                        <w:rFonts w:hint="default" w:ascii="Cambria Math" w:hAnsi="Cambria Math" w:cs="Times New Roman" w:eastAsiaTheme="minorEastAsia"/>
                        <w:i/>
                        <w:sz w:val="24"/>
                        <w:vertAlign w:val="subscript"/>
                        <w:lang w:val="de-DE"/>
                      </w:rPr>
                    </m:ctrlPr>
                  </m:sub>
                </m:sSub>
              </m:oMath>
            </m:oMathPara>
          </w:p>
        </w:tc>
        <w:tc>
          <w:tcPr>
            <w:tcW w:w="419" w:type="pct"/>
            <w:tcMar>
              <w:left w:w="28" w:type="dxa"/>
              <w:right w:w="0" w:type="dxa"/>
            </w:tcMar>
          </w:tcPr>
          <w:p w14:paraId="18D0A683">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lang w:val="de-DE"/>
              </w:rPr>
              <w:t>——</w:t>
            </w:r>
          </w:p>
        </w:tc>
        <w:tc>
          <w:tcPr>
            <w:tcW w:w="3979" w:type="pct"/>
            <w:tcMar>
              <w:left w:w="0" w:type="dxa"/>
              <w:right w:w="0" w:type="dxa"/>
            </w:tcMar>
          </w:tcPr>
          <w:p w14:paraId="749A9940">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整体稳定性分项抗力系数；</w:t>
            </w:r>
          </w:p>
        </w:tc>
      </w:tr>
      <w:tr w14:paraId="0E187127">
        <w:tblPrEx>
          <w:tblCellMar>
            <w:top w:w="0" w:type="dxa"/>
            <w:left w:w="108" w:type="dxa"/>
            <w:bottom w:w="0" w:type="dxa"/>
            <w:right w:w="108" w:type="dxa"/>
          </w:tblCellMar>
        </w:tblPrEx>
        <w:trPr>
          <w:trHeight w:val="496" w:hRule="exact"/>
        </w:trPr>
        <w:tc>
          <w:tcPr>
            <w:tcW w:w="601" w:type="pct"/>
            <w:shd w:val="clear" w:color="auto" w:fill="auto"/>
            <w:tcMar>
              <w:left w:w="0" w:type="dxa"/>
              <w:right w:w="28" w:type="dxa"/>
            </w:tcMar>
            <w:vAlign w:val="center"/>
          </w:tcPr>
          <w:p w14:paraId="23D3F34A">
            <w:pPr>
              <w:spacing w:line="530" w:lineRule="exact"/>
              <w:rPr>
                <w:rFonts w:hint="default" w:ascii="Cambria Math" w:hAnsi="Cambria Math" w:cs="Times New Roman" w:eastAsiaTheme="minorEastAsia"/>
                <w:i w:val="0"/>
                <w:kern w:val="2"/>
                <w:sz w:val="24"/>
                <w:szCs w:val="24"/>
                <w:vertAlign w:val="subscript"/>
                <w:lang w:val="de-DE" w:eastAsia="zh-CN" w:bidi="ar-SA"/>
                <w:oMath/>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c</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i</m:t>
                    </m:r>
                    <m:ctrlPr>
                      <w:rPr>
                        <w:rFonts w:hint="default" w:ascii="Cambria Math" w:hAnsi="Cambria Math" w:cs="Times New Roman" w:eastAsiaTheme="minorEastAsia"/>
                        <w:i/>
                        <w:sz w:val="24"/>
                        <w:vertAlign w:val="subscript"/>
                        <w:lang w:val="de-DE"/>
                      </w:rPr>
                    </m:ctrlPr>
                  </m:sub>
                </m:sSub>
              </m:oMath>
            </m:oMathPara>
          </w:p>
        </w:tc>
        <w:tc>
          <w:tcPr>
            <w:tcW w:w="419" w:type="pct"/>
            <w:shd w:val="clear" w:color="auto" w:fill="auto"/>
            <w:tcMar>
              <w:left w:w="28" w:type="dxa"/>
              <w:right w:w="0" w:type="dxa"/>
            </w:tcMar>
            <w:vAlign w:val="center"/>
          </w:tcPr>
          <w:p w14:paraId="00BF87C0">
            <w:pPr>
              <w:spacing w:line="360" w:lineRule="auto"/>
              <w:rPr>
                <w:rFonts w:hint="default" w:ascii="Times New Roman" w:hAnsi="Times New Roman" w:cs="Times New Roman" w:eastAsiaTheme="minorEastAsia"/>
                <w:kern w:val="2"/>
                <w:sz w:val="24"/>
                <w:szCs w:val="24"/>
                <w:lang w:val="de-DE" w:eastAsia="zh-CN" w:bidi="ar-SA"/>
              </w:rPr>
            </w:pPr>
            <w:r>
              <w:rPr>
                <w:rFonts w:hint="default" w:ascii="Times New Roman" w:hAnsi="Times New Roman" w:cs="Times New Roman" w:eastAsiaTheme="minorEastAsia"/>
                <w:sz w:val="24"/>
                <w:lang w:val="de-DE"/>
              </w:rPr>
              <w:t>——</w:t>
            </w:r>
          </w:p>
        </w:tc>
        <w:tc>
          <w:tcPr>
            <w:tcW w:w="3979" w:type="pct"/>
            <w:shd w:val="clear" w:color="auto" w:fill="auto"/>
            <w:tcMar>
              <w:left w:w="0" w:type="dxa"/>
              <w:right w:w="0" w:type="dxa"/>
            </w:tcMar>
            <w:vAlign w:val="center"/>
          </w:tcPr>
          <w:p w14:paraId="7B1E15EA">
            <w:pPr>
              <w:spacing w:line="360" w:lineRule="auto"/>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eastAsiaTheme="minorEastAsia"/>
                <w:sz w:val="24"/>
              </w:rPr>
              <w:t>第</w:t>
            </w:r>
            <w:r>
              <w:rPr>
                <w:rFonts w:hint="default" w:ascii="Times New Roman" w:hAnsi="Times New Roman" w:cs="Times New Roman" w:eastAsiaTheme="minorEastAsia"/>
                <w:i/>
                <w:iCs/>
                <w:sz w:val="24"/>
              </w:rPr>
              <w:t>i</w:t>
            </w:r>
            <w:r>
              <w:rPr>
                <w:rFonts w:hint="default" w:ascii="Times New Roman" w:hAnsi="Times New Roman" w:cs="Times New Roman" w:eastAsiaTheme="minorEastAsia"/>
                <w:sz w:val="24"/>
              </w:rPr>
              <w:t>个土条在滑弧面上的粘聚力；</w:t>
            </w:r>
          </w:p>
        </w:tc>
      </w:tr>
      <w:tr w14:paraId="1A6FDAD0">
        <w:tblPrEx>
          <w:tblCellMar>
            <w:top w:w="0" w:type="dxa"/>
            <w:left w:w="108" w:type="dxa"/>
            <w:bottom w:w="0" w:type="dxa"/>
            <w:right w:w="108" w:type="dxa"/>
          </w:tblCellMar>
        </w:tblPrEx>
        <w:trPr>
          <w:trHeight w:val="609" w:hRule="exact"/>
        </w:trPr>
        <w:tc>
          <w:tcPr>
            <w:tcW w:w="601" w:type="pct"/>
            <w:tcMar>
              <w:left w:w="0" w:type="dxa"/>
              <w:right w:w="28" w:type="dxa"/>
            </w:tcMar>
            <w:vAlign w:val="center"/>
          </w:tcPr>
          <w:p w14:paraId="2B814E72">
            <w:pPr>
              <w:spacing w:line="530" w:lineRule="exact"/>
              <w:rPr>
                <w:rFonts w:hint="default" w:ascii="Times New Roman" w:hAnsi="Times New Roman" w:cs="Times New Roman" w:eastAsiaTheme="minorEastAsia"/>
                <w:i/>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φ</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i</m:t>
                    </m:r>
                    <m:ctrlPr>
                      <w:rPr>
                        <w:rFonts w:hint="default" w:ascii="Cambria Math" w:hAnsi="Cambria Math" w:cs="Times New Roman" w:eastAsiaTheme="minorEastAsia"/>
                        <w:i/>
                        <w:sz w:val="24"/>
                        <w:vertAlign w:val="subscript"/>
                        <w:lang w:val="de-DE"/>
                      </w:rPr>
                    </m:ctrlPr>
                  </m:sub>
                </m:sSub>
              </m:oMath>
            </m:oMathPara>
          </w:p>
        </w:tc>
        <w:tc>
          <w:tcPr>
            <w:tcW w:w="419" w:type="pct"/>
            <w:tcMar>
              <w:left w:w="28" w:type="dxa"/>
              <w:right w:w="0" w:type="dxa"/>
            </w:tcMar>
            <w:vAlign w:val="center"/>
          </w:tcPr>
          <w:p w14:paraId="3061C56C">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tc>
        <w:tc>
          <w:tcPr>
            <w:tcW w:w="3979" w:type="pct"/>
            <w:tcMar>
              <w:left w:w="0" w:type="dxa"/>
              <w:right w:w="0" w:type="dxa"/>
            </w:tcMar>
            <w:vAlign w:val="center"/>
          </w:tcPr>
          <w:p w14:paraId="1DDCDA5A">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第</w:t>
            </w:r>
            <w:r>
              <w:rPr>
                <w:rFonts w:hint="default" w:ascii="Times New Roman" w:hAnsi="Times New Roman" w:cs="Times New Roman" w:eastAsiaTheme="minorEastAsia"/>
                <w:i/>
                <w:iCs/>
                <w:sz w:val="24"/>
              </w:rPr>
              <w:t>i</w:t>
            </w:r>
            <w:r>
              <w:rPr>
                <w:rFonts w:hint="default" w:ascii="Times New Roman" w:hAnsi="Times New Roman" w:cs="Times New Roman" w:eastAsiaTheme="minorEastAsia"/>
                <w:sz w:val="24"/>
              </w:rPr>
              <w:t>个土条在滑弧面上的内摩擦角；</w:t>
            </w:r>
          </w:p>
        </w:tc>
      </w:tr>
      <w:tr w14:paraId="48AB96A9">
        <w:tblPrEx>
          <w:tblCellMar>
            <w:top w:w="0" w:type="dxa"/>
            <w:left w:w="108" w:type="dxa"/>
            <w:bottom w:w="0" w:type="dxa"/>
            <w:right w:w="108" w:type="dxa"/>
          </w:tblCellMar>
        </w:tblPrEx>
        <w:trPr>
          <w:trHeight w:val="575" w:hRule="exact"/>
        </w:trPr>
        <w:tc>
          <w:tcPr>
            <w:tcW w:w="601" w:type="pct"/>
            <w:tcMar>
              <w:left w:w="0" w:type="dxa"/>
              <w:right w:w="28" w:type="dxa"/>
            </w:tcMar>
          </w:tcPr>
          <w:p w14:paraId="4DADC443">
            <w:pPr>
              <w:spacing w:line="530" w:lineRule="exact"/>
              <w:rPr>
                <w:rFonts w:hint="default" w:ascii="Times New Roman" w:hAnsi="Times New Roman" w:cs="Times New Roman" w:eastAsiaTheme="minorEastAsia"/>
                <w:i/>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L</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i</m:t>
                    </m:r>
                    <m:ctrlPr>
                      <w:rPr>
                        <w:rFonts w:hint="default" w:ascii="Cambria Math" w:hAnsi="Cambria Math" w:cs="Times New Roman" w:eastAsiaTheme="minorEastAsia"/>
                        <w:i/>
                        <w:sz w:val="24"/>
                        <w:vertAlign w:val="subscript"/>
                        <w:lang w:val="de-DE"/>
                      </w:rPr>
                    </m:ctrlPr>
                  </m:sub>
                </m:sSub>
              </m:oMath>
            </m:oMathPara>
          </w:p>
        </w:tc>
        <w:tc>
          <w:tcPr>
            <w:tcW w:w="419" w:type="pct"/>
            <w:tcMar>
              <w:left w:w="28" w:type="dxa"/>
              <w:right w:w="0" w:type="dxa"/>
            </w:tcMar>
          </w:tcPr>
          <w:p w14:paraId="04E33927">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lang w:val="de-DE"/>
              </w:rPr>
              <w:t>——</w:t>
            </w:r>
          </w:p>
        </w:tc>
        <w:tc>
          <w:tcPr>
            <w:tcW w:w="3979" w:type="pct"/>
            <w:tcMar>
              <w:left w:w="0" w:type="dxa"/>
              <w:right w:w="0" w:type="dxa"/>
            </w:tcMar>
          </w:tcPr>
          <w:p w14:paraId="5AE4B6A9">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第</w:t>
            </w:r>
            <w:r>
              <w:rPr>
                <w:rFonts w:hint="default" w:ascii="Times New Roman" w:hAnsi="Times New Roman" w:cs="Times New Roman" w:eastAsiaTheme="minorEastAsia"/>
                <w:i/>
                <w:iCs/>
                <w:sz w:val="24"/>
              </w:rPr>
              <w:t>i</w:t>
            </w:r>
            <w:r>
              <w:rPr>
                <w:rFonts w:hint="default" w:ascii="Times New Roman" w:hAnsi="Times New Roman" w:cs="Times New Roman" w:eastAsiaTheme="minorEastAsia"/>
                <w:sz w:val="24"/>
              </w:rPr>
              <w:t>个土条在滑弧面上的弧长；</w:t>
            </w:r>
          </w:p>
        </w:tc>
      </w:tr>
      <w:tr w14:paraId="3652886B">
        <w:tblPrEx>
          <w:tblCellMar>
            <w:top w:w="0" w:type="dxa"/>
            <w:left w:w="108" w:type="dxa"/>
            <w:bottom w:w="0" w:type="dxa"/>
            <w:right w:w="108" w:type="dxa"/>
          </w:tblCellMar>
        </w:tblPrEx>
        <w:trPr>
          <w:trHeight w:val="555" w:hRule="exact"/>
        </w:trPr>
        <w:tc>
          <w:tcPr>
            <w:tcW w:w="601" w:type="pct"/>
            <w:tcMar>
              <w:left w:w="0" w:type="dxa"/>
              <w:right w:w="28" w:type="dxa"/>
            </w:tcMar>
            <w:vAlign w:val="center"/>
          </w:tcPr>
          <w:p w14:paraId="0DB27E49">
            <w:pPr>
              <w:spacing w:line="530" w:lineRule="exact"/>
              <w:rPr>
                <w:rFonts w:hint="default" w:ascii="Times New Roman" w:hAnsi="Times New Roman" w:cs="Times New Roman" w:eastAsiaTheme="minorEastAsia"/>
                <w:i/>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W</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i</m:t>
                    </m:r>
                    <m:ctrlPr>
                      <w:rPr>
                        <w:rFonts w:hint="default" w:ascii="Cambria Math" w:hAnsi="Cambria Math" w:cs="Times New Roman" w:eastAsiaTheme="minorEastAsia"/>
                        <w:i/>
                        <w:sz w:val="24"/>
                        <w:vertAlign w:val="subscript"/>
                        <w:lang w:val="de-DE"/>
                      </w:rPr>
                    </m:ctrlPr>
                  </m:sub>
                </m:sSub>
              </m:oMath>
            </m:oMathPara>
          </w:p>
        </w:tc>
        <w:tc>
          <w:tcPr>
            <w:tcW w:w="419" w:type="pct"/>
            <w:tcMar>
              <w:left w:w="28" w:type="dxa"/>
              <w:right w:w="0" w:type="dxa"/>
            </w:tcMar>
            <w:vAlign w:val="center"/>
          </w:tcPr>
          <w:p w14:paraId="4402C179">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lang w:val="de-DE"/>
              </w:rPr>
              <w:t>——</w:t>
            </w:r>
          </w:p>
        </w:tc>
        <w:tc>
          <w:tcPr>
            <w:tcW w:w="3979" w:type="pct"/>
            <w:tcMar>
              <w:left w:w="0" w:type="dxa"/>
              <w:right w:w="0" w:type="dxa"/>
            </w:tcMar>
            <w:vAlign w:val="center"/>
          </w:tcPr>
          <w:p w14:paraId="618E7066">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第</w:t>
            </w:r>
            <w:r>
              <w:rPr>
                <w:rFonts w:hint="default" w:ascii="Times New Roman" w:hAnsi="Times New Roman" w:cs="Times New Roman" w:eastAsiaTheme="minorEastAsia"/>
                <w:i/>
                <w:iCs/>
                <w:sz w:val="24"/>
              </w:rPr>
              <w:t>i</w:t>
            </w:r>
            <w:r>
              <w:rPr>
                <w:rFonts w:hint="default" w:ascii="Times New Roman" w:hAnsi="Times New Roman" w:cs="Times New Roman" w:eastAsiaTheme="minorEastAsia"/>
                <w:sz w:val="24"/>
              </w:rPr>
              <w:t>个土条重量，包括作用的该土条上的各种附加荷载；</w:t>
            </w:r>
          </w:p>
        </w:tc>
      </w:tr>
      <w:tr w14:paraId="76697F16">
        <w:tblPrEx>
          <w:tblCellMar>
            <w:top w:w="0" w:type="dxa"/>
            <w:left w:w="108" w:type="dxa"/>
            <w:bottom w:w="0" w:type="dxa"/>
            <w:right w:w="108" w:type="dxa"/>
          </w:tblCellMar>
        </w:tblPrEx>
        <w:trPr>
          <w:trHeight w:val="555" w:hRule="exact"/>
        </w:trPr>
        <w:tc>
          <w:tcPr>
            <w:tcW w:w="601" w:type="pct"/>
            <w:tcMar>
              <w:left w:w="0" w:type="dxa"/>
              <w:right w:w="28" w:type="dxa"/>
            </w:tcMar>
            <w:vAlign w:val="center"/>
          </w:tcPr>
          <w:p w14:paraId="4E1C3EF5">
            <w:pPr>
              <w:spacing w:line="530" w:lineRule="exact"/>
              <w:rPr>
                <w:rFonts w:hint="default" w:ascii="Times New Roman" w:hAnsi="Times New Roman" w:cs="Times New Roman"/>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θ</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i</m:t>
                    </m:r>
                    <m:ctrlPr>
                      <w:rPr>
                        <w:rFonts w:hint="default" w:ascii="Cambria Math" w:hAnsi="Cambria Math" w:cs="Times New Roman" w:eastAsiaTheme="minorEastAsia"/>
                        <w:i/>
                        <w:sz w:val="24"/>
                        <w:vertAlign w:val="subscript"/>
                        <w:lang w:val="de-DE"/>
                      </w:rPr>
                    </m:ctrlPr>
                  </m:sub>
                </m:sSub>
              </m:oMath>
            </m:oMathPara>
          </w:p>
        </w:tc>
        <w:tc>
          <w:tcPr>
            <w:tcW w:w="419" w:type="pct"/>
            <w:tcMar>
              <w:left w:w="28" w:type="dxa"/>
              <w:right w:w="0" w:type="dxa"/>
            </w:tcMar>
            <w:vAlign w:val="center"/>
          </w:tcPr>
          <w:p w14:paraId="51ABC420">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tc>
        <w:tc>
          <w:tcPr>
            <w:tcW w:w="3979" w:type="pct"/>
            <w:tcMar>
              <w:left w:w="0" w:type="dxa"/>
              <w:right w:w="0" w:type="dxa"/>
            </w:tcMar>
            <w:vAlign w:val="center"/>
          </w:tcPr>
          <w:p w14:paraId="10473523">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第</w:t>
            </w:r>
            <w:r>
              <w:rPr>
                <w:rFonts w:hint="default" w:ascii="Times New Roman" w:hAnsi="Times New Roman" w:cs="Times New Roman" w:eastAsiaTheme="minorEastAsia"/>
                <w:i/>
                <w:iCs/>
                <w:sz w:val="24"/>
              </w:rPr>
              <w:t>i</w:t>
            </w:r>
            <w:r>
              <w:rPr>
                <w:rFonts w:hint="default" w:ascii="Times New Roman" w:hAnsi="Times New Roman" w:cs="Times New Roman" w:eastAsiaTheme="minorEastAsia"/>
                <w:sz w:val="24"/>
              </w:rPr>
              <w:t>个土条在滑弧面中点处的法线与垂直面的夹角；</w:t>
            </w:r>
          </w:p>
          <w:p w14:paraId="6623CEC4">
            <w:pPr>
              <w:spacing w:line="360" w:lineRule="auto"/>
              <w:rPr>
                <w:rFonts w:hint="default" w:ascii="Times New Roman" w:hAnsi="Times New Roman" w:cs="Times New Roman" w:eastAsiaTheme="minorEastAsia"/>
                <w:sz w:val="24"/>
              </w:rPr>
            </w:pPr>
          </w:p>
        </w:tc>
      </w:tr>
      <w:tr w14:paraId="1099DB0E">
        <w:tblPrEx>
          <w:tblCellMar>
            <w:top w:w="0" w:type="dxa"/>
            <w:left w:w="108" w:type="dxa"/>
            <w:bottom w:w="0" w:type="dxa"/>
            <w:right w:w="108" w:type="dxa"/>
          </w:tblCellMar>
        </w:tblPrEx>
        <w:trPr>
          <w:trHeight w:val="798" w:hRule="exact"/>
        </w:trPr>
        <w:tc>
          <w:tcPr>
            <w:tcW w:w="601" w:type="pct"/>
            <w:tcMar>
              <w:left w:w="0" w:type="dxa"/>
              <w:right w:w="28" w:type="dxa"/>
            </w:tcMar>
            <w:vAlign w:val="center"/>
          </w:tcPr>
          <w:p w14:paraId="4B246AB4">
            <w:pPr>
              <w:spacing w:line="530" w:lineRule="exact"/>
              <w:rPr>
                <w:rFonts w:hint="default" w:ascii="Times New Roman" w:hAnsi="Times New Roman" w:cs="Times New Roman"/>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η</m:t>
                    </m:r>
                    <m:ctrlPr>
                      <w:rPr>
                        <w:rFonts w:hint="default" w:ascii="Cambria Math" w:hAnsi="Cambria Math" w:cs="Times New Roman" w:eastAsiaTheme="minorEastAsia"/>
                        <w:i/>
                        <w:sz w:val="24"/>
                        <w:vertAlign w:val="subscript"/>
                        <w:lang w:val="de-DE"/>
                      </w:rPr>
                    </m:ctrlPr>
                  </m:e>
                  <m:sub>
                    <m:r>
                      <m:rPr>
                        <m:nor/>
                        <m:sty m:val="p"/>
                      </m:rPr>
                      <w:rPr>
                        <w:rFonts w:hint="default" w:ascii="Cambria Math" w:hAnsi="Cambria Math" w:cs="Times New Roman" w:eastAsiaTheme="minorEastAsia"/>
                        <w:b w:val="0"/>
                        <w:i w:val="0"/>
                        <w:sz w:val="24"/>
                        <w:vertAlign w:val="subscript"/>
                        <w:lang w:val="de-DE"/>
                      </w:rPr>
                      <m:t>1</m:t>
                    </m:r>
                    <m:r>
                      <m:rPr>
                        <m:nor/>
                        <m:sty m:val="p"/>
                      </m:rPr>
                      <w:rPr>
                        <w:rFonts w:hint="default" w:ascii="Cambria Math" w:hAnsi="Cambria Math" w:cs="Times New Roman" w:eastAsiaTheme="minorEastAsia"/>
                        <w:b w:val="0"/>
                        <w:i w:val="0"/>
                        <w:sz w:val="24"/>
                        <w:vertAlign w:val="subscript"/>
                        <w:lang w:val="en-US" w:eastAsia="zh-CN"/>
                      </w:rPr>
                      <m:t>−4</m:t>
                    </m:r>
                    <m:ctrlPr>
                      <w:rPr>
                        <w:rFonts w:hint="default" w:ascii="Cambria Math" w:hAnsi="Cambria Math" w:cs="Times New Roman" w:eastAsiaTheme="minorEastAsia"/>
                        <w:i/>
                        <w:sz w:val="24"/>
                        <w:vertAlign w:val="subscript"/>
                        <w:lang w:val="de-DE"/>
                      </w:rPr>
                    </m:ctrlPr>
                  </m:sub>
                </m:sSub>
              </m:oMath>
            </m:oMathPara>
          </w:p>
        </w:tc>
        <w:tc>
          <w:tcPr>
            <w:tcW w:w="419" w:type="pct"/>
            <w:tcMar>
              <w:left w:w="28" w:type="dxa"/>
              <w:right w:w="0" w:type="dxa"/>
            </w:tcMar>
            <w:vAlign w:val="center"/>
          </w:tcPr>
          <w:p w14:paraId="639521BF">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tc>
        <w:tc>
          <w:tcPr>
            <w:tcW w:w="3979" w:type="pct"/>
            <w:tcMar>
              <w:left w:w="0" w:type="dxa"/>
              <w:right w:w="0" w:type="dxa"/>
            </w:tcMar>
            <w:vAlign w:val="center"/>
          </w:tcPr>
          <w:p w14:paraId="0D7E9482">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土钉、预应力锚杆（索）、截水帷幕及微型桩组合作用折减系数</w:t>
            </w:r>
          </w:p>
        </w:tc>
      </w:tr>
      <w:tr w14:paraId="6EC13D55">
        <w:tblPrEx>
          <w:tblCellMar>
            <w:top w:w="0" w:type="dxa"/>
            <w:left w:w="108" w:type="dxa"/>
            <w:bottom w:w="0" w:type="dxa"/>
            <w:right w:w="108" w:type="dxa"/>
          </w:tblCellMar>
        </w:tblPrEx>
        <w:trPr>
          <w:trHeight w:val="555" w:hRule="exact"/>
        </w:trPr>
        <w:tc>
          <w:tcPr>
            <w:tcW w:w="601" w:type="pct"/>
            <w:tcMar>
              <w:left w:w="0" w:type="dxa"/>
              <w:right w:w="28" w:type="dxa"/>
            </w:tcMar>
            <w:vAlign w:val="center"/>
          </w:tcPr>
          <w:p w14:paraId="612D328B">
            <w:pPr>
              <w:spacing w:line="500" w:lineRule="exact"/>
              <w:rPr>
                <w:rFonts w:hint="default" w:ascii="Times New Roman" w:hAnsi="Times New Roman" w:cs="Times New Roman" w:eastAsiaTheme="minorEastAsia"/>
                <w:i/>
                <w:sz w:val="24"/>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s</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xj</m:t>
                    </m:r>
                    <m:ctrlPr>
                      <w:rPr>
                        <w:rFonts w:hint="default" w:ascii="Cambria Math" w:hAnsi="Cambria Math" w:cs="Times New Roman" w:eastAsiaTheme="minorEastAsia"/>
                        <w:i/>
                        <w:sz w:val="24"/>
                        <w:vertAlign w:val="subscript"/>
                        <w:lang w:val="de-DE"/>
                      </w:rPr>
                    </m:ctrlPr>
                  </m:sub>
                </m:sSub>
              </m:oMath>
            </m:oMathPara>
          </w:p>
          <w:p w14:paraId="28114DDD">
            <w:pPr>
              <w:spacing w:line="530" w:lineRule="exact"/>
              <w:rPr>
                <w:rFonts w:hint="default" w:ascii="Times New Roman" w:hAnsi="Times New Roman" w:cs="Times New Roman"/>
                <w:sz w:val="24"/>
                <w:vertAlign w:val="subscript"/>
                <w:lang w:val="de-DE"/>
              </w:rPr>
            </w:pPr>
          </w:p>
        </w:tc>
        <w:tc>
          <w:tcPr>
            <w:tcW w:w="419" w:type="pct"/>
            <w:tcMar>
              <w:left w:w="28" w:type="dxa"/>
              <w:right w:w="0" w:type="dxa"/>
            </w:tcMar>
            <w:vAlign w:val="center"/>
          </w:tcPr>
          <w:p w14:paraId="6E02C011">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tc>
        <w:tc>
          <w:tcPr>
            <w:tcW w:w="3979" w:type="pct"/>
            <w:tcMar>
              <w:left w:w="0" w:type="dxa"/>
              <w:right w:w="0" w:type="dxa"/>
            </w:tcMar>
            <w:vAlign w:val="center"/>
          </w:tcPr>
          <w:p w14:paraId="2122E8D9">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第</w:t>
            </w:r>
            <w:r>
              <w:rPr>
                <w:rFonts w:hint="default" w:ascii="Times New Roman" w:hAnsi="Times New Roman" w:cs="Times New Roman" w:eastAsiaTheme="minorEastAsia"/>
                <w:i/>
                <w:iCs/>
                <w:sz w:val="24"/>
              </w:rPr>
              <w:t>j</w:t>
            </w:r>
            <w:r>
              <w:rPr>
                <w:rFonts w:hint="default" w:ascii="Times New Roman" w:hAnsi="Times New Roman" w:cs="Times New Roman" w:eastAsiaTheme="minorEastAsia"/>
                <w:sz w:val="24"/>
              </w:rPr>
              <w:t>根土钉与相邻土钉的平均水平间距；</w:t>
            </w:r>
          </w:p>
          <w:p w14:paraId="309F80F0">
            <w:pPr>
              <w:spacing w:line="360" w:lineRule="auto"/>
              <w:rPr>
                <w:rFonts w:hint="default" w:ascii="Times New Roman" w:hAnsi="Times New Roman" w:cs="Times New Roman" w:eastAsiaTheme="minorEastAsia"/>
                <w:sz w:val="24"/>
              </w:rPr>
            </w:pPr>
          </w:p>
        </w:tc>
      </w:tr>
      <w:tr w14:paraId="26C868EA">
        <w:tblPrEx>
          <w:tblCellMar>
            <w:top w:w="0" w:type="dxa"/>
            <w:left w:w="108" w:type="dxa"/>
            <w:bottom w:w="0" w:type="dxa"/>
            <w:right w:w="108" w:type="dxa"/>
          </w:tblCellMar>
        </w:tblPrEx>
        <w:trPr>
          <w:trHeight w:val="641" w:hRule="exact"/>
        </w:trPr>
        <w:tc>
          <w:tcPr>
            <w:tcW w:w="601" w:type="pct"/>
            <w:tcMar>
              <w:left w:w="0" w:type="dxa"/>
              <w:right w:w="28" w:type="dxa"/>
            </w:tcMar>
            <w:vAlign w:val="center"/>
          </w:tcPr>
          <w:p w14:paraId="2C8F4E0B">
            <w:pPr>
              <w:spacing w:line="500" w:lineRule="exact"/>
              <w:rPr>
                <w:rFonts w:hint="default" w:ascii="Times New Roman" w:hAnsi="Times New Roman" w:cs="Times New Roman" w:eastAsiaTheme="minorEastAsia"/>
                <w:i/>
                <w:sz w:val="24"/>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s</m:t>
                    </m:r>
                    <m:ctrlPr>
                      <w:rPr>
                        <w:rFonts w:hint="default" w:ascii="Cambria Math" w:hAnsi="Cambria Math" w:cs="Times New Roman" w:eastAsiaTheme="minorEastAsia"/>
                        <w:i/>
                        <w:sz w:val="24"/>
                        <w:vertAlign w:val="subscript"/>
                        <w:lang w:val="de-DE"/>
                      </w:rPr>
                    </m:ctrlPr>
                  </m:e>
                  <m:sub>
                    <m:r>
                      <m:rPr>
                        <m:nor/>
                        <m:sty m:val="p"/>
                      </m:rPr>
                      <w:rPr>
                        <w:rFonts w:hint="default" w:ascii="Cambria Math" w:hAnsi="Cambria Math" w:cs="Times New Roman" w:eastAsiaTheme="minorEastAsia"/>
                        <w:b w:val="0"/>
                        <w:i w:val="0"/>
                        <w:sz w:val="24"/>
                        <w:vertAlign w:val="subscript"/>
                        <w:lang w:val="de-DE"/>
                      </w:rPr>
                      <m:t>2</m:t>
                    </m:r>
                    <m:r>
                      <m:rPr>
                        <m:nor/>
                        <m:sty m:val="p"/>
                      </m:rPr>
                      <w:rPr>
                        <w:rFonts w:hint="default" w:ascii="Cambria Math" w:hAnsi="Cambria Math" w:cs="Times New Roman" w:eastAsiaTheme="minorEastAsia"/>
                        <w:b w:val="0"/>
                        <w:i w:val="0"/>
                        <w:sz w:val="24"/>
                        <w:vertAlign w:val="subscript"/>
                        <w:lang w:val="en-US" w:eastAsia="zh-CN"/>
                      </w:rPr>
                      <m:t>−4</m:t>
                    </m:r>
                    <m:r>
                      <m:rPr>
                        <m:nor/>
                      </m:rPr>
                      <w:rPr>
                        <w:rFonts w:hint="default" w:ascii="Cambria Math" w:hAnsi="Cambria Math" w:cs="Times New Roman" w:eastAsiaTheme="minorEastAsia"/>
                        <w:i/>
                        <w:sz w:val="24"/>
                        <w:vertAlign w:val="subscript"/>
                        <w:lang w:val="de-DE"/>
                      </w:rPr>
                      <m:t>xj</m:t>
                    </m:r>
                    <m:ctrlPr>
                      <w:rPr>
                        <w:rFonts w:hint="default" w:ascii="Cambria Math" w:hAnsi="Cambria Math" w:cs="Times New Roman" w:eastAsiaTheme="minorEastAsia"/>
                        <w:i/>
                        <w:sz w:val="24"/>
                        <w:vertAlign w:val="subscript"/>
                        <w:lang w:val="de-DE"/>
                      </w:rPr>
                    </m:ctrlPr>
                  </m:sub>
                </m:sSub>
              </m:oMath>
            </m:oMathPara>
          </w:p>
        </w:tc>
        <w:tc>
          <w:tcPr>
            <w:tcW w:w="419" w:type="pct"/>
            <w:tcMar>
              <w:left w:w="28" w:type="dxa"/>
              <w:right w:w="0" w:type="dxa"/>
            </w:tcMar>
            <w:vAlign w:val="center"/>
          </w:tcPr>
          <w:p w14:paraId="68207A2D">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lang w:val="de-DE"/>
              </w:rPr>
              <w:t>——</w:t>
            </w:r>
          </w:p>
        </w:tc>
        <w:tc>
          <w:tcPr>
            <w:tcW w:w="3979" w:type="pct"/>
            <w:tcMar>
              <w:left w:w="0" w:type="dxa"/>
              <w:right w:w="0" w:type="dxa"/>
            </w:tcMar>
            <w:vAlign w:val="center"/>
          </w:tcPr>
          <w:p w14:paraId="51384184">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第</w:t>
            </w:r>
            <w:r>
              <w:rPr>
                <w:rFonts w:hint="default" w:ascii="Times New Roman" w:hAnsi="Times New Roman" w:cs="Times New Roman" w:eastAsiaTheme="minorEastAsia"/>
                <w:i/>
                <w:iCs/>
                <w:sz w:val="24"/>
              </w:rPr>
              <w:t>j</w:t>
            </w:r>
            <w:r>
              <w:rPr>
                <w:rFonts w:hint="default" w:ascii="Times New Roman" w:hAnsi="Times New Roman" w:cs="Times New Roman" w:eastAsiaTheme="minorEastAsia"/>
                <w:sz w:val="24"/>
              </w:rPr>
              <w:t>根预应力锚杆或微型桩的平均水平间距；</w:t>
            </w:r>
          </w:p>
        </w:tc>
      </w:tr>
      <w:tr w14:paraId="00CA18AE">
        <w:tblPrEx>
          <w:tblCellMar>
            <w:top w:w="0" w:type="dxa"/>
            <w:left w:w="108" w:type="dxa"/>
            <w:bottom w:w="0" w:type="dxa"/>
            <w:right w:w="108" w:type="dxa"/>
          </w:tblCellMar>
        </w:tblPrEx>
        <w:trPr>
          <w:trHeight w:val="633" w:hRule="exact"/>
        </w:trPr>
        <w:tc>
          <w:tcPr>
            <w:tcW w:w="601" w:type="pct"/>
            <w:tcMar>
              <w:left w:w="0" w:type="dxa"/>
              <w:right w:w="28" w:type="dxa"/>
            </w:tcMar>
            <w:vAlign w:val="center"/>
          </w:tcPr>
          <w:p w14:paraId="7D38EE04">
            <w:pPr>
              <w:spacing w:line="500" w:lineRule="exact"/>
              <w:rPr>
                <w:rFonts w:hint="default" w:ascii="Times New Roman" w:hAnsi="Times New Roman" w:cs="Times New Roman" w:eastAsiaTheme="minorEastAsia"/>
                <w:i/>
                <w:sz w:val="24"/>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N</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uj</m:t>
                    </m:r>
                    <m:ctrlPr>
                      <w:rPr>
                        <w:rFonts w:hint="default" w:ascii="Cambria Math" w:hAnsi="Cambria Math" w:cs="Times New Roman" w:eastAsiaTheme="minorEastAsia"/>
                        <w:i/>
                        <w:sz w:val="24"/>
                        <w:vertAlign w:val="subscript"/>
                        <w:lang w:val="de-DE"/>
                      </w:rPr>
                    </m:ctrlPr>
                  </m:sub>
                </m:sSub>
              </m:oMath>
            </m:oMathPara>
          </w:p>
        </w:tc>
        <w:tc>
          <w:tcPr>
            <w:tcW w:w="419" w:type="pct"/>
            <w:tcMar>
              <w:left w:w="28" w:type="dxa"/>
              <w:right w:w="0" w:type="dxa"/>
            </w:tcMar>
            <w:vAlign w:val="center"/>
          </w:tcPr>
          <w:p w14:paraId="38F28D21">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tc>
        <w:tc>
          <w:tcPr>
            <w:tcW w:w="3979" w:type="pct"/>
            <w:tcMar>
              <w:left w:w="0" w:type="dxa"/>
              <w:right w:w="0" w:type="dxa"/>
            </w:tcMar>
            <w:vAlign w:val="center"/>
          </w:tcPr>
          <w:p w14:paraId="3DC63B6B">
            <w:pPr>
              <w:spacing w:line="360" w:lineRule="auto"/>
              <w:rPr>
                <w:rFonts w:hint="default" w:ascii="Times New Roman" w:hAnsi="Times New Roman" w:cs="Times New Roman" w:eastAsiaTheme="minorEastAsia"/>
                <w:sz w:val="24"/>
                <w:lang w:val="en-US" w:eastAsia="zh-CN"/>
              </w:rPr>
            </w:pPr>
            <w:r>
              <w:rPr>
                <w:rFonts w:hint="default" w:ascii="Times New Roman" w:hAnsi="Times New Roman" w:cs="Times New Roman" w:eastAsiaTheme="minorEastAsia"/>
                <w:sz w:val="24"/>
              </w:rPr>
              <w:t>第</w:t>
            </w:r>
            <w:r>
              <w:rPr>
                <w:rFonts w:hint="default" w:ascii="Times New Roman" w:hAnsi="Times New Roman" w:cs="Times New Roman" w:eastAsiaTheme="minorEastAsia"/>
                <w:i/>
                <w:iCs/>
                <w:sz w:val="24"/>
              </w:rPr>
              <w:t>j</w:t>
            </w:r>
            <w:r>
              <w:rPr>
                <w:rFonts w:hint="default" w:ascii="Times New Roman" w:hAnsi="Times New Roman" w:cs="Times New Roman" w:eastAsiaTheme="minorEastAsia"/>
                <w:sz w:val="24"/>
              </w:rPr>
              <w:t>根土钉在稳定区(即滑移面外)所提供的摩阻力</w:t>
            </w:r>
            <w:r>
              <w:rPr>
                <w:rFonts w:hint="default" w:ascii="Times New Roman" w:hAnsi="Times New Roman" w:cs="Times New Roman" w:eastAsiaTheme="minorEastAsia"/>
                <w:sz w:val="24"/>
                <w:lang w:val="en-US" w:eastAsia="zh-CN"/>
              </w:rPr>
              <w:t>;</w:t>
            </w:r>
          </w:p>
        </w:tc>
      </w:tr>
      <w:tr w14:paraId="030353D9">
        <w:tblPrEx>
          <w:tblCellMar>
            <w:top w:w="0" w:type="dxa"/>
            <w:left w:w="108" w:type="dxa"/>
            <w:bottom w:w="0" w:type="dxa"/>
            <w:right w:w="108" w:type="dxa"/>
          </w:tblCellMar>
        </w:tblPrEx>
        <w:trPr>
          <w:trHeight w:val="4057" w:hRule="exact"/>
        </w:trPr>
        <w:tc>
          <w:tcPr>
            <w:tcW w:w="601" w:type="pct"/>
            <w:tcMar>
              <w:left w:w="0" w:type="dxa"/>
              <w:right w:w="28" w:type="dxa"/>
            </w:tcMar>
          </w:tcPr>
          <w:p w14:paraId="516993E0">
            <w:pPr>
              <w:spacing w:line="460" w:lineRule="exact"/>
              <w:rPr>
                <w:rFonts w:hint="default" w:ascii="Times New Roman" w:hAnsi="Times New Roman" w:cs="Times New Roman" w:eastAsiaTheme="minorEastAsia"/>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α</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j</m:t>
                    </m:r>
                    <m:ctrlPr>
                      <w:rPr>
                        <w:rFonts w:hint="default" w:ascii="Cambria Math" w:hAnsi="Cambria Math" w:cs="Times New Roman" w:eastAsiaTheme="minorEastAsia"/>
                        <w:i/>
                        <w:sz w:val="24"/>
                        <w:vertAlign w:val="subscript"/>
                        <w:lang w:val="de-DE"/>
                      </w:rPr>
                    </m:ctrlPr>
                  </m:sub>
                </m:sSub>
              </m:oMath>
            </m:oMathPara>
          </w:p>
          <w:p w14:paraId="0058A630">
            <w:pPr>
              <w:spacing w:line="460" w:lineRule="exact"/>
              <w:rPr>
                <w:rFonts w:hint="default" w:ascii="Times New Roman" w:hAnsi="Times New Roman" w:cs="Times New Roman" w:eastAsiaTheme="minorEastAsia"/>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α</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mj</m:t>
                    </m:r>
                    <m:ctrlPr>
                      <w:rPr>
                        <w:rFonts w:hint="default" w:ascii="Cambria Math" w:hAnsi="Cambria Math" w:cs="Times New Roman" w:eastAsiaTheme="minorEastAsia"/>
                        <w:i/>
                        <w:sz w:val="24"/>
                        <w:vertAlign w:val="subscript"/>
                        <w:lang w:val="de-DE"/>
                      </w:rPr>
                    </m:ctrlPr>
                  </m:sub>
                </m:sSub>
              </m:oMath>
            </m:oMathPara>
          </w:p>
          <w:p w14:paraId="0DF20F2A">
            <w:pPr>
              <w:spacing w:line="460" w:lineRule="exact"/>
              <w:rPr>
                <w:rFonts w:hint="default" w:ascii="Times New Roman" w:hAnsi="Times New Roman" w:cs="Times New Roman" w:eastAsiaTheme="minorEastAsia"/>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θ</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j</m:t>
                    </m:r>
                    <m:ctrlPr>
                      <w:rPr>
                        <w:rFonts w:hint="default" w:ascii="Cambria Math" w:hAnsi="Cambria Math" w:cs="Times New Roman" w:eastAsiaTheme="minorEastAsia"/>
                        <w:i/>
                        <w:sz w:val="24"/>
                        <w:vertAlign w:val="subscript"/>
                        <w:lang w:val="de-DE"/>
                      </w:rPr>
                    </m:ctrlPr>
                  </m:sub>
                </m:sSub>
              </m:oMath>
            </m:oMathPara>
          </w:p>
          <w:p w14:paraId="2F2BF0E5">
            <w:pPr>
              <w:keepNext w:val="0"/>
              <w:keepLines w:val="0"/>
              <w:pageBreakBefore w:val="0"/>
              <w:widowControl w:val="0"/>
              <w:kinsoku/>
              <w:wordWrap/>
              <w:overflowPunct/>
              <w:topLinePunct w:val="0"/>
              <w:autoSpaceDE/>
              <w:autoSpaceDN/>
              <w:bidi w:val="0"/>
              <w:adjustRightInd/>
              <w:snapToGrid/>
              <w:spacing w:line="432" w:lineRule="auto"/>
              <w:textAlignment w:val="auto"/>
              <w:rPr>
                <w:rFonts w:hint="default" w:hAnsi="Cambria Math" w:cs="Times New Roman" w:eastAsiaTheme="minorEastAsia"/>
                <w:i w:val="0"/>
                <w:sz w:val="24"/>
                <w:vertAlign w:val="subscript"/>
                <w:lang w:val="de-DE"/>
              </w:rPr>
            </w:pPr>
          </w:p>
          <w:p w14:paraId="4CD1F0E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φ</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i</m:t>
                    </m:r>
                    <m:ctrlPr>
                      <w:rPr>
                        <w:rFonts w:hint="default" w:ascii="Cambria Math" w:hAnsi="Cambria Math" w:cs="Times New Roman" w:eastAsiaTheme="minorEastAsia"/>
                        <w:i/>
                        <w:sz w:val="24"/>
                        <w:vertAlign w:val="subscript"/>
                        <w:lang w:val="de-DE"/>
                      </w:rPr>
                    </m:ctrlPr>
                  </m:sub>
                </m:sSub>
              </m:oMath>
            </m:oMathPara>
          </w:p>
          <w:p w14:paraId="1F96B7C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τ</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q</m:t>
                    </m:r>
                    <m:ctrlPr>
                      <w:rPr>
                        <w:rFonts w:hint="default" w:ascii="Cambria Math" w:hAnsi="Cambria Math" w:cs="Times New Roman" w:eastAsiaTheme="minorEastAsia"/>
                        <w:i/>
                        <w:sz w:val="24"/>
                        <w:vertAlign w:val="subscript"/>
                        <w:lang w:val="de-DE"/>
                      </w:rPr>
                    </m:ctrlPr>
                  </m:sub>
                </m:sSub>
              </m:oMath>
            </m:oMathPara>
          </w:p>
          <w:p w14:paraId="1D0A864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τ</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y</m:t>
                    </m:r>
                    <m:ctrlPr>
                      <w:rPr>
                        <w:rFonts w:hint="default" w:ascii="Cambria Math" w:hAnsi="Cambria Math" w:cs="Times New Roman" w:eastAsiaTheme="minorEastAsia"/>
                        <w:i/>
                        <w:sz w:val="24"/>
                        <w:vertAlign w:val="subscript"/>
                        <w:lang w:val="de-DE"/>
                      </w:rPr>
                    </m:ctrlPr>
                  </m:sub>
                </m:sSub>
              </m:oMath>
            </m:oMathPara>
          </w:p>
          <w:p w14:paraId="301B6E6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Cambria Math" w:hAnsi="Cambria Math" w:cs="Times New Roman" w:eastAsiaTheme="minorEastAsia"/>
                <w:i w:val="0"/>
                <w:sz w:val="24"/>
                <w:vertAlign w:val="subscript"/>
                <w:lang w:val="de-DE"/>
                <w:oMath/>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A</m:t>
                    </m:r>
                    <m:ctrlPr>
                      <w:rPr>
                        <w:rFonts w:hint="default" w:ascii="Cambria Math" w:hAnsi="Cambria Math" w:cs="Times New Roman" w:eastAsiaTheme="minorEastAsia"/>
                        <w:i/>
                        <w:sz w:val="24"/>
                        <w:vertAlign w:val="subscript"/>
                        <w:lang w:val="de-DE"/>
                      </w:rPr>
                    </m:ctrlPr>
                  </m:e>
                  <m:sub>
                    <m:r>
                      <m:rPr>
                        <m:nor/>
                        <m:sty m:val="p"/>
                      </m:rPr>
                      <w:rPr>
                        <w:rFonts w:hint="default" w:ascii="Cambria Math" w:hAnsi="Cambria Math" w:cs="Times New Roman" w:eastAsiaTheme="minorEastAsia"/>
                        <w:b w:val="0"/>
                        <w:i w:val="0"/>
                        <w:sz w:val="24"/>
                        <w:vertAlign w:val="subscript"/>
                        <w:lang w:val="de-DE"/>
                      </w:rPr>
                      <m:t>3</m:t>
                    </m:r>
                    <m:r>
                      <m:rPr>
                        <m:nor/>
                        <m:sty m:val="p"/>
                      </m:rPr>
                      <w:rPr>
                        <w:rFonts w:hint="default" w:ascii="Cambria Math" w:hAnsi="Cambria Math" w:cs="Times New Roman" w:eastAsiaTheme="minorEastAsia"/>
                        <w:b w:val="0"/>
                        <w:i w:val="0"/>
                        <w:sz w:val="24"/>
                        <w:vertAlign w:val="subscript"/>
                        <w:lang w:val="en-US" w:eastAsia="zh-CN"/>
                      </w:rPr>
                      <m:t>−4</m:t>
                    </m:r>
                    <m:ctrlPr>
                      <w:rPr>
                        <w:rFonts w:hint="default" w:ascii="Cambria Math" w:hAnsi="Cambria Math" w:cs="Times New Roman" w:eastAsiaTheme="minorEastAsia"/>
                        <w:i/>
                        <w:sz w:val="24"/>
                        <w:vertAlign w:val="subscript"/>
                        <w:lang w:val="de-DE"/>
                      </w:rPr>
                    </m:ctrlPr>
                  </m:sub>
                </m:sSub>
              </m:oMath>
            </m:oMathPara>
          </w:p>
        </w:tc>
        <w:tc>
          <w:tcPr>
            <w:tcW w:w="419" w:type="pct"/>
            <w:tcMar>
              <w:left w:w="28" w:type="dxa"/>
              <w:right w:w="0" w:type="dxa"/>
            </w:tcMar>
          </w:tcPr>
          <w:p w14:paraId="69AA4941">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79B4C57C">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36BE32FE">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269CCE16">
            <w:pPr>
              <w:spacing w:line="360" w:lineRule="auto"/>
              <w:rPr>
                <w:rFonts w:hint="default" w:ascii="Times New Roman" w:hAnsi="Times New Roman" w:cs="Times New Roman" w:eastAsiaTheme="minorEastAsia"/>
                <w:sz w:val="24"/>
                <w:lang w:val="de-DE"/>
              </w:rPr>
            </w:pPr>
          </w:p>
          <w:p w14:paraId="0A3895B9">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2C07A194">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13D98B9B">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407EB4C0">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tc>
        <w:tc>
          <w:tcPr>
            <w:tcW w:w="3979" w:type="pct"/>
            <w:tcMar>
              <w:left w:w="0" w:type="dxa"/>
              <w:right w:w="0" w:type="dxa"/>
            </w:tcMar>
          </w:tcPr>
          <w:p w14:paraId="6A4CDE85">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第</w:t>
            </w:r>
            <w:r>
              <w:rPr>
                <w:rFonts w:hint="default" w:ascii="Times New Roman" w:hAnsi="Times New Roman" w:cs="Times New Roman" w:eastAsiaTheme="minorEastAsia"/>
                <w:i/>
                <w:iCs/>
                <w:sz w:val="24"/>
              </w:rPr>
              <w:t>j</w:t>
            </w:r>
            <w:r>
              <w:rPr>
                <w:rFonts w:hint="default" w:ascii="Times New Roman" w:hAnsi="Times New Roman" w:cs="Times New Roman" w:eastAsiaTheme="minorEastAsia"/>
                <w:sz w:val="24"/>
              </w:rPr>
              <w:t>根土钉与水平面之间的夹角；</w:t>
            </w:r>
          </w:p>
          <w:p w14:paraId="2B0FDC26">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第</w:t>
            </w:r>
            <w:r>
              <w:rPr>
                <w:rFonts w:hint="default" w:ascii="Times New Roman" w:hAnsi="Times New Roman" w:cs="Times New Roman" w:eastAsiaTheme="minorEastAsia"/>
                <w:i/>
                <w:iCs/>
                <w:sz w:val="24"/>
              </w:rPr>
              <w:t>j</w:t>
            </w:r>
            <w:r>
              <w:rPr>
                <w:rFonts w:hint="default" w:ascii="Times New Roman" w:hAnsi="Times New Roman" w:cs="Times New Roman" w:eastAsiaTheme="minorEastAsia"/>
                <w:sz w:val="24"/>
              </w:rPr>
              <w:t>根预应力锚杆与水平面之间的夹角；</w:t>
            </w:r>
          </w:p>
          <w:p w14:paraId="1CE1497E">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第</w:t>
            </w:r>
            <w:r>
              <w:rPr>
                <w:rFonts w:hint="default" w:ascii="Times New Roman" w:hAnsi="Times New Roman" w:cs="Times New Roman" w:eastAsiaTheme="minorEastAsia"/>
                <w:i/>
                <w:iCs/>
                <w:sz w:val="24"/>
              </w:rPr>
              <w:t>j</w:t>
            </w:r>
            <w:r>
              <w:rPr>
                <w:rFonts w:hint="default" w:ascii="Times New Roman" w:hAnsi="Times New Roman" w:cs="Times New Roman" w:eastAsiaTheme="minorEastAsia"/>
                <w:sz w:val="24"/>
              </w:rPr>
              <w:t>根土钉或预应力锚杆与滑弧面相交处，滑弧切线与水平面夹角；</w:t>
            </w:r>
          </w:p>
          <w:p w14:paraId="4CB92A15">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第</w:t>
            </w:r>
            <w:r>
              <w:rPr>
                <w:rFonts w:hint="default" w:ascii="Times New Roman" w:hAnsi="Times New Roman" w:cs="Times New Roman" w:eastAsiaTheme="minorEastAsia"/>
                <w:i/>
                <w:iCs/>
                <w:sz w:val="24"/>
              </w:rPr>
              <w:t>j</w:t>
            </w:r>
            <w:r>
              <w:rPr>
                <w:rFonts w:hint="default" w:ascii="Times New Roman" w:hAnsi="Times New Roman" w:cs="Times New Roman" w:eastAsiaTheme="minorEastAsia"/>
                <w:sz w:val="24"/>
              </w:rPr>
              <w:t>根土钉或预应力锚杆与滑弧面交点处土的内摩擦角</w:t>
            </w:r>
          </w:p>
          <w:p w14:paraId="6748C747">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假定滑移面处相应龄期截水帷幕的抗剪强度标准值；</w:t>
            </w:r>
          </w:p>
          <w:p w14:paraId="315470B7">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假定滑移面处微型桩的抗剪强度标准值；</w:t>
            </w:r>
          </w:p>
          <w:p w14:paraId="0D49F750">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单位计算长度内截水帷幕或单根微型桩的截面积。</w:t>
            </w:r>
          </w:p>
        </w:tc>
      </w:tr>
      <w:tr w14:paraId="63D58674">
        <w:tblPrEx>
          <w:tblCellMar>
            <w:top w:w="0" w:type="dxa"/>
            <w:left w:w="108" w:type="dxa"/>
            <w:bottom w:w="0" w:type="dxa"/>
            <w:right w:w="108" w:type="dxa"/>
          </w:tblCellMar>
        </w:tblPrEx>
        <w:trPr>
          <w:trHeight w:val="7728" w:hRule="exact"/>
        </w:trPr>
        <w:tc>
          <w:tcPr>
            <w:tcW w:w="601" w:type="pct"/>
            <w:tcMar>
              <w:left w:w="0" w:type="dxa"/>
              <w:right w:w="28" w:type="dxa"/>
            </w:tcMar>
          </w:tcPr>
          <w:p w14:paraId="465F66F2">
            <w:pPr>
              <w:keepNext w:val="0"/>
              <w:keepLines w:val="0"/>
              <w:pageBreakBefore w:val="0"/>
              <w:widowControl w:val="0"/>
              <w:kinsoku/>
              <w:wordWrap/>
              <w:overflowPunct/>
              <w:topLinePunct w:val="0"/>
              <w:autoSpaceDE/>
              <w:autoSpaceDN/>
              <w:bidi w:val="0"/>
              <w:adjustRightInd/>
              <w:snapToGrid/>
              <w:spacing w:line="456" w:lineRule="auto"/>
              <w:textAlignment w:val="auto"/>
              <w:rPr>
                <w:rFonts w:hint="default" w:ascii="Times New Roman" w:hAnsi="Times New Roman" w:cs="Times New Roman" w:eastAsiaTheme="minorEastAsia"/>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K</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s</m:t>
                    </m:r>
                    <m:r>
                      <m:rPr>
                        <m:nor/>
                        <m:sty m:val="p"/>
                      </m:rPr>
                      <w:rPr>
                        <w:rFonts w:hint="default" w:ascii="Cambria Math" w:hAnsi="Cambria Math" w:cs="Times New Roman" w:eastAsiaTheme="minorEastAsia"/>
                        <w:b w:val="0"/>
                        <w:i w:val="0"/>
                        <w:sz w:val="24"/>
                        <w:vertAlign w:val="subscript"/>
                        <w:lang w:val="de-DE"/>
                      </w:rPr>
                      <m:t>,</m:t>
                    </m:r>
                    <m:r>
                      <m:rPr>
                        <m:nor/>
                      </m:rPr>
                      <w:rPr>
                        <w:rFonts w:hint="default" w:ascii="Cambria Math" w:hAnsi="Cambria Math" w:cs="Times New Roman" w:eastAsiaTheme="minorEastAsia"/>
                        <w:i/>
                        <w:sz w:val="24"/>
                        <w:vertAlign w:val="subscript"/>
                        <w:lang w:val="de-DE"/>
                      </w:rPr>
                      <m:t>i</m:t>
                    </m:r>
                    <m:ctrlPr>
                      <w:rPr>
                        <w:rFonts w:hint="default" w:ascii="Cambria Math" w:hAnsi="Cambria Math" w:cs="Times New Roman" w:eastAsiaTheme="minorEastAsia"/>
                        <w:i/>
                        <w:sz w:val="24"/>
                        <w:vertAlign w:val="subscript"/>
                        <w:lang w:val="de-DE"/>
                      </w:rPr>
                    </m:ctrlPr>
                  </m:sub>
                </m:sSub>
              </m:oMath>
            </m:oMathPara>
          </w:p>
          <w:p w14:paraId="65170996">
            <w:pPr>
              <w:keepNext w:val="0"/>
              <w:keepLines w:val="0"/>
              <w:pageBreakBefore w:val="0"/>
              <w:widowControl w:val="0"/>
              <w:kinsoku/>
              <w:wordWrap/>
              <w:overflowPunct/>
              <w:topLinePunct w:val="0"/>
              <w:autoSpaceDE/>
              <w:autoSpaceDN/>
              <w:bidi w:val="0"/>
              <w:adjustRightInd/>
              <w:snapToGrid/>
              <w:spacing w:line="456" w:lineRule="auto"/>
              <w:textAlignment w:val="auto"/>
              <w:rPr>
                <w:rFonts w:hint="default" w:ascii="Times New Roman" w:hAnsi="Times New Roman" w:cs="Times New Roman" w:eastAsiaTheme="minorEastAsia"/>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c</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j</m:t>
                    </m:r>
                    <m:ctrlPr>
                      <w:rPr>
                        <w:rFonts w:hint="default" w:ascii="Cambria Math" w:hAnsi="Cambria Math" w:cs="Times New Roman" w:eastAsiaTheme="minorEastAsia"/>
                        <w:i/>
                        <w:sz w:val="24"/>
                        <w:vertAlign w:val="subscript"/>
                        <w:lang w:val="de-DE"/>
                      </w:rPr>
                    </m:ctrlPr>
                  </m:sub>
                </m:sSub>
              </m:oMath>
            </m:oMathPara>
          </w:p>
          <w:p w14:paraId="7003820C">
            <w:pPr>
              <w:keepNext w:val="0"/>
              <w:keepLines w:val="0"/>
              <w:pageBreakBefore w:val="0"/>
              <w:widowControl w:val="0"/>
              <w:kinsoku/>
              <w:wordWrap/>
              <w:overflowPunct/>
              <w:topLinePunct w:val="0"/>
              <w:autoSpaceDE/>
              <w:autoSpaceDN/>
              <w:bidi w:val="0"/>
              <w:adjustRightInd/>
              <w:snapToGrid/>
              <w:spacing w:line="456" w:lineRule="auto"/>
              <w:textAlignment w:val="auto"/>
              <w:rPr>
                <w:rFonts w:hint="default" w:ascii="Times New Roman" w:hAnsi="Times New Roman" w:cs="Times New Roman" w:eastAsiaTheme="minorEastAsia"/>
                <w:i w:val="0"/>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φ</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j</m:t>
                    </m:r>
                    <m:ctrlPr>
                      <w:rPr>
                        <w:rFonts w:hint="default" w:ascii="Cambria Math" w:hAnsi="Cambria Math" w:cs="Times New Roman" w:eastAsiaTheme="minorEastAsia"/>
                        <w:i/>
                        <w:sz w:val="24"/>
                        <w:vertAlign w:val="subscript"/>
                        <w:lang w:val="de-DE"/>
                      </w:rPr>
                    </m:ctrlPr>
                  </m:sub>
                </m:sSub>
              </m:oMath>
            </m:oMathPara>
          </w:p>
          <w:p w14:paraId="186D10FC">
            <w:pPr>
              <w:keepNext w:val="0"/>
              <w:keepLines w:val="0"/>
              <w:pageBreakBefore w:val="0"/>
              <w:widowControl w:val="0"/>
              <w:kinsoku/>
              <w:wordWrap/>
              <w:overflowPunct/>
              <w:topLinePunct w:val="0"/>
              <w:autoSpaceDE/>
              <w:autoSpaceDN/>
              <w:bidi w:val="0"/>
              <w:adjustRightInd/>
              <w:snapToGrid/>
              <w:spacing w:line="456" w:lineRule="auto"/>
              <w:textAlignment w:val="auto"/>
              <w:rPr>
                <w:rFonts w:hint="default" w:ascii="Times New Roman" w:hAnsi="Times New Roman" w:cs="Times New Roman" w:eastAsiaTheme="minorEastAsia"/>
                <w:sz w:val="36"/>
                <w:szCs w:val="36"/>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b</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j</m:t>
                    </m:r>
                    <m:ctrlPr>
                      <w:rPr>
                        <w:rFonts w:hint="default" w:ascii="Cambria Math" w:hAnsi="Cambria Math" w:cs="Times New Roman" w:eastAsiaTheme="minorEastAsia"/>
                        <w:i/>
                        <w:sz w:val="24"/>
                        <w:vertAlign w:val="subscript"/>
                        <w:lang w:val="de-DE"/>
                      </w:rPr>
                    </m:ctrlPr>
                  </m:sub>
                </m:sSub>
              </m:oMath>
            </m:oMathPara>
          </w:p>
          <w:p w14:paraId="37A10095">
            <w:pPr>
              <w:keepNext w:val="0"/>
              <w:keepLines w:val="0"/>
              <w:pageBreakBefore w:val="0"/>
              <w:widowControl w:val="0"/>
              <w:kinsoku/>
              <w:wordWrap/>
              <w:overflowPunct/>
              <w:topLinePunct w:val="0"/>
              <w:autoSpaceDE/>
              <w:autoSpaceDN/>
              <w:bidi w:val="0"/>
              <w:adjustRightInd/>
              <w:snapToGrid/>
              <w:spacing w:line="456" w:lineRule="auto"/>
              <w:textAlignment w:val="auto"/>
              <w:rPr>
                <w:rFonts w:hint="default" w:ascii="Times New Roman" w:hAnsi="Times New Roman" w:cs="Times New Roman" w:eastAsiaTheme="minorEastAsia"/>
                <w:sz w:val="36"/>
                <w:szCs w:val="36"/>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θ</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j</m:t>
                    </m:r>
                    <m:ctrlPr>
                      <w:rPr>
                        <w:rFonts w:hint="default" w:ascii="Cambria Math" w:hAnsi="Cambria Math" w:cs="Times New Roman" w:eastAsiaTheme="minorEastAsia"/>
                        <w:i/>
                        <w:sz w:val="24"/>
                        <w:vertAlign w:val="subscript"/>
                        <w:lang w:val="de-DE"/>
                      </w:rPr>
                    </m:ctrlPr>
                  </m:sub>
                </m:sSub>
              </m:oMath>
            </m:oMathPara>
          </w:p>
          <w:p w14:paraId="69438D11">
            <w:pPr>
              <w:keepNext w:val="0"/>
              <w:keepLines w:val="0"/>
              <w:pageBreakBefore w:val="0"/>
              <w:widowControl w:val="0"/>
              <w:kinsoku/>
              <w:wordWrap/>
              <w:overflowPunct/>
              <w:topLinePunct w:val="0"/>
              <w:autoSpaceDE/>
              <w:autoSpaceDN/>
              <w:bidi w:val="0"/>
              <w:adjustRightInd/>
              <w:snapToGrid/>
              <w:spacing w:line="456" w:lineRule="auto"/>
              <w:textAlignment w:val="auto"/>
              <w:rPr>
                <w:rFonts w:hint="default" w:ascii="Times New Roman" w:hAnsi="Times New Roman" w:cs="Times New Roman" w:eastAsiaTheme="minorEastAsia"/>
                <w:sz w:val="36"/>
                <w:szCs w:val="36"/>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l</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j</m:t>
                    </m:r>
                    <m:ctrlPr>
                      <w:rPr>
                        <w:rFonts w:hint="default" w:ascii="Cambria Math" w:hAnsi="Cambria Math" w:cs="Times New Roman" w:eastAsiaTheme="minorEastAsia"/>
                        <w:i/>
                        <w:sz w:val="24"/>
                        <w:vertAlign w:val="subscript"/>
                        <w:lang w:val="de-DE"/>
                      </w:rPr>
                    </m:ctrlPr>
                  </m:sub>
                </m:sSub>
              </m:oMath>
            </m:oMathPara>
          </w:p>
          <w:p w14:paraId="38D9255F">
            <w:pPr>
              <w:keepNext w:val="0"/>
              <w:keepLines w:val="0"/>
              <w:pageBreakBefore w:val="0"/>
              <w:widowControl w:val="0"/>
              <w:kinsoku/>
              <w:wordWrap/>
              <w:overflowPunct/>
              <w:topLinePunct w:val="0"/>
              <w:autoSpaceDE/>
              <w:autoSpaceDN/>
              <w:bidi w:val="0"/>
              <w:adjustRightInd/>
              <w:snapToGrid/>
              <w:spacing w:line="456" w:lineRule="auto"/>
              <w:textAlignment w:val="auto"/>
              <w:rPr>
                <w:rFonts w:hint="default" w:ascii="Times New Roman" w:hAnsi="Times New Roman" w:cs="Times New Roman" w:eastAsiaTheme="minorEastAsia"/>
                <w:sz w:val="36"/>
                <w:szCs w:val="36"/>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q</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j</m:t>
                    </m:r>
                    <m:ctrlPr>
                      <w:rPr>
                        <w:rFonts w:hint="default" w:ascii="Cambria Math" w:hAnsi="Cambria Math" w:cs="Times New Roman" w:eastAsiaTheme="minorEastAsia"/>
                        <w:i/>
                        <w:sz w:val="24"/>
                        <w:vertAlign w:val="subscript"/>
                        <w:lang w:val="de-DE"/>
                      </w:rPr>
                    </m:ctrlPr>
                  </m:sub>
                </m:sSub>
              </m:oMath>
            </m:oMathPara>
          </w:p>
          <w:p w14:paraId="7149BCA8">
            <w:pPr>
              <w:keepNext w:val="0"/>
              <w:keepLines w:val="0"/>
              <w:pageBreakBefore w:val="0"/>
              <w:widowControl w:val="0"/>
              <w:kinsoku/>
              <w:wordWrap/>
              <w:overflowPunct/>
              <w:topLinePunct w:val="0"/>
              <w:autoSpaceDE/>
              <w:autoSpaceDN/>
              <w:bidi w:val="0"/>
              <w:adjustRightInd/>
              <w:snapToGrid/>
              <w:spacing w:line="456" w:lineRule="auto"/>
              <w:textAlignment w:val="auto"/>
              <w:rPr>
                <w:rFonts w:hint="default" w:ascii="Times New Roman" w:hAnsi="Times New Roman" w:cs="Times New Roman" w:eastAsiaTheme="minorEastAsia"/>
                <w:sz w:val="24"/>
                <w:vertAlign w:val="subscript"/>
                <w:lang w:val="de-DE"/>
              </w:rPr>
            </w:pPr>
            <m:oMathPara>
              <m:oMath>
                <m:r>
                  <m:rPr>
                    <m:nor/>
                    <m:sty m:val="p"/>
                  </m:rPr>
                  <w:rPr>
                    <w:rFonts w:hint="default" w:ascii="Cambria Math" w:hAnsi="Cambria Math" w:cs="Times New Roman" w:eastAsiaTheme="minorEastAsia"/>
                    <w:b w:val="0"/>
                    <w:i w:val="0"/>
                    <w:sz w:val="24"/>
                    <w:vertAlign w:val="subscript"/>
                    <w:lang w:val="de-DE"/>
                  </w:rPr>
                  <m:t>∆</m:t>
                </m:r>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G</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j</m:t>
                    </m:r>
                    <m:ctrlPr>
                      <w:rPr>
                        <w:rFonts w:hint="default" w:ascii="Cambria Math" w:hAnsi="Cambria Math" w:cs="Times New Roman" w:eastAsiaTheme="minorEastAsia"/>
                        <w:i/>
                        <w:sz w:val="24"/>
                        <w:vertAlign w:val="subscript"/>
                        <w:lang w:val="de-DE"/>
                      </w:rPr>
                    </m:ctrlPr>
                  </m:sub>
                </m:sSub>
              </m:oMath>
            </m:oMathPara>
          </w:p>
          <w:p w14:paraId="5CAD36DD">
            <w:pPr>
              <w:keepNext w:val="0"/>
              <w:keepLines w:val="0"/>
              <w:pageBreakBefore w:val="0"/>
              <w:widowControl w:val="0"/>
              <w:kinsoku/>
              <w:wordWrap/>
              <w:overflowPunct/>
              <w:topLinePunct w:val="0"/>
              <w:autoSpaceDE/>
              <w:autoSpaceDN/>
              <w:bidi w:val="0"/>
              <w:adjustRightInd/>
              <w:snapToGrid/>
              <w:spacing w:line="456" w:lineRule="auto"/>
              <w:textAlignment w:val="auto"/>
              <w:rPr>
                <w:rFonts w:hint="default" w:ascii="Times New Roman" w:hAnsi="Times New Roman" w:cs="Times New Roman" w:eastAsiaTheme="minorEastAsia"/>
                <w:sz w:val="36"/>
                <w:szCs w:val="36"/>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u</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j</m:t>
                    </m:r>
                    <m:ctrlPr>
                      <w:rPr>
                        <w:rFonts w:hint="default" w:ascii="Cambria Math" w:hAnsi="Cambria Math" w:cs="Times New Roman" w:eastAsiaTheme="minorEastAsia"/>
                        <w:i/>
                        <w:sz w:val="24"/>
                        <w:vertAlign w:val="subscript"/>
                        <w:lang w:val="de-DE"/>
                      </w:rPr>
                    </m:ctrlPr>
                  </m:sub>
                </m:sSub>
              </m:oMath>
            </m:oMathPara>
          </w:p>
          <w:p w14:paraId="3C00E7D7">
            <w:pPr>
              <w:keepNext w:val="0"/>
              <w:keepLines w:val="0"/>
              <w:pageBreakBefore w:val="0"/>
              <w:widowControl w:val="0"/>
              <w:kinsoku/>
              <w:wordWrap/>
              <w:overflowPunct/>
              <w:topLinePunct w:val="0"/>
              <w:autoSpaceDE/>
              <w:autoSpaceDN/>
              <w:bidi w:val="0"/>
              <w:adjustRightInd/>
              <w:snapToGrid/>
              <w:spacing w:line="456" w:lineRule="auto"/>
              <w:textAlignment w:val="auto"/>
              <w:rPr>
                <w:rFonts w:hint="default" w:ascii="Times New Roman" w:hAnsi="Times New Roman" w:cs="Times New Roman" w:eastAsiaTheme="minorEastAsia"/>
                <w:sz w:val="36"/>
                <w:szCs w:val="36"/>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r</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w</m:t>
                    </m:r>
                    <m:ctrlPr>
                      <w:rPr>
                        <w:rFonts w:hint="default" w:ascii="Cambria Math" w:hAnsi="Cambria Math" w:cs="Times New Roman" w:eastAsiaTheme="minorEastAsia"/>
                        <w:i/>
                        <w:sz w:val="24"/>
                        <w:vertAlign w:val="subscript"/>
                        <w:lang w:val="de-DE"/>
                      </w:rPr>
                    </m:ctrlPr>
                  </m:sub>
                </m:sSub>
              </m:oMath>
            </m:oMathPara>
          </w:p>
          <w:p w14:paraId="22FBEAD5">
            <w:pPr>
              <w:keepNext w:val="0"/>
              <w:keepLines w:val="0"/>
              <w:pageBreakBefore w:val="0"/>
              <w:widowControl w:val="0"/>
              <w:kinsoku/>
              <w:wordWrap/>
              <w:overflowPunct/>
              <w:topLinePunct w:val="0"/>
              <w:autoSpaceDE/>
              <w:autoSpaceDN/>
              <w:bidi w:val="0"/>
              <w:adjustRightInd/>
              <w:snapToGrid/>
              <w:spacing w:line="456" w:lineRule="auto"/>
              <w:textAlignment w:val="auto"/>
              <w:rPr>
                <w:rFonts w:hint="default" w:ascii="Times New Roman" w:hAnsi="Times New Roman" w:cs="Times New Roman" w:eastAsiaTheme="minorEastAsia"/>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sty m:val="p"/>
                      </m:rPr>
                      <w:rPr>
                        <w:rFonts w:hint="default" w:ascii="Cambria Math" w:hAnsi="Cambria Math" w:cs="Times New Roman" w:eastAsiaTheme="minorEastAsia"/>
                        <w:b w:val="0"/>
                        <w:i w:val="0"/>
                        <w:sz w:val="24"/>
                        <w:vertAlign w:val="subscript"/>
                        <w:lang w:val="de-DE"/>
                      </w:rPr>
                      <m:t>h</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wa</m:t>
                    </m:r>
                    <m:r>
                      <m:rPr>
                        <m:nor/>
                        <m:sty m:val="p"/>
                      </m:rPr>
                      <w:rPr>
                        <w:rFonts w:hint="default" w:ascii="Cambria Math" w:hAnsi="Cambria Math" w:cs="Times New Roman" w:eastAsiaTheme="minorEastAsia"/>
                        <w:b w:val="0"/>
                        <w:i w:val="0"/>
                        <w:sz w:val="24"/>
                        <w:vertAlign w:val="subscript"/>
                        <w:lang w:val="de-DE"/>
                      </w:rPr>
                      <m:t>,</m:t>
                    </m:r>
                    <m:r>
                      <m:rPr>
                        <m:nor/>
                      </m:rPr>
                      <w:rPr>
                        <w:rFonts w:hint="default" w:ascii="Cambria Math" w:hAnsi="Cambria Math" w:cs="Times New Roman" w:eastAsiaTheme="minorEastAsia"/>
                        <w:i/>
                        <w:sz w:val="24"/>
                        <w:vertAlign w:val="subscript"/>
                        <w:lang w:val="de-DE"/>
                      </w:rPr>
                      <m:t>j</m:t>
                    </m:r>
                    <m:ctrlPr>
                      <w:rPr>
                        <w:rFonts w:hint="default" w:ascii="Cambria Math" w:hAnsi="Cambria Math" w:cs="Times New Roman" w:eastAsiaTheme="minorEastAsia"/>
                        <w:i/>
                        <w:sz w:val="24"/>
                        <w:vertAlign w:val="subscript"/>
                        <w:lang w:val="de-DE"/>
                      </w:rPr>
                    </m:ctrlPr>
                  </m:sub>
                </m:sSub>
              </m:oMath>
            </m:oMathPara>
          </w:p>
          <w:p w14:paraId="08265FF8">
            <w:pPr>
              <w:keepNext w:val="0"/>
              <w:keepLines w:val="0"/>
              <w:pageBreakBefore w:val="0"/>
              <w:widowControl w:val="0"/>
              <w:kinsoku/>
              <w:wordWrap/>
              <w:overflowPunct/>
              <w:topLinePunct w:val="0"/>
              <w:autoSpaceDE/>
              <w:autoSpaceDN/>
              <w:bidi w:val="0"/>
              <w:adjustRightInd/>
              <w:snapToGrid/>
              <w:spacing w:line="456" w:lineRule="auto"/>
              <w:textAlignment w:val="auto"/>
              <w:rPr>
                <w:rFonts w:hint="default" w:ascii="Times New Roman" w:hAnsi="Times New Roman" w:cs="Times New Roman" w:eastAsiaTheme="minorEastAsia"/>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sty m:val="p"/>
                      </m:rPr>
                      <w:rPr>
                        <w:rFonts w:hint="default" w:ascii="Cambria Math" w:hAnsi="Cambria Math" w:cs="Times New Roman" w:eastAsiaTheme="minorEastAsia"/>
                        <w:b w:val="0"/>
                        <w:i w:val="0"/>
                        <w:sz w:val="24"/>
                        <w:vertAlign w:val="subscript"/>
                        <w:lang w:val="de-DE"/>
                      </w:rPr>
                      <m:t>h</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wp</m:t>
                    </m:r>
                    <m:r>
                      <m:rPr>
                        <m:nor/>
                        <m:sty m:val="p"/>
                      </m:rPr>
                      <w:rPr>
                        <w:rFonts w:hint="default" w:ascii="Cambria Math" w:hAnsi="Cambria Math" w:cs="Times New Roman" w:eastAsiaTheme="minorEastAsia"/>
                        <w:b w:val="0"/>
                        <w:i w:val="0"/>
                        <w:sz w:val="24"/>
                        <w:vertAlign w:val="subscript"/>
                        <w:lang w:val="de-DE"/>
                      </w:rPr>
                      <m:t>,</m:t>
                    </m:r>
                    <m:r>
                      <m:rPr>
                        <m:nor/>
                      </m:rPr>
                      <w:rPr>
                        <w:rFonts w:hint="default" w:ascii="Cambria Math" w:hAnsi="Cambria Math" w:cs="Times New Roman" w:eastAsiaTheme="minorEastAsia"/>
                        <w:i/>
                        <w:sz w:val="24"/>
                        <w:vertAlign w:val="subscript"/>
                        <w:lang w:val="de-DE"/>
                      </w:rPr>
                      <m:t>j</m:t>
                    </m:r>
                    <m:ctrlPr>
                      <w:rPr>
                        <w:rFonts w:hint="default" w:ascii="Cambria Math" w:hAnsi="Cambria Math" w:cs="Times New Roman" w:eastAsiaTheme="minorEastAsia"/>
                        <w:i/>
                        <w:sz w:val="24"/>
                        <w:vertAlign w:val="subscript"/>
                        <w:lang w:val="de-DE"/>
                      </w:rPr>
                    </m:ctrlPr>
                  </m:sub>
                </m:sSub>
              </m:oMath>
            </m:oMathPara>
          </w:p>
          <w:p w14:paraId="2AC0FC38">
            <w:pPr>
              <w:keepNext w:val="0"/>
              <w:keepLines w:val="0"/>
              <w:pageBreakBefore w:val="0"/>
              <w:widowControl w:val="0"/>
              <w:kinsoku/>
              <w:wordWrap/>
              <w:overflowPunct/>
              <w:topLinePunct w:val="0"/>
              <w:autoSpaceDE/>
              <w:autoSpaceDN/>
              <w:bidi w:val="0"/>
              <w:adjustRightInd/>
              <w:snapToGrid/>
              <w:spacing w:line="456" w:lineRule="auto"/>
              <w:textAlignment w:val="auto"/>
              <w:rPr>
                <w:rFonts w:hint="default" w:ascii="Times New Roman" w:hAnsi="Times New Roman" w:cs="Times New Roman" w:eastAsiaTheme="minorEastAsia"/>
                <w:sz w:val="24"/>
                <w:vertAlign w:val="subscript"/>
                <w:lang w:val="de-DE"/>
              </w:rPr>
            </w:pPr>
            <m:oMathPara>
              <m:oMath>
                <m:sSubSup>
                  <m:sSubSupPr>
                    <m:ctrlPr>
                      <w:rPr>
                        <w:rFonts w:hint="default" w:ascii="Cambria Math" w:hAnsi="Cambria Math" w:cs="Times New Roman" w:eastAsiaTheme="minorEastAsia"/>
                        <w:i/>
                        <w:sz w:val="24"/>
                        <w:vertAlign w:val="subscript"/>
                        <w:lang w:val="de-DE"/>
                      </w:rPr>
                    </m:ctrlPr>
                  </m:sSubSupPr>
                  <m:e>
                    <m:r>
                      <m:rPr>
                        <m:nor/>
                      </m:rPr>
                      <w:rPr>
                        <w:rFonts w:hint="default" w:ascii="Cambria Math" w:hAnsi="Cambria Math" w:cs="Times New Roman" w:eastAsiaTheme="minorEastAsia"/>
                        <w:i/>
                        <w:sz w:val="24"/>
                        <w:vertAlign w:val="subscript"/>
                        <w:lang w:val="de-DE"/>
                      </w:rPr>
                      <m:t>R</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k</m:t>
                    </m:r>
                    <m:r>
                      <m:rPr>
                        <m:nor/>
                        <m:sty m:val="p"/>
                      </m:rPr>
                      <w:rPr>
                        <w:rFonts w:hint="default" w:ascii="Cambria Math" w:hAnsi="Cambria Math" w:cs="Times New Roman" w:eastAsiaTheme="minorEastAsia"/>
                        <w:b w:val="0"/>
                        <w:i w:val="0"/>
                        <w:sz w:val="24"/>
                        <w:vertAlign w:val="subscript"/>
                        <w:lang w:val="de-DE"/>
                      </w:rPr>
                      <m:t>,</m:t>
                    </m:r>
                    <m:r>
                      <m:rPr>
                        <m:nor/>
                      </m:rPr>
                      <w:rPr>
                        <w:rFonts w:hint="default" w:ascii="Cambria Math" w:hAnsi="Cambria Math" w:cs="Times New Roman" w:eastAsiaTheme="minorEastAsia"/>
                        <w:i/>
                        <w:sz w:val="24"/>
                        <w:vertAlign w:val="subscript"/>
                        <w:lang w:val="de-DE"/>
                      </w:rPr>
                      <m:t>k</m:t>
                    </m:r>
                    <m:ctrlPr>
                      <w:rPr>
                        <w:rFonts w:hint="default" w:ascii="Cambria Math" w:hAnsi="Cambria Math" w:cs="Times New Roman" w:eastAsiaTheme="minorEastAsia"/>
                        <w:i/>
                        <w:sz w:val="24"/>
                        <w:vertAlign w:val="subscript"/>
                        <w:lang w:val="de-DE"/>
                      </w:rPr>
                    </m:ctrlPr>
                  </m:sub>
                  <m:sup>
                    <m:r>
                      <m:rPr>
                        <m:nor/>
                        <m:sty m:val="p"/>
                      </m:rPr>
                      <w:rPr>
                        <w:rFonts w:hint="default" w:ascii="Cambria Math" w:hAnsi="Cambria Math" w:cs="Times New Roman" w:eastAsiaTheme="minorEastAsia"/>
                        <w:b w:val="0"/>
                        <w:i w:val="0"/>
                        <w:sz w:val="24"/>
                        <w:vertAlign w:val="subscript"/>
                        <w:lang w:val="de-DE"/>
                      </w:rPr>
                      <m:t>'</m:t>
                    </m:r>
                    <m:ctrlPr>
                      <w:rPr>
                        <w:rFonts w:hint="default" w:ascii="Cambria Math" w:hAnsi="Cambria Math" w:cs="Times New Roman" w:eastAsiaTheme="minorEastAsia"/>
                        <w:i/>
                        <w:sz w:val="24"/>
                        <w:vertAlign w:val="subscript"/>
                        <w:lang w:val="de-DE"/>
                      </w:rPr>
                    </m:ctrlPr>
                  </m:sup>
                </m:sSubSup>
              </m:oMath>
            </m:oMathPara>
          </w:p>
        </w:tc>
        <w:tc>
          <w:tcPr>
            <w:tcW w:w="419" w:type="pct"/>
            <w:tcMar>
              <w:left w:w="28" w:type="dxa"/>
              <w:right w:w="0" w:type="dxa"/>
            </w:tcMar>
          </w:tcPr>
          <w:p w14:paraId="4D278B71">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51E36D02">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0F5EE557">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44ED22A8">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78CBDD4D">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617E2C5A">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37CF1A63">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1E937B2F">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0BD026F1">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118EE663">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6329F3E6">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03D31182">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7E42A146">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tc>
        <w:tc>
          <w:tcPr>
            <w:tcW w:w="3979" w:type="pct"/>
            <w:tcMar>
              <w:left w:w="0" w:type="dxa"/>
              <w:right w:w="0" w:type="dxa"/>
            </w:tcMar>
          </w:tcPr>
          <w:p w14:paraId="15B2A39F">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第</w:t>
            </w:r>
            <w:r>
              <w:rPr>
                <w:rFonts w:hint="default" w:ascii="Times New Roman" w:hAnsi="Times New Roman" w:cs="Times New Roman" w:eastAsiaTheme="minorEastAsia"/>
                <w:i/>
                <w:iCs/>
                <w:sz w:val="24"/>
              </w:rPr>
              <w:t>i</w:t>
            </w:r>
            <w:r>
              <w:rPr>
                <w:rFonts w:hint="default" w:ascii="Times New Roman" w:hAnsi="Times New Roman" w:cs="Times New Roman" w:eastAsiaTheme="minorEastAsia"/>
                <w:sz w:val="24"/>
              </w:rPr>
              <w:t>个滑动圆弧的抗滑力矩与滑动力矩的比值；</w:t>
            </w:r>
          </w:p>
          <w:p w14:paraId="4976AC7E">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lang w:eastAsia="zh-CN"/>
              </w:rPr>
            </w:pPr>
            <w:r>
              <w:rPr>
                <w:rFonts w:hint="default" w:ascii="Times New Roman" w:hAnsi="Times New Roman" w:cs="Times New Roman" w:eastAsiaTheme="minorEastAsia"/>
                <w:sz w:val="24"/>
              </w:rPr>
              <w:t>第</w:t>
            </w:r>
            <w:r>
              <w:rPr>
                <w:rFonts w:hint="default" w:ascii="Times New Roman" w:hAnsi="Times New Roman" w:cs="Times New Roman" w:eastAsiaTheme="minorEastAsia"/>
                <w:i/>
                <w:iCs/>
                <w:sz w:val="24"/>
              </w:rPr>
              <w:t>j</w:t>
            </w:r>
            <w:r>
              <w:rPr>
                <w:rFonts w:hint="default" w:ascii="Times New Roman" w:hAnsi="Times New Roman" w:cs="Times New Roman" w:eastAsiaTheme="minorEastAsia"/>
                <w:sz w:val="24"/>
              </w:rPr>
              <w:t>土条滑弧面处土的粘聚力(kPa)</w:t>
            </w:r>
            <w:r>
              <w:rPr>
                <w:rFonts w:hint="default" w:ascii="Times New Roman" w:hAnsi="Times New Roman" w:cs="Times New Roman" w:eastAsiaTheme="minorEastAsia"/>
                <w:sz w:val="24"/>
                <w:lang w:eastAsia="zh-CN"/>
              </w:rPr>
              <w:t>；</w:t>
            </w:r>
          </w:p>
          <w:p w14:paraId="23235D8C">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Times New Roman" w:hAnsi="Times New Roman" w:cs="Times New Roman" w:eastAsiaTheme="minorEastAsia"/>
                <w:sz w:val="24"/>
                <w:lang w:eastAsia="zh-CN"/>
              </w:rPr>
            </w:pPr>
            <w:r>
              <w:rPr>
                <w:rFonts w:hint="default" w:ascii="Times New Roman" w:hAnsi="Times New Roman" w:cs="Times New Roman" w:eastAsiaTheme="minorEastAsia"/>
                <w:sz w:val="24"/>
              </w:rPr>
              <w:t>第</w:t>
            </w:r>
            <w:r>
              <w:rPr>
                <w:rFonts w:hint="default" w:ascii="Times New Roman" w:hAnsi="Times New Roman" w:cs="Times New Roman" w:eastAsiaTheme="minorEastAsia"/>
                <w:i/>
                <w:iCs/>
                <w:sz w:val="24"/>
              </w:rPr>
              <w:t>j</w:t>
            </w:r>
            <w:r>
              <w:rPr>
                <w:rFonts w:hint="default" w:ascii="Times New Roman" w:hAnsi="Times New Roman" w:cs="Times New Roman" w:eastAsiaTheme="minorEastAsia"/>
                <w:sz w:val="24"/>
              </w:rPr>
              <w:t>土条滑弧面处土的内摩擦角(°)</w:t>
            </w:r>
            <w:r>
              <w:rPr>
                <w:rFonts w:hint="eastAsia" w:cs="Times New Roman" w:eastAsiaTheme="minorEastAsia"/>
                <w:sz w:val="24"/>
                <w:lang w:eastAsia="zh-CN"/>
              </w:rPr>
              <w:t>；</w:t>
            </w:r>
          </w:p>
          <w:p w14:paraId="01B257E3">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第</w:t>
            </w:r>
            <w:r>
              <w:rPr>
                <w:rFonts w:hint="default" w:ascii="Times New Roman" w:hAnsi="Times New Roman" w:cs="Times New Roman" w:eastAsiaTheme="minorEastAsia"/>
                <w:i/>
                <w:iCs/>
                <w:sz w:val="24"/>
              </w:rPr>
              <w:t>j</w:t>
            </w:r>
            <w:r>
              <w:rPr>
                <w:rFonts w:hint="default" w:ascii="Times New Roman" w:hAnsi="Times New Roman" w:cs="Times New Roman" w:eastAsiaTheme="minorEastAsia"/>
                <w:sz w:val="24"/>
              </w:rPr>
              <w:t>土条的宽度(m)；</w:t>
            </w:r>
          </w:p>
          <w:p w14:paraId="2B22DAF1">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第</w:t>
            </w:r>
            <w:r>
              <w:rPr>
                <w:rFonts w:hint="default" w:ascii="Times New Roman" w:hAnsi="Times New Roman" w:cs="Times New Roman" w:eastAsiaTheme="minorEastAsia"/>
                <w:i/>
                <w:iCs/>
                <w:sz w:val="24"/>
              </w:rPr>
              <w:t>j</w:t>
            </w:r>
            <w:r>
              <w:rPr>
                <w:rFonts w:hint="default" w:ascii="Times New Roman" w:hAnsi="Times New Roman" w:cs="Times New Roman" w:eastAsiaTheme="minorEastAsia"/>
                <w:sz w:val="24"/>
              </w:rPr>
              <w:t>土条滑弧面中点处的法线与垂直面的夹角(°)；</w:t>
            </w:r>
          </w:p>
          <w:p w14:paraId="2E3F9385">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36"/>
                <w:szCs w:val="36"/>
                <w:vertAlign w:val="subscript"/>
                <w:lang w:val="de-DE"/>
              </w:rPr>
            </w:pPr>
            <w:r>
              <w:rPr>
                <w:rFonts w:hint="default" w:ascii="Times New Roman" w:hAnsi="Times New Roman" w:cs="Times New Roman" w:eastAsiaTheme="minorEastAsia"/>
                <w:sz w:val="24"/>
              </w:rPr>
              <w:t>第</w:t>
            </w:r>
            <w:r>
              <w:rPr>
                <w:rFonts w:hint="default" w:ascii="Times New Roman" w:hAnsi="Times New Roman" w:cs="Times New Roman" w:eastAsiaTheme="minorEastAsia"/>
                <w:i/>
                <w:iCs/>
                <w:sz w:val="24"/>
              </w:rPr>
              <w:t>j</w:t>
            </w:r>
            <w:r>
              <w:rPr>
                <w:rFonts w:hint="default" w:ascii="Times New Roman" w:hAnsi="Times New Roman" w:cs="Times New Roman" w:eastAsiaTheme="minorEastAsia"/>
                <w:sz w:val="24"/>
              </w:rPr>
              <w:t>土条的滑弧段长度(m)，取</w:t>
            </w:r>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l</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j</m:t>
                  </m:r>
                  <m:ctrlPr>
                    <w:rPr>
                      <w:rFonts w:hint="default" w:ascii="Cambria Math" w:hAnsi="Cambria Math" w:cs="Times New Roman" w:eastAsiaTheme="minorEastAsia"/>
                      <w:i/>
                      <w:sz w:val="24"/>
                      <w:vertAlign w:val="subscript"/>
                      <w:lang w:val="de-DE"/>
                    </w:rPr>
                  </m:ctrlPr>
                </m:sub>
              </m:sSub>
              <m:r>
                <m:rPr>
                  <m:nor/>
                  <m:sty m:val="p"/>
                </m:rPr>
                <w:rPr>
                  <w:rFonts w:hint="default" w:ascii="Cambria Math" w:hAnsi="Cambria Math" w:cs="Times New Roman" w:eastAsiaTheme="minorEastAsia"/>
                  <w:b w:val="0"/>
                  <w:i w:val="0"/>
                  <w:sz w:val="24"/>
                  <w:vertAlign w:val="subscript"/>
                  <w:lang w:val="de-DE"/>
                </w:rPr>
                <m:t>=</m:t>
              </m:r>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b</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j</m:t>
                  </m:r>
                  <m:ctrlPr>
                    <w:rPr>
                      <w:rFonts w:hint="default" w:ascii="Cambria Math" w:hAnsi="Cambria Math" w:cs="Times New Roman" w:eastAsiaTheme="minorEastAsia"/>
                      <w:i/>
                      <w:sz w:val="24"/>
                      <w:vertAlign w:val="subscript"/>
                      <w:lang w:val="de-DE"/>
                    </w:rPr>
                  </m:ctrlPr>
                </m:sub>
              </m:sSub>
              <m:r>
                <m:rPr>
                  <m:nor/>
                  <m:sty m:val="p"/>
                </m:rPr>
                <w:rPr>
                  <w:rFonts w:hint="default" w:ascii="Cambria Math" w:hAnsi="Cambria Math" w:cs="Times New Roman" w:eastAsiaTheme="minorEastAsia"/>
                  <w:b w:val="0"/>
                  <w:i w:val="0"/>
                  <w:sz w:val="24"/>
                  <w:vertAlign w:val="subscript"/>
                  <w:lang w:val="de-DE"/>
                </w:rPr>
                <m:t>/cos</m:t>
              </m:r>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θ</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j</m:t>
                  </m:r>
                  <m:ctrlPr>
                    <w:rPr>
                      <w:rFonts w:hint="default" w:ascii="Cambria Math" w:hAnsi="Cambria Math" w:cs="Times New Roman" w:eastAsiaTheme="minorEastAsia"/>
                      <w:i/>
                      <w:sz w:val="24"/>
                      <w:vertAlign w:val="subscript"/>
                      <w:lang w:val="de-DE"/>
                    </w:rPr>
                  </m:ctrlPr>
                </m:sub>
              </m:sSub>
              <m:r>
                <m:rPr>
                  <m:nor/>
                  <m:sty m:val="p"/>
                </m:rPr>
                <w:rPr>
                  <w:rFonts w:hint="default" w:ascii="Cambria Math" w:hAnsi="Cambria Math" w:cs="Times New Roman" w:eastAsiaTheme="minorEastAsia"/>
                  <w:b w:val="0"/>
                  <w:i w:val="0"/>
                  <w:sz w:val="24"/>
                  <w:vertAlign w:val="subscript"/>
                  <w:lang w:val="de-DE"/>
                </w:rPr>
                <m:t>；</m:t>
              </m:r>
            </m:oMath>
          </w:p>
          <w:p w14:paraId="2B9148E5">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作用在第</w:t>
            </w:r>
            <w:r>
              <w:rPr>
                <w:rFonts w:hint="default" w:ascii="Times New Roman" w:hAnsi="Times New Roman" w:cs="Times New Roman" w:eastAsiaTheme="minorEastAsia"/>
                <w:i/>
                <w:iCs/>
                <w:sz w:val="24"/>
              </w:rPr>
              <w:t>j</w:t>
            </w:r>
            <w:r>
              <w:rPr>
                <w:rFonts w:hint="default" w:ascii="Times New Roman" w:hAnsi="Times New Roman" w:cs="Times New Roman" w:eastAsiaTheme="minorEastAsia"/>
                <w:sz w:val="24"/>
              </w:rPr>
              <w:t>土条上的附加分布荷载标准值(kPa)；</w:t>
            </w:r>
          </w:p>
          <w:p w14:paraId="4959204F">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第</w:t>
            </w:r>
            <w:r>
              <w:rPr>
                <w:rFonts w:hint="default" w:ascii="Times New Roman" w:hAnsi="Times New Roman" w:cs="Times New Roman" w:eastAsiaTheme="minorEastAsia"/>
                <w:i/>
                <w:iCs/>
                <w:sz w:val="24"/>
              </w:rPr>
              <w:t>j</w:t>
            </w:r>
            <w:r>
              <w:rPr>
                <w:rFonts w:hint="default" w:ascii="Times New Roman" w:hAnsi="Times New Roman" w:cs="Times New Roman" w:eastAsiaTheme="minorEastAsia"/>
                <w:sz w:val="24"/>
              </w:rPr>
              <w:t>土条的自重(kN)，按天然重度计算；</w:t>
            </w:r>
          </w:p>
          <w:p w14:paraId="0D056A1C">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第</w:t>
            </w:r>
            <w:r>
              <w:rPr>
                <w:rFonts w:hint="default" w:ascii="Times New Roman" w:hAnsi="Times New Roman" w:cs="Times New Roman" w:eastAsiaTheme="minorEastAsia"/>
                <w:i/>
                <w:iCs/>
                <w:sz w:val="24"/>
              </w:rPr>
              <w:t>j</w:t>
            </w:r>
            <w:r>
              <w:rPr>
                <w:rFonts w:hint="default" w:ascii="Times New Roman" w:hAnsi="Times New Roman" w:cs="Times New Roman" w:eastAsiaTheme="minorEastAsia"/>
                <w:sz w:val="24"/>
              </w:rPr>
              <w:t>土条在滑弧面上的孔隙水压力(kPa)；</w:t>
            </w:r>
          </w:p>
          <w:p w14:paraId="14D640CD">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地下水重度（kN/m</w:t>
            </w:r>
            <w:r>
              <w:rPr>
                <w:rFonts w:hint="default" w:ascii="Times New Roman" w:hAnsi="Times New Roman" w:cs="Times New Roman" w:eastAsiaTheme="minorEastAsia"/>
                <w:sz w:val="24"/>
                <w:vertAlign w:val="superscript"/>
              </w:rPr>
              <w:t>3</w:t>
            </w:r>
            <w:r>
              <w:rPr>
                <w:rFonts w:hint="default" w:ascii="Times New Roman" w:hAnsi="Times New Roman" w:cs="Times New Roman" w:eastAsiaTheme="minorEastAsia"/>
                <w:sz w:val="24"/>
              </w:rPr>
              <w:t>）；</w:t>
            </w:r>
          </w:p>
          <w:p w14:paraId="4174A080">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基坑外地下水位至第</w:t>
            </w:r>
            <w:r>
              <w:rPr>
                <w:rFonts w:hint="default" w:ascii="Times New Roman" w:hAnsi="Times New Roman" w:cs="Times New Roman" w:eastAsiaTheme="minorEastAsia"/>
                <w:i/>
                <w:iCs/>
                <w:sz w:val="24"/>
              </w:rPr>
              <w:t>j</w:t>
            </w:r>
            <w:r>
              <w:rPr>
                <w:rFonts w:hint="default" w:ascii="Times New Roman" w:hAnsi="Times New Roman" w:cs="Times New Roman" w:eastAsiaTheme="minorEastAsia"/>
                <w:sz w:val="24"/>
              </w:rPr>
              <w:t>土条滑弧面中点的垂直距离(m)；</w:t>
            </w:r>
          </w:p>
          <w:p w14:paraId="6658F304">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基坑内地下水位至第</w:t>
            </w:r>
            <w:r>
              <w:rPr>
                <w:rFonts w:hint="default" w:ascii="Times New Roman" w:hAnsi="Times New Roman" w:cs="Times New Roman" w:eastAsiaTheme="minorEastAsia"/>
                <w:i/>
                <w:iCs/>
                <w:sz w:val="24"/>
              </w:rPr>
              <w:t>j</w:t>
            </w:r>
            <w:r>
              <w:rPr>
                <w:rFonts w:hint="default" w:ascii="Times New Roman" w:hAnsi="Times New Roman" w:cs="Times New Roman" w:eastAsiaTheme="minorEastAsia"/>
                <w:sz w:val="24"/>
              </w:rPr>
              <w:t>土条滑弧面中点的垂直距离(m)；</w:t>
            </w:r>
          </w:p>
          <w:p w14:paraId="36E3828D">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lang w:eastAsia="zh-CN"/>
              </w:rPr>
            </w:pPr>
            <w:r>
              <w:rPr>
                <w:rFonts w:hint="default" w:ascii="Times New Roman" w:hAnsi="Times New Roman" w:cs="Times New Roman" w:eastAsiaTheme="minorEastAsia"/>
                <w:sz w:val="24"/>
              </w:rPr>
              <w:t>第k层锚杆对圆弧滑动体的极限拉力值(kN);</w:t>
            </w:r>
          </w:p>
        </w:tc>
      </w:tr>
      <w:tr w14:paraId="60F126E0">
        <w:tblPrEx>
          <w:tblCellMar>
            <w:top w:w="0" w:type="dxa"/>
            <w:left w:w="108" w:type="dxa"/>
            <w:bottom w:w="0" w:type="dxa"/>
            <w:right w:w="108" w:type="dxa"/>
          </w:tblCellMar>
        </w:tblPrEx>
        <w:trPr>
          <w:trHeight w:val="1467" w:hRule="exact"/>
        </w:trPr>
        <w:tc>
          <w:tcPr>
            <w:tcW w:w="601" w:type="pct"/>
            <w:tcMar>
              <w:left w:w="0" w:type="dxa"/>
              <w:right w:w="28" w:type="dxa"/>
            </w:tcMar>
          </w:tcPr>
          <w:p w14:paraId="24D13D2C">
            <w:pPr>
              <w:spacing w:line="360" w:lineRule="auto"/>
              <w:rPr>
                <w:rFonts w:hint="default" w:ascii="Times New Roman" w:hAnsi="Times New Roman" w:cs="Times New Roman" w:eastAsiaTheme="minorEastAsia"/>
                <w:sz w:val="36"/>
                <w:szCs w:val="36"/>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α</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k</m:t>
                    </m:r>
                    <m:ctrlPr>
                      <w:rPr>
                        <w:rFonts w:hint="default" w:ascii="Cambria Math" w:hAnsi="Cambria Math" w:cs="Times New Roman" w:eastAsiaTheme="minorEastAsia"/>
                        <w:i/>
                        <w:sz w:val="24"/>
                        <w:vertAlign w:val="subscript"/>
                        <w:lang w:val="de-DE"/>
                      </w:rPr>
                    </m:ctrlPr>
                  </m:sub>
                </m:sSub>
              </m:oMath>
            </m:oMathPara>
          </w:p>
          <w:p w14:paraId="332AD749">
            <w:pPr>
              <w:spacing w:line="360" w:lineRule="auto"/>
              <w:rPr>
                <w:rFonts w:hint="default" w:ascii="Times New Roman" w:hAnsi="Times New Roman" w:cs="Times New Roman" w:eastAsiaTheme="minorEastAsia"/>
                <w:sz w:val="48"/>
                <w:szCs w:val="48"/>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S</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x</m:t>
                    </m:r>
                    <m:r>
                      <m:rPr>
                        <m:nor/>
                        <m:sty m:val="p"/>
                      </m:rPr>
                      <w:rPr>
                        <w:rFonts w:hint="default" w:ascii="Cambria Math" w:hAnsi="Cambria Math" w:cs="Times New Roman" w:eastAsiaTheme="minorEastAsia"/>
                        <w:b w:val="0"/>
                        <w:i w:val="0"/>
                        <w:sz w:val="24"/>
                        <w:vertAlign w:val="subscript"/>
                        <w:lang w:val="de-DE"/>
                      </w:rPr>
                      <m:t>,</m:t>
                    </m:r>
                    <m:r>
                      <m:rPr>
                        <m:nor/>
                      </m:rPr>
                      <w:rPr>
                        <w:rFonts w:hint="default" w:ascii="Cambria Math" w:hAnsi="Cambria Math" w:cs="Times New Roman" w:eastAsiaTheme="minorEastAsia"/>
                        <w:i/>
                        <w:sz w:val="24"/>
                        <w:vertAlign w:val="subscript"/>
                        <w:lang w:val="de-DE"/>
                      </w:rPr>
                      <m:t>k</m:t>
                    </m:r>
                    <m:ctrlPr>
                      <w:rPr>
                        <w:rFonts w:hint="default" w:ascii="Cambria Math" w:hAnsi="Cambria Math" w:cs="Times New Roman" w:eastAsiaTheme="minorEastAsia"/>
                        <w:i/>
                        <w:sz w:val="24"/>
                        <w:vertAlign w:val="subscript"/>
                        <w:lang w:val="de-DE"/>
                      </w:rPr>
                    </m:ctrlPr>
                  </m:sub>
                </m:sSub>
              </m:oMath>
            </m:oMathPara>
          </w:p>
          <w:p w14:paraId="70A7F92D">
            <w:pPr>
              <w:spacing w:line="360" w:lineRule="auto"/>
              <w:rPr>
                <w:rFonts w:hint="default" w:ascii="Cambria Math" w:hAnsi="Cambria Math" w:cs="Times New Roman" w:eastAsiaTheme="minorEastAsia"/>
                <w:i w:val="0"/>
                <w:sz w:val="24"/>
                <w:vertAlign w:val="subscript"/>
                <w:lang w:val="de-DE"/>
                <w:oMath/>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δ</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v</m:t>
                    </m:r>
                    <m:ctrlPr>
                      <w:rPr>
                        <w:rFonts w:hint="default" w:ascii="Cambria Math" w:hAnsi="Cambria Math" w:cs="Times New Roman" w:eastAsiaTheme="minorEastAsia"/>
                        <w:i/>
                        <w:sz w:val="24"/>
                        <w:vertAlign w:val="subscript"/>
                        <w:lang w:val="de-DE"/>
                      </w:rPr>
                    </m:ctrlPr>
                  </m:sub>
                </m:sSub>
              </m:oMath>
            </m:oMathPara>
          </w:p>
        </w:tc>
        <w:tc>
          <w:tcPr>
            <w:tcW w:w="419" w:type="pct"/>
            <w:tcMar>
              <w:left w:w="28" w:type="dxa"/>
              <w:right w:w="0" w:type="dxa"/>
            </w:tcMar>
          </w:tcPr>
          <w:p w14:paraId="79610FAC">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6C673FEB">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1450D2BB">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tc>
        <w:tc>
          <w:tcPr>
            <w:tcW w:w="3979" w:type="pct"/>
            <w:tcMar>
              <w:left w:w="0" w:type="dxa"/>
              <w:right w:w="0" w:type="dxa"/>
            </w:tcMar>
          </w:tcPr>
          <w:p w14:paraId="33A35590">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第k层锚杆的倾角(°)；</w:t>
            </w:r>
          </w:p>
          <w:p w14:paraId="355CD84D">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第k层锚杆的水平间距(m)；</w:t>
            </w:r>
          </w:p>
          <w:p w14:paraId="348FBABB">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计算系数</w:t>
            </w:r>
            <w:r>
              <w:rPr>
                <w:rFonts w:hint="default" w:ascii="Times New Roman" w:hAnsi="Times New Roman" w:cs="Times New Roman" w:eastAsiaTheme="minorEastAsia"/>
                <w:sz w:val="24"/>
                <w:lang w:eastAsia="zh-CN"/>
              </w:rPr>
              <w:t>；</w:t>
            </w:r>
          </w:p>
        </w:tc>
      </w:tr>
      <w:tr w14:paraId="0CB8B43E">
        <w:tblPrEx>
          <w:tblCellMar>
            <w:top w:w="0" w:type="dxa"/>
            <w:left w:w="108" w:type="dxa"/>
            <w:bottom w:w="0" w:type="dxa"/>
            <w:right w:w="108" w:type="dxa"/>
          </w:tblCellMar>
        </w:tblPrEx>
        <w:trPr>
          <w:trHeight w:val="577" w:hRule="exact"/>
        </w:trPr>
        <w:tc>
          <w:tcPr>
            <w:tcW w:w="601" w:type="pct"/>
            <w:tcMar>
              <w:left w:w="0" w:type="dxa"/>
              <w:right w:w="28" w:type="dxa"/>
            </w:tcMar>
          </w:tcPr>
          <w:p w14:paraId="66F183BC">
            <w:pPr>
              <w:spacing w:line="530" w:lineRule="exact"/>
              <w:rPr>
                <w:rFonts w:hint="default" w:ascii="Times New Roman" w:hAnsi="Times New Roman" w:cs="Times New Roman" w:eastAsiaTheme="minorEastAsia"/>
                <w:i/>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R</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tmax</m:t>
                    </m:r>
                    <m:ctrlPr>
                      <w:rPr>
                        <w:rFonts w:hint="default" w:ascii="Cambria Math" w:hAnsi="Cambria Math" w:cs="Times New Roman" w:eastAsiaTheme="minorEastAsia"/>
                        <w:i/>
                        <w:sz w:val="24"/>
                        <w:vertAlign w:val="subscript"/>
                        <w:lang w:val="de-DE"/>
                      </w:rPr>
                    </m:ctrlPr>
                  </m:sub>
                </m:sSub>
              </m:oMath>
            </m:oMathPara>
          </w:p>
        </w:tc>
        <w:tc>
          <w:tcPr>
            <w:tcW w:w="419" w:type="pct"/>
            <w:tcMar>
              <w:left w:w="28" w:type="dxa"/>
              <w:right w:w="0" w:type="dxa"/>
            </w:tcMar>
          </w:tcPr>
          <w:p w14:paraId="06075596">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tc>
        <w:tc>
          <w:tcPr>
            <w:tcW w:w="3979" w:type="pct"/>
            <w:tcMar>
              <w:left w:w="0" w:type="dxa"/>
              <w:right w:w="0" w:type="dxa"/>
            </w:tcMar>
          </w:tcPr>
          <w:p w14:paraId="13FFE1CD">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锚杆所承受的最大拉力（kN）；</w:t>
            </w:r>
          </w:p>
        </w:tc>
      </w:tr>
      <w:tr w14:paraId="231F392E">
        <w:tblPrEx>
          <w:tblCellMar>
            <w:top w:w="0" w:type="dxa"/>
            <w:left w:w="108" w:type="dxa"/>
            <w:bottom w:w="0" w:type="dxa"/>
            <w:right w:w="108" w:type="dxa"/>
          </w:tblCellMar>
        </w:tblPrEx>
        <w:trPr>
          <w:trHeight w:val="571" w:hRule="exact"/>
        </w:trPr>
        <w:tc>
          <w:tcPr>
            <w:tcW w:w="601" w:type="pct"/>
            <w:tcMar>
              <w:left w:w="0" w:type="dxa"/>
              <w:right w:w="28" w:type="dxa"/>
            </w:tcMar>
          </w:tcPr>
          <w:p w14:paraId="71AD0B44">
            <w:pPr>
              <w:spacing w:line="530" w:lineRule="exact"/>
              <w:rPr>
                <w:rFonts w:hint="default" w:ascii="Times New Roman" w:hAnsi="Times New Roman" w:cs="Times New Roman" w:eastAsiaTheme="minorEastAsia"/>
                <w:i/>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N</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t</m:t>
                    </m:r>
                    <m:ctrlPr>
                      <w:rPr>
                        <w:rFonts w:hint="default" w:ascii="Cambria Math" w:hAnsi="Cambria Math" w:cs="Times New Roman" w:eastAsiaTheme="minorEastAsia"/>
                        <w:i/>
                        <w:sz w:val="24"/>
                        <w:vertAlign w:val="subscript"/>
                        <w:lang w:val="de-DE"/>
                      </w:rPr>
                    </m:ctrlPr>
                  </m:sub>
                </m:sSub>
              </m:oMath>
            </m:oMathPara>
          </w:p>
        </w:tc>
        <w:tc>
          <w:tcPr>
            <w:tcW w:w="419" w:type="pct"/>
            <w:tcMar>
              <w:left w:w="28" w:type="dxa"/>
              <w:right w:w="0" w:type="dxa"/>
            </w:tcMar>
          </w:tcPr>
          <w:p w14:paraId="71B29C10">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tc>
        <w:tc>
          <w:tcPr>
            <w:tcW w:w="3979" w:type="pct"/>
            <w:tcMar>
              <w:left w:w="0" w:type="dxa"/>
              <w:right w:w="0" w:type="dxa"/>
            </w:tcMar>
          </w:tcPr>
          <w:p w14:paraId="0D341CDC">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锚杆锚固力设计值（kN）；</w:t>
            </w:r>
          </w:p>
        </w:tc>
      </w:tr>
      <w:tr w14:paraId="5ADABF93">
        <w:tblPrEx>
          <w:tblCellMar>
            <w:top w:w="0" w:type="dxa"/>
            <w:left w:w="108" w:type="dxa"/>
            <w:bottom w:w="0" w:type="dxa"/>
            <w:right w:w="108" w:type="dxa"/>
          </w:tblCellMar>
        </w:tblPrEx>
        <w:trPr>
          <w:trHeight w:val="609" w:hRule="exact"/>
        </w:trPr>
        <w:tc>
          <w:tcPr>
            <w:tcW w:w="601" w:type="pct"/>
            <w:tcMar>
              <w:left w:w="0" w:type="dxa"/>
              <w:right w:w="28" w:type="dxa"/>
            </w:tcMar>
            <w:vAlign w:val="center"/>
          </w:tcPr>
          <w:p w14:paraId="09CC0A54">
            <w:pPr>
              <w:spacing w:line="530" w:lineRule="exact"/>
              <w:rPr>
                <w:rFonts w:hint="default" w:ascii="Times New Roman" w:hAnsi="Times New Roman" w:cs="Times New Roman" w:eastAsiaTheme="minorEastAsia"/>
                <w:i/>
                <w:sz w:val="24"/>
                <w:vertAlign w:val="subscript"/>
                <w:lang w:val="de-DE"/>
              </w:rPr>
            </w:pPr>
            <m:oMathPara>
              <m:oMath>
                <m:r>
                  <m:rPr>
                    <m:nor/>
                  </m:rPr>
                  <w:rPr>
                    <w:rFonts w:hint="default" w:ascii="Cambria Math" w:hAnsi="Cambria Math" w:cs="Times New Roman" w:eastAsiaTheme="minorEastAsia"/>
                    <w:i/>
                    <w:sz w:val="24"/>
                    <w:vertAlign w:val="subscript"/>
                    <w:lang w:val="de-DE"/>
                  </w:rPr>
                  <m:t>G</m:t>
                </m:r>
              </m:oMath>
            </m:oMathPara>
          </w:p>
        </w:tc>
        <w:tc>
          <w:tcPr>
            <w:tcW w:w="419" w:type="pct"/>
            <w:tcMar>
              <w:left w:w="28" w:type="dxa"/>
              <w:right w:w="0" w:type="dxa"/>
            </w:tcMar>
            <w:vAlign w:val="center"/>
          </w:tcPr>
          <w:p w14:paraId="23A69F75">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tc>
        <w:tc>
          <w:tcPr>
            <w:tcW w:w="3979" w:type="pct"/>
            <w:tcMar>
              <w:left w:w="0" w:type="dxa"/>
              <w:right w:w="0" w:type="dxa"/>
            </w:tcMar>
            <w:vAlign w:val="center"/>
          </w:tcPr>
          <w:p w14:paraId="0B040763">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深部破裂面范围内土体重量（kN）；</w:t>
            </w:r>
          </w:p>
        </w:tc>
      </w:tr>
      <w:tr w14:paraId="00C24583">
        <w:tblPrEx>
          <w:tblCellMar>
            <w:top w:w="0" w:type="dxa"/>
            <w:left w:w="108" w:type="dxa"/>
            <w:bottom w:w="0" w:type="dxa"/>
            <w:right w:w="108" w:type="dxa"/>
          </w:tblCellMar>
        </w:tblPrEx>
        <w:trPr>
          <w:trHeight w:val="575" w:hRule="exact"/>
        </w:trPr>
        <w:tc>
          <w:tcPr>
            <w:tcW w:w="601" w:type="pct"/>
            <w:tcMar>
              <w:left w:w="0" w:type="dxa"/>
              <w:right w:w="28" w:type="dxa"/>
            </w:tcMar>
          </w:tcPr>
          <w:p w14:paraId="0D3AB945">
            <w:pPr>
              <w:spacing w:line="530" w:lineRule="exact"/>
              <w:rPr>
                <w:rFonts w:hint="default" w:ascii="Times New Roman" w:hAnsi="Times New Roman" w:cs="Times New Roman" w:eastAsiaTheme="minorEastAsia"/>
                <w:i/>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E</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a</m:t>
                    </m:r>
                    <m:ctrlPr>
                      <w:rPr>
                        <w:rFonts w:hint="default" w:ascii="Cambria Math" w:hAnsi="Cambria Math" w:cs="Times New Roman" w:eastAsiaTheme="minorEastAsia"/>
                        <w:i/>
                        <w:sz w:val="24"/>
                        <w:vertAlign w:val="subscript"/>
                        <w:lang w:val="de-DE"/>
                      </w:rPr>
                    </m:ctrlPr>
                  </m:sub>
                </m:sSub>
              </m:oMath>
            </m:oMathPara>
          </w:p>
        </w:tc>
        <w:tc>
          <w:tcPr>
            <w:tcW w:w="419" w:type="pct"/>
            <w:tcMar>
              <w:left w:w="28" w:type="dxa"/>
              <w:right w:w="0" w:type="dxa"/>
            </w:tcMar>
          </w:tcPr>
          <w:p w14:paraId="353322C7">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lang w:val="de-DE"/>
              </w:rPr>
              <w:t>——</w:t>
            </w:r>
          </w:p>
        </w:tc>
        <w:tc>
          <w:tcPr>
            <w:tcW w:w="3979" w:type="pct"/>
            <w:tcMar>
              <w:left w:w="0" w:type="dxa"/>
              <w:right w:w="0" w:type="dxa"/>
            </w:tcMar>
          </w:tcPr>
          <w:p w14:paraId="49943B7A">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作用在基坑支护上的主动土压力的反力（kN）；</w:t>
            </w:r>
          </w:p>
        </w:tc>
      </w:tr>
      <w:tr w14:paraId="54EEA1EB">
        <w:tblPrEx>
          <w:tblCellMar>
            <w:top w:w="0" w:type="dxa"/>
            <w:left w:w="108" w:type="dxa"/>
            <w:bottom w:w="0" w:type="dxa"/>
            <w:right w:w="108" w:type="dxa"/>
          </w:tblCellMar>
        </w:tblPrEx>
        <w:trPr>
          <w:trHeight w:val="555" w:hRule="exact"/>
        </w:trPr>
        <w:tc>
          <w:tcPr>
            <w:tcW w:w="601" w:type="pct"/>
            <w:tcMar>
              <w:left w:w="0" w:type="dxa"/>
              <w:right w:w="28" w:type="dxa"/>
            </w:tcMar>
            <w:vAlign w:val="center"/>
          </w:tcPr>
          <w:p w14:paraId="08295CB7">
            <w:pPr>
              <w:spacing w:line="530" w:lineRule="exact"/>
              <w:rPr>
                <w:rFonts w:hint="default" w:ascii="Times New Roman" w:hAnsi="Times New Roman" w:cs="Times New Roman" w:eastAsiaTheme="minorEastAsia"/>
                <w:i/>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E</m:t>
                    </m:r>
                    <m:ctrlPr>
                      <w:rPr>
                        <w:rFonts w:hint="default" w:ascii="Cambria Math" w:hAnsi="Cambria Math" w:cs="Times New Roman" w:eastAsiaTheme="minorEastAsia"/>
                        <w:i/>
                        <w:sz w:val="24"/>
                        <w:vertAlign w:val="subscript"/>
                        <w:lang w:val="de-DE"/>
                      </w:rPr>
                    </m:ctrlPr>
                  </m:e>
                  <m:sub>
                    <m:r>
                      <m:rPr>
                        <m:nor/>
                        <m:sty m:val="p"/>
                      </m:rPr>
                      <w:rPr>
                        <w:rFonts w:hint="default" w:ascii="Cambria Math" w:hAnsi="Cambria Math" w:cs="Times New Roman" w:eastAsiaTheme="minorEastAsia"/>
                        <w:b w:val="0"/>
                        <w:i w:val="0"/>
                        <w:sz w:val="24"/>
                        <w:vertAlign w:val="subscript"/>
                        <w:lang w:val="de-DE"/>
                      </w:rPr>
                      <m:t>1</m:t>
                    </m:r>
                    <m:ctrlPr>
                      <w:rPr>
                        <w:rFonts w:hint="default" w:ascii="Cambria Math" w:hAnsi="Cambria Math" w:cs="Times New Roman" w:eastAsiaTheme="minorEastAsia"/>
                        <w:i/>
                        <w:sz w:val="24"/>
                        <w:vertAlign w:val="subscript"/>
                        <w:lang w:val="de-DE"/>
                      </w:rPr>
                    </m:ctrlPr>
                  </m:sub>
                </m:sSub>
              </m:oMath>
            </m:oMathPara>
          </w:p>
        </w:tc>
        <w:tc>
          <w:tcPr>
            <w:tcW w:w="419" w:type="pct"/>
            <w:tcMar>
              <w:left w:w="28" w:type="dxa"/>
              <w:right w:w="0" w:type="dxa"/>
            </w:tcMar>
            <w:vAlign w:val="center"/>
          </w:tcPr>
          <w:p w14:paraId="54933787">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lang w:val="de-DE"/>
              </w:rPr>
              <w:t>——</w:t>
            </w:r>
          </w:p>
        </w:tc>
        <w:tc>
          <w:tcPr>
            <w:tcW w:w="3979" w:type="pct"/>
            <w:tcMar>
              <w:left w:w="0" w:type="dxa"/>
              <w:right w:w="0" w:type="dxa"/>
            </w:tcMar>
            <w:vAlign w:val="center"/>
          </w:tcPr>
          <w:p w14:paraId="3237D169">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作用在</w:t>
            </w:r>
            <w:r>
              <w:rPr>
                <w:rFonts w:hint="default" w:ascii="Times New Roman" w:hAnsi="Times New Roman" w:cs="Times New Roman" w:eastAsiaTheme="minorEastAsia"/>
                <w:i/>
                <w:iCs/>
                <w:sz w:val="24"/>
              </w:rPr>
              <w:t>cd</w:t>
            </w:r>
            <w:r>
              <w:rPr>
                <w:rFonts w:hint="default" w:ascii="Times New Roman" w:hAnsi="Times New Roman" w:cs="Times New Roman" w:eastAsiaTheme="minorEastAsia"/>
                <w:sz w:val="24"/>
              </w:rPr>
              <w:t>面上的主动土压力（kN）；</w:t>
            </w:r>
          </w:p>
        </w:tc>
      </w:tr>
      <w:tr w14:paraId="06802E9B">
        <w:tblPrEx>
          <w:tblCellMar>
            <w:top w:w="0" w:type="dxa"/>
            <w:left w:w="108" w:type="dxa"/>
            <w:bottom w:w="0" w:type="dxa"/>
            <w:right w:w="108" w:type="dxa"/>
          </w:tblCellMar>
        </w:tblPrEx>
        <w:trPr>
          <w:trHeight w:val="555" w:hRule="exact"/>
        </w:trPr>
        <w:tc>
          <w:tcPr>
            <w:tcW w:w="601" w:type="pct"/>
            <w:tcMar>
              <w:left w:w="0" w:type="dxa"/>
              <w:right w:w="28" w:type="dxa"/>
            </w:tcMar>
            <w:vAlign w:val="center"/>
          </w:tcPr>
          <w:p w14:paraId="7A160884">
            <w:pPr>
              <w:spacing w:line="530" w:lineRule="exact"/>
              <w:rPr>
                <w:rFonts w:hint="default" w:ascii="Times New Roman" w:hAnsi="Times New Roman" w:cs="Times New Roman"/>
                <w:sz w:val="24"/>
                <w:vertAlign w:val="subscript"/>
                <w:lang w:val="de-DE"/>
              </w:rPr>
            </w:pPr>
            <m:oMathPara>
              <m:oMath>
                <m:r>
                  <m:rPr>
                    <m:nor/>
                  </m:rPr>
                  <w:rPr>
                    <w:rFonts w:hint="default" w:ascii="Cambria Math" w:hAnsi="Cambria Math" w:cs="Times New Roman" w:eastAsiaTheme="minorEastAsia"/>
                    <w:i/>
                    <w:sz w:val="24"/>
                    <w:vertAlign w:val="subscript"/>
                    <w:lang w:val="de-DE"/>
                  </w:rPr>
                  <m:t>F</m:t>
                </m:r>
              </m:oMath>
            </m:oMathPara>
          </w:p>
        </w:tc>
        <w:tc>
          <w:tcPr>
            <w:tcW w:w="419" w:type="pct"/>
            <w:tcMar>
              <w:left w:w="28" w:type="dxa"/>
              <w:right w:w="0" w:type="dxa"/>
            </w:tcMar>
            <w:vAlign w:val="center"/>
          </w:tcPr>
          <w:p w14:paraId="05D0EF89">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tc>
        <w:tc>
          <w:tcPr>
            <w:tcW w:w="3979" w:type="pct"/>
            <w:tcMar>
              <w:left w:w="0" w:type="dxa"/>
              <w:right w:w="0" w:type="dxa"/>
            </w:tcMar>
            <w:vAlign w:val="center"/>
          </w:tcPr>
          <w:p w14:paraId="6A7D5282">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i/>
                <w:iCs/>
                <w:sz w:val="24"/>
                <w:lang w:val="de-DE"/>
              </w:rPr>
              <w:t>bc</w:t>
            </w:r>
            <w:r>
              <w:rPr>
                <w:rFonts w:hint="default" w:ascii="Times New Roman" w:hAnsi="Times New Roman" w:cs="Times New Roman" w:eastAsiaTheme="minorEastAsia"/>
                <w:sz w:val="24"/>
              </w:rPr>
              <w:t>面上的反力的合力</w:t>
            </w:r>
            <w:r>
              <w:rPr>
                <w:rFonts w:hint="default" w:ascii="Times New Roman" w:hAnsi="Times New Roman" w:cs="Times New Roman" w:eastAsiaTheme="minorEastAsia"/>
                <w:sz w:val="24"/>
                <w:lang w:val="de-DE"/>
              </w:rPr>
              <w:t>（kN）；</w:t>
            </w:r>
          </w:p>
          <w:p w14:paraId="1D39B5C6">
            <w:pPr>
              <w:spacing w:line="360" w:lineRule="auto"/>
              <w:rPr>
                <w:rFonts w:hint="default" w:ascii="Times New Roman" w:hAnsi="Times New Roman" w:cs="Times New Roman" w:eastAsiaTheme="minorEastAsia"/>
                <w:sz w:val="24"/>
                <w:lang w:val="de-DE"/>
              </w:rPr>
            </w:pPr>
          </w:p>
        </w:tc>
      </w:tr>
      <w:tr w14:paraId="52641BDF">
        <w:tblPrEx>
          <w:tblCellMar>
            <w:top w:w="0" w:type="dxa"/>
            <w:left w:w="108" w:type="dxa"/>
            <w:bottom w:w="0" w:type="dxa"/>
            <w:right w:w="108" w:type="dxa"/>
          </w:tblCellMar>
        </w:tblPrEx>
        <w:trPr>
          <w:trHeight w:val="541" w:hRule="exact"/>
        </w:trPr>
        <w:tc>
          <w:tcPr>
            <w:tcW w:w="601" w:type="pct"/>
            <w:tcMar>
              <w:left w:w="0" w:type="dxa"/>
              <w:right w:w="28" w:type="dxa"/>
            </w:tcMar>
            <w:vAlign w:val="center"/>
          </w:tcPr>
          <w:p w14:paraId="68726082">
            <w:pPr>
              <w:spacing w:line="530" w:lineRule="exact"/>
              <w:rPr>
                <w:rFonts w:hint="default" w:ascii="Times New Roman" w:hAnsi="Times New Roman" w:cs="Times New Roman"/>
                <w:sz w:val="24"/>
                <w:vertAlign w:val="subscript"/>
                <w:lang w:val="de-DE"/>
              </w:rPr>
            </w:pPr>
            <m:oMathPara>
              <m:oMath>
                <m:r>
                  <m:rPr>
                    <m:nor/>
                  </m:rPr>
                  <w:rPr>
                    <w:rFonts w:hint="default" w:ascii="Cambria Math" w:hAnsi="Cambria Math" w:cs="Times New Roman" w:eastAsiaTheme="minorEastAsia"/>
                    <w:i/>
                    <w:sz w:val="24"/>
                    <w:vertAlign w:val="subscript"/>
                    <w:lang w:val="de-DE"/>
                  </w:rPr>
                  <m:t>φ</m:t>
                </m:r>
              </m:oMath>
            </m:oMathPara>
          </w:p>
        </w:tc>
        <w:tc>
          <w:tcPr>
            <w:tcW w:w="419" w:type="pct"/>
            <w:tcMar>
              <w:left w:w="28" w:type="dxa"/>
              <w:right w:w="0" w:type="dxa"/>
            </w:tcMar>
            <w:vAlign w:val="center"/>
          </w:tcPr>
          <w:p w14:paraId="65D79135">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tc>
        <w:tc>
          <w:tcPr>
            <w:tcW w:w="3979" w:type="pct"/>
            <w:tcMar>
              <w:left w:w="0" w:type="dxa"/>
              <w:right w:w="0" w:type="dxa"/>
            </w:tcMar>
            <w:vAlign w:val="center"/>
          </w:tcPr>
          <w:p w14:paraId="2915F6BB">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土的内摩擦角（°）；</w:t>
            </w:r>
          </w:p>
        </w:tc>
      </w:tr>
      <w:tr w14:paraId="709ED081">
        <w:tblPrEx>
          <w:tblCellMar>
            <w:top w:w="0" w:type="dxa"/>
            <w:left w:w="108" w:type="dxa"/>
            <w:bottom w:w="0" w:type="dxa"/>
            <w:right w:w="108" w:type="dxa"/>
          </w:tblCellMar>
        </w:tblPrEx>
        <w:trPr>
          <w:trHeight w:val="555" w:hRule="exact"/>
        </w:trPr>
        <w:tc>
          <w:tcPr>
            <w:tcW w:w="601" w:type="pct"/>
            <w:tcMar>
              <w:left w:w="0" w:type="dxa"/>
              <w:right w:w="28" w:type="dxa"/>
            </w:tcMar>
            <w:vAlign w:val="center"/>
          </w:tcPr>
          <w:p w14:paraId="4AC141DC">
            <w:pPr>
              <w:spacing w:line="530" w:lineRule="exact"/>
              <w:rPr>
                <w:rFonts w:hint="default" w:ascii="Times New Roman" w:hAnsi="Times New Roman" w:cs="Times New Roman"/>
                <w:sz w:val="24"/>
                <w:vertAlign w:val="subscript"/>
                <w:lang w:val="de-DE"/>
              </w:rPr>
            </w:pPr>
            <m:oMathPara>
              <m:oMath>
                <m:r>
                  <m:rPr>
                    <m:nor/>
                  </m:rPr>
                  <w:rPr>
                    <w:rFonts w:hint="default" w:ascii="Cambria Math" w:hAnsi="Cambria Math" w:cs="Times New Roman" w:eastAsiaTheme="minorEastAsia"/>
                    <w:i/>
                    <w:sz w:val="24"/>
                    <w:vertAlign w:val="subscript"/>
                    <w:lang w:val="de-DE"/>
                  </w:rPr>
                  <m:t>δ</m:t>
                </m:r>
              </m:oMath>
            </m:oMathPara>
          </w:p>
        </w:tc>
        <w:tc>
          <w:tcPr>
            <w:tcW w:w="419" w:type="pct"/>
            <w:tcMar>
              <w:left w:w="28" w:type="dxa"/>
              <w:right w:w="0" w:type="dxa"/>
            </w:tcMar>
            <w:vAlign w:val="center"/>
          </w:tcPr>
          <w:p w14:paraId="746006ED">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tc>
        <w:tc>
          <w:tcPr>
            <w:tcW w:w="3979" w:type="pct"/>
            <w:tcMar>
              <w:left w:w="0" w:type="dxa"/>
              <w:right w:w="0" w:type="dxa"/>
            </w:tcMar>
            <w:vAlign w:val="center"/>
          </w:tcPr>
          <w:p w14:paraId="63BC3BDC">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基坑支护与土体间的摩擦角（°）；</w:t>
            </w:r>
          </w:p>
          <w:p w14:paraId="1885330A">
            <w:pPr>
              <w:spacing w:line="360" w:lineRule="auto"/>
              <w:rPr>
                <w:rFonts w:hint="default" w:ascii="Times New Roman" w:hAnsi="Times New Roman" w:cs="Times New Roman" w:eastAsiaTheme="minorEastAsia"/>
                <w:sz w:val="24"/>
              </w:rPr>
            </w:pPr>
          </w:p>
        </w:tc>
      </w:tr>
      <w:tr w14:paraId="472F66F2">
        <w:tblPrEx>
          <w:tblCellMar>
            <w:top w:w="0" w:type="dxa"/>
            <w:left w:w="108" w:type="dxa"/>
            <w:bottom w:w="0" w:type="dxa"/>
            <w:right w:w="108" w:type="dxa"/>
          </w:tblCellMar>
        </w:tblPrEx>
        <w:trPr>
          <w:trHeight w:val="585" w:hRule="exact"/>
        </w:trPr>
        <w:tc>
          <w:tcPr>
            <w:tcW w:w="601" w:type="pct"/>
            <w:tcMar>
              <w:left w:w="0" w:type="dxa"/>
              <w:right w:w="28" w:type="dxa"/>
            </w:tcMar>
            <w:vAlign w:val="center"/>
          </w:tcPr>
          <w:p w14:paraId="75B181CE">
            <w:pPr>
              <w:spacing w:line="500" w:lineRule="exact"/>
              <w:rPr>
                <w:rFonts w:hint="default" w:ascii="Times New Roman" w:hAnsi="Times New Roman" w:cs="Times New Roman" w:eastAsiaTheme="minorEastAsia"/>
                <w:i/>
                <w:sz w:val="24"/>
              </w:rPr>
            </w:pPr>
            <m:oMathPara>
              <m:oMath>
                <m:r>
                  <m:rPr>
                    <m:nor/>
                  </m:rPr>
                  <w:rPr>
                    <w:rFonts w:hint="default" w:ascii="Cambria Math" w:hAnsi="Cambria Math" w:cs="Times New Roman" w:eastAsiaTheme="minorEastAsia"/>
                    <w:i/>
                    <w:sz w:val="24"/>
                    <w:vertAlign w:val="subscript"/>
                    <w:lang w:val="de-DE"/>
                  </w:rPr>
                  <m:t>θ</m:t>
                </m:r>
              </m:oMath>
            </m:oMathPara>
          </w:p>
        </w:tc>
        <w:tc>
          <w:tcPr>
            <w:tcW w:w="419" w:type="pct"/>
            <w:tcMar>
              <w:left w:w="28" w:type="dxa"/>
              <w:right w:w="0" w:type="dxa"/>
            </w:tcMar>
            <w:vAlign w:val="center"/>
          </w:tcPr>
          <w:p w14:paraId="61B0A104">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lang w:val="de-DE"/>
              </w:rPr>
              <w:t>——</w:t>
            </w:r>
          </w:p>
        </w:tc>
        <w:tc>
          <w:tcPr>
            <w:tcW w:w="3979" w:type="pct"/>
            <w:tcMar>
              <w:left w:w="0" w:type="dxa"/>
              <w:right w:w="0" w:type="dxa"/>
            </w:tcMar>
            <w:vAlign w:val="center"/>
          </w:tcPr>
          <w:p w14:paraId="30E9BDE4">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深部破裂面与水平的交角（°）；</w:t>
            </w:r>
          </w:p>
        </w:tc>
      </w:tr>
      <w:tr w14:paraId="60019C99">
        <w:tblPrEx>
          <w:tblCellMar>
            <w:top w:w="0" w:type="dxa"/>
            <w:left w:w="108" w:type="dxa"/>
            <w:bottom w:w="0" w:type="dxa"/>
            <w:right w:w="108" w:type="dxa"/>
          </w:tblCellMar>
        </w:tblPrEx>
        <w:trPr>
          <w:trHeight w:val="585" w:hRule="exact"/>
        </w:trPr>
        <w:tc>
          <w:tcPr>
            <w:tcW w:w="601" w:type="pct"/>
            <w:tcMar>
              <w:left w:w="0" w:type="dxa"/>
              <w:right w:w="28" w:type="dxa"/>
            </w:tcMar>
            <w:vAlign w:val="center"/>
          </w:tcPr>
          <w:p w14:paraId="60ABC316">
            <w:pPr>
              <w:spacing w:line="500" w:lineRule="exact"/>
              <w:rPr>
                <w:rFonts w:hint="default" w:ascii="Times New Roman" w:hAnsi="Times New Roman" w:cs="Times New Roman"/>
                <w:sz w:val="24"/>
                <w:vertAlign w:val="subscript"/>
                <w:lang w:val="de-DE"/>
              </w:rPr>
            </w:pPr>
            <m:oMathPara>
              <m:oMath>
                <m:r>
                  <m:rPr>
                    <m:nor/>
                  </m:rPr>
                  <w:rPr>
                    <w:rFonts w:hint="default" w:ascii="Cambria Math" w:hAnsi="Cambria Math" w:cs="Times New Roman" w:eastAsiaTheme="minorEastAsia"/>
                    <w:i/>
                    <w:sz w:val="24"/>
                    <w:vertAlign w:val="subscript"/>
                    <w:lang w:val="de-DE"/>
                  </w:rPr>
                  <m:t>α</m:t>
                </m:r>
              </m:oMath>
            </m:oMathPara>
          </w:p>
        </w:tc>
        <w:tc>
          <w:tcPr>
            <w:tcW w:w="419" w:type="pct"/>
            <w:tcMar>
              <w:left w:w="28" w:type="dxa"/>
              <w:right w:w="0" w:type="dxa"/>
            </w:tcMar>
            <w:vAlign w:val="center"/>
          </w:tcPr>
          <w:p w14:paraId="5B05D897">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tc>
        <w:tc>
          <w:tcPr>
            <w:tcW w:w="3979" w:type="pct"/>
            <w:tcMar>
              <w:left w:w="0" w:type="dxa"/>
              <w:right w:w="0" w:type="dxa"/>
            </w:tcMar>
            <w:vAlign w:val="center"/>
          </w:tcPr>
          <w:p w14:paraId="701AA8D2">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rPr>
              <w:t>锚杆倾角（°）</w:t>
            </w:r>
            <w:r>
              <w:rPr>
                <w:rFonts w:hint="default" w:ascii="Times New Roman" w:hAnsi="Times New Roman" w:cs="Times New Roman" w:eastAsiaTheme="minorEastAsia"/>
                <w:sz w:val="24"/>
                <w:lang w:val="de-DE"/>
              </w:rPr>
              <w:t>；</w:t>
            </w:r>
          </w:p>
        </w:tc>
      </w:tr>
      <w:tr w14:paraId="188E40AF">
        <w:tblPrEx>
          <w:tblCellMar>
            <w:top w:w="0" w:type="dxa"/>
            <w:left w:w="108" w:type="dxa"/>
            <w:bottom w:w="0" w:type="dxa"/>
            <w:right w:w="108" w:type="dxa"/>
          </w:tblCellMar>
        </w:tblPrEx>
        <w:trPr>
          <w:trHeight w:val="577" w:hRule="exact"/>
        </w:trPr>
        <w:tc>
          <w:tcPr>
            <w:tcW w:w="601" w:type="pct"/>
            <w:tcMar>
              <w:left w:w="0" w:type="dxa"/>
              <w:right w:w="28" w:type="dxa"/>
            </w:tcMar>
          </w:tcPr>
          <w:p w14:paraId="3823174C">
            <w:pPr>
              <w:spacing w:line="530" w:lineRule="exact"/>
              <w:rPr>
                <w:rFonts w:hint="default" w:ascii="Times New Roman" w:hAnsi="Times New Roman" w:cs="Times New Roman" w:eastAsiaTheme="minorEastAsia"/>
                <w:i/>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R</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t</m:t>
                    </m:r>
                    <m:r>
                      <m:rPr>
                        <m:nor/>
                        <m:sty m:val="p"/>
                      </m:rPr>
                      <w:rPr>
                        <w:rFonts w:hint="default" w:ascii="Cambria Math" w:hAnsi="Cambria Math" w:cs="Times New Roman" w:eastAsiaTheme="minorEastAsia"/>
                        <w:b w:val="0"/>
                        <w:i w:val="0"/>
                        <w:sz w:val="24"/>
                        <w:vertAlign w:val="subscript"/>
                        <w:lang w:val="de-DE"/>
                      </w:rPr>
                      <m:t>(</m:t>
                    </m:r>
                    <m:r>
                      <m:rPr>
                        <m:nor/>
                      </m:rPr>
                      <w:rPr>
                        <w:rFonts w:hint="default" w:ascii="Cambria Math" w:hAnsi="Cambria Math" w:cs="Times New Roman" w:eastAsiaTheme="minorEastAsia"/>
                        <w:i/>
                        <w:sz w:val="24"/>
                        <w:vertAlign w:val="subscript"/>
                        <w:lang w:val="de-DE"/>
                      </w:rPr>
                      <m:t>bc</m:t>
                    </m:r>
                    <m:r>
                      <m:rPr>
                        <m:nor/>
                        <m:sty m:val="p"/>
                      </m:rPr>
                      <w:rPr>
                        <w:rFonts w:hint="default" w:ascii="Cambria Math" w:hAnsi="Cambria Math" w:cs="Times New Roman" w:eastAsiaTheme="minorEastAsia"/>
                        <w:b w:val="0"/>
                        <w:i w:val="0"/>
                        <w:sz w:val="24"/>
                        <w:vertAlign w:val="subscript"/>
                        <w:lang w:val="de-DE"/>
                      </w:rPr>
                      <m:t>)</m:t>
                    </m:r>
                    <m:r>
                      <m:rPr>
                        <m:nor/>
                      </m:rPr>
                      <w:rPr>
                        <w:rFonts w:hint="default" w:ascii="Cambria Math" w:hAnsi="Cambria Math" w:cs="Times New Roman" w:eastAsiaTheme="minorEastAsia"/>
                        <w:i/>
                        <w:sz w:val="24"/>
                        <w:vertAlign w:val="subscript"/>
                        <w:lang w:val="de-DE"/>
                      </w:rPr>
                      <m:t>max</m:t>
                    </m:r>
                    <m:ctrlPr>
                      <w:rPr>
                        <w:rFonts w:hint="default" w:ascii="Cambria Math" w:hAnsi="Cambria Math" w:cs="Times New Roman" w:eastAsiaTheme="minorEastAsia"/>
                        <w:i/>
                        <w:sz w:val="24"/>
                        <w:vertAlign w:val="subscript"/>
                        <w:lang w:val="de-DE"/>
                      </w:rPr>
                    </m:ctrlPr>
                  </m:sub>
                </m:sSub>
              </m:oMath>
            </m:oMathPara>
          </w:p>
        </w:tc>
        <w:tc>
          <w:tcPr>
            <w:tcW w:w="419" w:type="pct"/>
            <w:tcMar>
              <w:left w:w="28" w:type="dxa"/>
              <w:right w:w="0" w:type="dxa"/>
            </w:tcMar>
          </w:tcPr>
          <w:p w14:paraId="288F1C7D">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tc>
        <w:tc>
          <w:tcPr>
            <w:tcW w:w="3979" w:type="pct"/>
            <w:tcMar>
              <w:left w:w="0" w:type="dxa"/>
              <w:right w:w="0" w:type="dxa"/>
            </w:tcMar>
          </w:tcPr>
          <w:p w14:paraId="5047A832">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锚杆所承受的最大拉力在</w:t>
            </w:r>
            <w:r>
              <w:rPr>
                <w:rFonts w:hint="default" w:ascii="Times New Roman" w:hAnsi="Times New Roman" w:cs="Times New Roman" w:eastAsiaTheme="minorEastAsia"/>
                <w:i/>
                <w:iCs/>
                <w:sz w:val="24"/>
              </w:rPr>
              <w:t>bc</w:t>
            </w:r>
            <w:r>
              <w:rPr>
                <w:rFonts w:hint="default" w:ascii="Times New Roman" w:hAnsi="Times New Roman" w:cs="Times New Roman" w:eastAsiaTheme="minorEastAsia"/>
                <w:sz w:val="24"/>
              </w:rPr>
              <w:t>面上的分力（kN）；</w:t>
            </w:r>
          </w:p>
        </w:tc>
      </w:tr>
      <w:tr w14:paraId="11BFFDA8">
        <w:tblPrEx>
          <w:tblCellMar>
            <w:top w:w="0" w:type="dxa"/>
            <w:left w:w="108" w:type="dxa"/>
            <w:bottom w:w="0" w:type="dxa"/>
            <w:right w:w="108" w:type="dxa"/>
          </w:tblCellMar>
        </w:tblPrEx>
        <w:trPr>
          <w:trHeight w:val="571" w:hRule="exact"/>
        </w:trPr>
        <w:tc>
          <w:tcPr>
            <w:tcW w:w="601" w:type="pct"/>
            <w:tcMar>
              <w:left w:w="0" w:type="dxa"/>
              <w:right w:w="28" w:type="dxa"/>
            </w:tcMar>
          </w:tcPr>
          <w:p w14:paraId="429D880E">
            <w:pPr>
              <w:spacing w:line="530" w:lineRule="exact"/>
              <w:rPr>
                <w:rFonts w:hint="default" w:ascii="Times New Roman" w:hAnsi="Times New Roman" w:cs="Times New Roman" w:eastAsiaTheme="minorEastAsia"/>
                <w:i/>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R</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t</m:t>
                    </m:r>
                    <m:r>
                      <m:rPr>
                        <m:nor/>
                        <m:sty m:val="p"/>
                      </m:rPr>
                      <w:rPr>
                        <w:rFonts w:hint="default" w:ascii="Cambria Math" w:hAnsi="Cambria Math" w:cs="Times New Roman" w:eastAsiaTheme="minorEastAsia"/>
                        <w:b w:val="0"/>
                        <w:i w:val="0"/>
                        <w:sz w:val="24"/>
                        <w:vertAlign w:val="subscript"/>
                        <w:lang w:val="de-DE"/>
                      </w:rPr>
                      <m:t>(</m:t>
                    </m:r>
                    <m:r>
                      <m:rPr>
                        <m:nor/>
                      </m:rPr>
                      <w:rPr>
                        <w:rFonts w:hint="default" w:ascii="Cambria Math" w:hAnsi="Cambria Math" w:cs="Times New Roman" w:eastAsiaTheme="minorEastAsia"/>
                        <w:i/>
                        <w:sz w:val="24"/>
                        <w:vertAlign w:val="subscript"/>
                        <w:lang w:val="de-DE"/>
                      </w:rPr>
                      <m:t>be</m:t>
                    </m:r>
                    <m:r>
                      <m:rPr>
                        <m:nor/>
                        <m:sty m:val="p"/>
                      </m:rPr>
                      <w:rPr>
                        <w:rFonts w:hint="default" w:ascii="Cambria Math" w:hAnsi="Cambria Math" w:cs="Times New Roman" w:eastAsiaTheme="minorEastAsia"/>
                        <w:b w:val="0"/>
                        <w:i w:val="0"/>
                        <w:sz w:val="24"/>
                        <w:vertAlign w:val="subscript"/>
                        <w:lang w:val="de-DE"/>
                      </w:rPr>
                      <m:t>)</m:t>
                    </m:r>
                    <m:r>
                      <m:rPr>
                        <m:nor/>
                      </m:rPr>
                      <w:rPr>
                        <w:rFonts w:hint="default" w:ascii="Cambria Math" w:hAnsi="Cambria Math" w:cs="Times New Roman" w:eastAsiaTheme="minorEastAsia"/>
                        <w:i/>
                        <w:sz w:val="24"/>
                        <w:vertAlign w:val="subscript"/>
                        <w:lang w:val="de-DE"/>
                      </w:rPr>
                      <m:t>max</m:t>
                    </m:r>
                    <m:ctrlPr>
                      <w:rPr>
                        <w:rFonts w:hint="default" w:ascii="Cambria Math" w:hAnsi="Cambria Math" w:cs="Times New Roman" w:eastAsiaTheme="minorEastAsia"/>
                        <w:i/>
                        <w:sz w:val="24"/>
                        <w:vertAlign w:val="subscript"/>
                        <w:lang w:val="de-DE"/>
                      </w:rPr>
                    </m:ctrlPr>
                  </m:sub>
                </m:sSub>
              </m:oMath>
            </m:oMathPara>
          </w:p>
        </w:tc>
        <w:tc>
          <w:tcPr>
            <w:tcW w:w="419" w:type="pct"/>
            <w:tcMar>
              <w:left w:w="28" w:type="dxa"/>
              <w:right w:w="0" w:type="dxa"/>
            </w:tcMar>
          </w:tcPr>
          <w:p w14:paraId="3797F72D">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tc>
        <w:tc>
          <w:tcPr>
            <w:tcW w:w="3979" w:type="pct"/>
            <w:tcMar>
              <w:left w:w="0" w:type="dxa"/>
              <w:right w:w="0" w:type="dxa"/>
            </w:tcMar>
          </w:tcPr>
          <w:p w14:paraId="338DBB2D">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锚杆所承受的最大拉力在</w:t>
            </w:r>
            <w:r>
              <w:rPr>
                <w:rFonts w:hint="default" w:ascii="Times New Roman" w:hAnsi="Times New Roman" w:cs="Times New Roman" w:eastAsiaTheme="minorEastAsia"/>
                <w:i/>
                <w:iCs/>
                <w:sz w:val="24"/>
              </w:rPr>
              <w:t>be</w:t>
            </w:r>
            <w:r>
              <w:rPr>
                <w:rFonts w:hint="default" w:ascii="Times New Roman" w:hAnsi="Times New Roman" w:cs="Times New Roman" w:eastAsiaTheme="minorEastAsia"/>
                <w:sz w:val="24"/>
              </w:rPr>
              <w:t>面上的分力（kN）；</w:t>
            </w:r>
          </w:p>
        </w:tc>
      </w:tr>
      <w:tr w14:paraId="61B96551">
        <w:tblPrEx>
          <w:tblCellMar>
            <w:top w:w="0" w:type="dxa"/>
            <w:left w:w="108" w:type="dxa"/>
            <w:bottom w:w="0" w:type="dxa"/>
            <w:right w:w="108" w:type="dxa"/>
          </w:tblCellMar>
        </w:tblPrEx>
        <w:trPr>
          <w:trHeight w:val="609" w:hRule="exact"/>
        </w:trPr>
        <w:tc>
          <w:tcPr>
            <w:tcW w:w="601" w:type="pct"/>
            <w:tcMar>
              <w:left w:w="0" w:type="dxa"/>
              <w:right w:w="28" w:type="dxa"/>
            </w:tcMar>
          </w:tcPr>
          <w:p w14:paraId="491232DF">
            <w:pPr>
              <w:spacing w:line="530" w:lineRule="exact"/>
              <w:rPr>
                <w:rFonts w:hint="default" w:ascii="Times New Roman" w:hAnsi="Times New Roman" w:cs="Times New Roman" w:eastAsiaTheme="minorEastAsia"/>
                <w:i/>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R</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t</m:t>
                    </m:r>
                    <m:r>
                      <m:rPr>
                        <m:nor/>
                        <m:sty m:val="p"/>
                      </m:rPr>
                      <w:rPr>
                        <w:rFonts w:hint="default" w:ascii="Cambria Math" w:hAnsi="Cambria Math" w:cs="Times New Roman" w:eastAsiaTheme="minorEastAsia"/>
                        <w:b w:val="0"/>
                        <w:i w:val="0"/>
                        <w:sz w:val="24"/>
                        <w:vertAlign w:val="subscript"/>
                        <w:lang w:val="de-DE"/>
                      </w:rPr>
                      <m:t>(</m:t>
                    </m:r>
                    <m:r>
                      <m:rPr>
                        <m:nor/>
                      </m:rPr>
                      <w:rPr>
                        <w:rFonts w:hint="default" w:ascii="Cambria Math" w:hAnsi="Cambria Math" w:cs="Times New Roman" w:eastAsiaTheme="minorEastAsia"/>
                        <w:i/>
                        <w:sz w:val="24"/>
                        <w:vertAlign w:val="subscript"/>
                        <w:lang w:val="de-DE"/>
                      </w:rPr>
                      <m:t>bec</m:t>
                    </m:r>
                    <m:r>
                      <m:rPr>
                        <m:nor/>
                        <m:sty m:val="p"/>
                      </m:rPr>
                      <w:rPr>
                        <w:rFonts w:hint="default" w:ascii="Cambria Math" w:hAnsi="Cambria Math" w:cs="Times New Roman" w:eastAsiaTheme="minorEastAsia"/>
                        <w:b w:val="0"/>
                        <w:i w:val="0"/>
                        <w:sz w:val="24"/>
                        <w:vertAlign w:val="subscript"/>
                        <w:lang w:val="de-DE"/>
                      </w:rPr>
                      <m:t>)</m:t>
                    </m:r>
                    <m:r>
                      <m:rPr>
                        <m:nor/>
                      </m:rPr>
                      <w:rPr>
                        <w:rFonts w:hint="default" w:ascii="Cambria Math" w:hAnsi="Cambria Math" w:cs="Times New Roman" w:eastAsiaTheme="minorEastAsia"/>
                        <w:i/>
                        <w:sz w:val="24"/>
                        <w:vertAlign w:val="subscript"/>
                        <w:lang w:val="de-DE"/>
                      </w:rPr>
                      <m:t>max</m:t>
                    </m:r>
                    <m:ctrlPr>
                      <w:rPr>
                        <w:rFonts w:hint="default" w:ascii="Cambria Math" w:hAnsi="Cambria Math" w:cs="Times New Roman" w:eastAsiaTheme="minorEastAsia"/>
                        <w:i/>
                        <w:sz w:val="24"/>
                        <w:vertAlign w:val="subscript"/>
                        <w:lang w:val="de-DE"/>
                      </w:rPr>
                    </m:ctrlPr>
                  </m:sub>
                </m:sSub>
              </m:oMath>
            </m:oMathPara>
          </w:p>
        </w:tc>
        <w:tc>
          <w:tcPr>
            <w:tcW w:w="419" w:type="pct"/>
            <w:tcMar>
              <w:left w:w="28" w:type="dxa"/>
              <w:right w:w="0" w:type="dxa"/>
            </w:tcMar>
          </w:tcPr>
          <w:p w14:paraId="0CC94E79">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tc>
        <w:tc>
          <w:tcPr>
            <w:tcW w:w="3979" w:type="pct"/>
            <w:tcMar>
              <w:left w:w="0" w:type="dxa"/>
              <w:right w:w="0" w:type="dxa"/>
            </w:tcMar>
          </w:tcPr>
          <w:p w14:paraId="06FAB072">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锚杆所承受的最大拉力在</w:t>
            </w:r>
            <w:r>
              <w:rPr>
                <w:rFonts w:hint="default" w:ascii="Times New Roman" w:hAnsi="Times New Roman" w:cs="Times New Roman" w:eastAsiaTheme="minorEastAsia"/>
                <w:i/>
                <w:iCs/>
                <w:sz w:val="24"/>
              </w:rPr>
              <w:t>bec</w:t>
            </w:r>
            <w:r>
              <w:rPr>
                <w:rFonts w:hint="default" w:ascii="Times New Roman" w:hAnsi="Times New Roman" w:cs="Times New Roman" w:eastAsiaTheme="minorEastAsia"/>
                <w:sz w:val="24"/>
              </w:rPr>
              <w:t>面上的分力（kN）。</w:t>
            </w:r>
          </w:p>
        </w:tc>
      </w:tr>
      <w:tr w14:paraId="6034959C">
        <w:tblPrEx>
          <w:tblCellMar>
            <w:top w:w="0" w:type="dxa"/>
            <w:left w:w="108" w:type="dxa"/>
            <w:bottom w:w="0" w:type="dxa"/>
            <w:right w:w="108" w:type="dxa"/>
          </w:tblCellMar>
        </w:tblPrEx>
        <w:trPr>
          <w:trHeight w:val="1388" w:hRule="exact"/>
        </w:trPr>
        <w:tc>
          <w:tcPr>
            <w:tcW w:w="601" w:type="pct"/>
            <w:tcMar>
              <w:left w:w="0" w:type="dxa"/>
              <w:right w:w="28" w:type="dxa"/>
            </w:tcMar>
          </w:tcPr>
          <w:p w14:paraId="014FD4A8">
            <w:pPr>
              <w:spacing w:line="460" w:lineRule="exact"/>
              <w:rPr>
                <w:rFonts w:hint="default" w:ascii="Times New Roman" w:hAnsi="Times New Roman" w:cs="Times New Roman" w:eastAsiaTheme="minorEastAsia"/>
                <w:sz w:val="24"/>
                <w:vertAlign w:val="subscript"/>
                <w:lang w:val="de-DE"/>
              </w:rPr>
            </w:pPr>
            <m:oMathPara>
              <m:oMath>
                <m:r>
                  <m:rPr>
                    <m:nor/>
                  </m:rPr>
                  <w:rPr>
                    <w:rFonts w:hint="default" w:ascii="Cambria Math" w:hAnsi="Cambria Math" w:cs="Times New Roman" w:eastAsiaTheme="minorEastAsia"/>
                    <w:i/>
                    <w:sz w:val="24"/>
                    <w:vertAlign w:val="subscript"/>
                    <w:lang w:val="de-DE"/>
                  </w:rPr>
                  <m:t>m</m:t>
                </m:r>
              </m:oMath>
            </m:oMathPara>
          </w:p>
          <w:p w14:paraId="18146F1A">
            <w:pPr>
              <w:spacing w:line="460" w:lineRule="exact"/>
              <w:rPr>
                <w:rFonts w:hint="default" w:ascii="Times New Roman" w:hAnsi="Times New Roman" w:cs="Times New Roman" w:eastAsiaTheme="minorEastAsia"/>
                <w:sz w:val="24"/>
                <w:vertAlign w:val="subscript"/>
                <w:lang w:val="de-DE"/>
              </w:rPr>
            </w:pPr>
            <m:oMathPara>
              <m:oMath>
                <m:r>
                  <m:rPr>
                    <m:nor/>
                  </m:rPr>
                  <w:rPr>
                    <w:rFonts w:hint="default" w:ascii="Cambria Math" w:hAnsi="Cambria Math" w:cs="Times New Roman" w:eastAsiaTheme="minorEastAsia"/>
                    <w:i/>
                    <w:sz w:val="24"/>
                    <w:vertAlign w:val="subscript"/>
                    <w:lang w:val="de-DE"/>
                  </w:rPr>
                  <m:t>z</m:t>
                </m:r>
              </m:oMath>
            </m:oMathPara>
          </w:p>
          <w:p w14:paraId="7E6FC9FD">
            <w:pPr>
              <w:spacing w:line="460" w:lineRule="exact"/>
              <w:rPr>
                <w:rFonts w:hint="default" w:ascii="Cambria Math" w:hAnsi="Cambria Math" w:cs="Times New Roman" w:eastAsiaTheme="minorEastAsia"/>
                <w:i w:val="0"/>
                <w:sz w:val="24"/>
                <w:vertAlign w:val="subscript"/>
                <w:lang w:val="de-DE"/>
                <w:oMath/>
              </w:rPr>
            </w:pPr>
            <m:oMathPara>
              <m:oMath>
                <m:r>
                  <m:rPr>
                    <m:nor/>
                    <m:sty m:val="p"/>
                  </m:rPr>
                  <w:rPr>
                    <w:rFonts w:hint="default" w:ascii="Cambria Math" w:hAnsi="Cambria Math" w:cs="Times New Roman" w:eastAsiaTheme="minorEastAsia"/>
                    <w:b w:val="0"/>
                    <w:i w:val="0"/>
                    <w:sz w:val="24"/>
                    <w:vertAlign w:val="subscript"/>
                    <w:lang w:val="de-DE"/>
                  </w:rPr>
                  <m:t>h</m:t>
                </m:r>
              </m:oMath>
            </m:oMathPara>
          </w:p>
        </w:tc>
        <w:tc>
          <w:tcPr>
            <w:tcW w:w="419" w:type="pct"/>
            <w:tcMar>
              <w:left w:w="28" w:type="dxa"/>
              <w:right w:w="0" w:type="dxa"/>
            </w:tcMar>
          </w:tcPr>
          <w:p w14:paraId="05AC604F">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49FA6174">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4971A6EE">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tc>
        <w:tc>
          <w:tcPr>
            <w:tcW w:w="3979" w:type="pct"/>
            <w:tcMar>
              <w:left w:w="0" w:type="dxa"/>
              <w:right w:w="0" w:type="dxa"/>
            </w:tcMar>
          </w:tcPr>
          <w:p w14:paraId="172FDB21">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土的水平反力系数的比例系数（kN/m</w:t>
            </w:r>
            <w:r>
              <w:rPr>
                <w:rFonts w:hint="default" w:ascii="Times New Roman" w:hAnsi="Times New Roman" w:cs="Times New Roman" w:eastAsiaTheme="minorEastAsia"/>
                <w:sz w:val="24"/>
                <w:vertAlign w:val="superscript"/>
              </w:rPr>
              <w:t>4</w:t>
            </w:r>
            <w:r>
              <w:rPr>
                <w:rFonts w:hint="default" w:ascii="Times New Roman" w:hAnsi="Times New Roman" w:cs="Times New Roman" w:eastAsiaTheme="minorEastAsia"/>
                <w:sz w:val="24"/>
              </w:rPr>
              <w:t>）；</w:t>
            </w:r>
          </w:p>
          <w:p w14:paraId="664BE75A">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计算点距地面的深度（m）；</w:t>
            </w:r>
          </w:p>
          <w:p w14:paraId="4A6A511A">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计算工况下的基坑开挖深度（m）。</w:t>
            </w:r>
          </w:p>
        </w:tc>
      </w:tr>
      <w:tr w14:paraId="413A282D">
        <w:tblPrEx>
          <w:tblCellMar>
            <w:top w:w="0" w:type="dxa"/>
            <w:left w:w="108" w:type="dxa"/>
            <w:bottom w:w="0" w:type="dxa"/>
            <w:right w:w="108" w:type="dxa"/>
          </w:tblCellMar>
        </w:tblPrEx>
        <w:trPr>
          <w:trHeight w:val="3730" w:hRule="exact"/>
        </w:trPr>
        <w:tc>
          <w:tcPr>
            <w:tcW w:w="601" w:type="pct"/>
            <w:tcMar>
              <w:left w:w="0" w:type="dxa"/>
              <w:right w:w="28" w:type="dxa"/>
            </w:tcMar>
          </w:tcPr>
          <w:p w14:paraId="58133902">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e</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ptk</m:t>
                    </m:r>
                    <m:ctrlPr>
                      <w:rPr>
                        <w:rFonts w:hint="default" w:ascii="Cambria Math" w:hAnsi="Cambria Math" w:cs="Times New Roman" w:eastAsiaTheme="minorEastAsia"/>
                        <w:i/>
                        <w:sz w:val="24"/>
                        <w:vertAlign w:val="subscript"/>
                        <w:lang w:val="de-DE"/>
                      </w:rPr>
                    </m:ctrlPr>
                  </m:sub>
                </m:sSub>
              </m:oMath>
            </m:oMathPara>
          </w:p>
          <w:p w14:paraId="3472A5D0">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k</m:t>
                    </m:r>
                    <m:ctrlPr>
                      <w:rPr>
                        <w:rFonts w:hint="default" w:ascii="Cambria Math" w:hAnsi="Cambria Math" w:cs="Times New Roman" w:eastAsiaTheme="minorEastAsia"/>
                        <w:i/>
                        <w:sz w:val="24"/>
                        <w:vertAlign w:val="subscript"/>
                        <w:lang w:val="de-DE"/>
                      </w:rPr>
                    </m:ctrlPr>
                  </m:e>
                  <m:sub>
                    <m:r>
                      <m:rPr>
                        <m:nor/>
                        <m:sty m:val="p"/>
                      </m:rPr>
                      <w:rPr>
                        <w:rFonts w:hint="default" w:ascii="Cambria Math" w:hAnsi="Cambria Math" w:cs="Times New Roman" w:eastAsiaTheme="minorEastAsia"/>
                        <w:b w:val="0"/>
                        <w:i w:val="0"/>
                        <w:sz w:val="24"/>
                        <w:vertAlign w:val="subscript"/>
                        <w:lang w:val="de-DE"/>
                      </w:rPr>
                      <m:t>h</m:t>
                    </m:r>
                    <m:ctrlPr>
                      <w:rPr>
                        <w:rFonts w:hint="default" w:ascii="Cambria Math" w:hAnsi="Cambria Math" w:cs="Times New Roman" w:eastAsiaTheme="minorEastAsia"/>
                        <w:i/>
                        <w:sz w:val="24"/>
                        <w:vertAlign w:val="subscript"/>
                        <w:lang w:val="de-DE"/>
                      </w:rPr>
                    </m:ctrlPr>
                  </m:sub>
                </m:sSub>
              </m:oMath>
            </m:oMathPara>
          </w:p>
          <w:p w14:paraId="6E774367">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vertAlign w:val="subscript"/>
                <w:lang w:val="de-DE"/>
              </w:rPr>
            </w:pPr>
            <m:oMathPara>
              <m:oMath>
                <m:r>
                  <m:rPr>
                    <m:nor/>
                    <m:sty m:val="p"/>
                  </m:rPr>
                  <w:rPr>
                    <w:rFonts w:hint="default" w:ascii="Cambria Math" w:hAnsi="Cambria Math" w:cs="Times New Roman" w:eastAsiaTheme="minorEastAsia"/>
                    <w:b w:val="0"/>
                    <w:i w:val="0"/>
                    <w:sz w:val="24"/>
                    <w:vertAlign w:val="subscript"/>
                    <w:lang w:val="de-DE"/>
                  </w:rPr>
                  <m:t>∆</m:t>
                </m:r>
                <m:r>
                  <m:rPr>
                    <m:nor/>
                  </m:rPr>
                  <w:rPr>
                    <w:rFonts w:hint="default" w:ascii="Cambria Math" w:hAnsi="Cambria Math" w:cs="Times New Roman" w:eastAsiaTheme="minorEastAsia"/>
                    <w:i/>
                    <w:sz w:val="24"/>
                    <w:vertAlign w:val="subscript"/>
                    <w:lang w:val="de-DE"/>
                  </w:rPr>
                  <m:t>x</m:t>
                </m:r>
              </m:oMath>
            </m:oMathPara>
          </w:p>
          <w:p w14:paraId="268046FC">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E</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ptk</m:t>
                    </m:r>
                    <m:ctrlPr>
                      <w:rPr>
                        <w:rFonts w:hint="default" w:ascii="Cambria Math" w:hAnsi="Cambria Math" w:cs="Times New Roman" w:eastAsiaTheme="minorEastAsia"/>
                        <w:i/>
                        <w:sz w:val="24"/>
                        <w:vertAlign w:val="subscript"/>
                        <w:lang w:val="de-DE"/>
                      </w:rPr>
                    </m:ctrlPr>
                  </m:sub>
                </m:sSub>
              </m:oMath>
            </m:oMathPara>
          </w:p>
          <w:p w14:paraId="5CEC5CDA">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E</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pk</m:t>
                    </m:r>
                    <m:ctrlPr>
                      <w:rPr>
                        <w:rFonts w:hint="default" w:ascii="Cambria Math" w:hAnsi="Cambria Math" w:cs="Times New Roman" w:eastAsiaTheme="minorEastAsia"/>
                        <w:i/>
                        <w:sz w:val="24"/>
                        <w:vertAlign w:val="subscript"/>
                        <w:lang w:val="de-DE"/>
                      </w:rPr>
                    </m:ctrlPr>
                  </m:sub>
                </m:sSub>
              </m:oMath>
            </m:oMathPara>
          </w:p>
          <w:p w14:paraId="6DDB01FA">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Cambria Math" w:hAnsi="Cambria Math" w:cs="Times New Roman" w:eastAsiaTheme="minorEastAsia"/>
                <w:i w:val="0"/>
                <w:sz w:val="24"/>
                <w:vertAlign w:val="subscript"/>
                <w:lang w:val="de-DE"/>
                <w:oMath/>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K</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tk</m:t>
                    </m:r>
                    <m:ctrlPr>
                      <w:rPr>
                        <w:rFonts w:hint="default" w:ascii="Cambria Math" w:hAnsi="Cambria Math" w:cs="Times New Roman" w:eastAsiaTheme="minorEastAsia"/>
                        <w:i/>
                        <w:sz w:val="24"/>
                        <w:vertAlign w:val="subscript"/>
                        <w:lang w:val="de-DE"/>
                      </w:rPr>
                    </m:ctrlPr>
                  </m:sub>
                </m:sSub>
              </m:oMath>
            </m:oMathPara>
          </w:p>
        </w:tc>
        <w:tc>
          <w:tcPr>
            <w:tcW w:w="419" w:type="pct"/>
            <w:tcMar>
              <w:left w:w="28" w:type="dxa"/>
              <w:right w:w="0" w:type="dxa"/>
            </w:tcMar>
          </w:tcPr>
          <w:p w14:paraId="2058E569">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4FE11F59">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5D9E4B6D">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0C5AC58A">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1F39132A">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25596EB7">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tc>
        <w:tc>
          <w:tcPr>
            <w:tcW w:w="3979" w:type="pct"/>
            <w:tcMar>
              <w:left w:w="0" w:type="dxa"/>
              <w:right w:w="0" w:type="dxa"/>
            </w:tcMar>
          </w:tcPr>
          <w:p w14:paraId="2815A50A">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按弹性抗力法计算的被动区抗力标准值（kPa）；</w:t>
            </w:r>
          </w:p>
          <w:p w14:paraId="2D065F61">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水平向反力系数，按“m”法确定（kPa/m）；</w:t>
            </w:r>
          </w:p>
          <w:p w14:paraId="6CD71355">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支护桩的水平位移（m）。</w:t>
            </w:r>
          </w:p>
          <w:p w14:paraId="09F797D9">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lang w:eastAsia="zh-CN"/>
              </w:rPr>
            </w:pPr>
            <w:r>
              <w:rPr>
                <w:rFonts w:hint="default" w:ascii="Times New Roman" w:hAnsi="Times New Roman" w:cs="Times New Roman" w:eastAsiaTheme="minorEastAsia"/>
                <w:sz w:val="24"/>
              </w:rPr>
              <w:t>支护桩嵌固深度范围内被动区抗力合力标准值（kN）</w:t>
            </w:r>
            <w:r>
              <w:rPr>
                <w:rFonts w:hint="default" w:ascii="Times New Roman" w:hAnsi="Times New Roman" w:cs="Times New Roman" w:eastAsiaTheme="minorEastAsia"/>
                <w:sz w:val="24"/>
                <w:lang w:eastAsia="zh-CN"/>
              </w:rPr>
              <w:t>；</w:t>
            </w:r>
          </w:p>
          <w:p w14:paraId="6FB28AF5">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支护桩嵌固深度范围内的被动土压力合力标准值（kN）；</w:t>
            </w:r>
          </w:p>
          <w:p w14:paraId="0206F4D6">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被动区抗力安全系数。</w:t>
            </w:r>
          </w:p>
        </w:tc>
      </w:tr>
      <w:tr w14:paraId="69C8C6D8">
        <w:tblPrEx>
          <w:tblCellMar>
            <w:top w:w="0" w:type="dxa"/>
            <w:left w:w="108" w:type="dxa"/>
            <w:bottom w:w="0" w:type="dxa"/>
            <w:right w:w="108" w:type="dxa"/>
          </w:tblCellMar>
        </w:tblPrEx>
        <w:trPr>
          <w:trHeight w:val="4733" w:hRule="exact"/>
        </w:trPr>
        <w:tc>
          <w:tcPr>
            <w:tcW w:w="601" w:type="pct"/>
            <w:tcMar>
              <w:left w:w="0" w:type="dxa"/>
              <w:right w:w="28" w:type="dxa"/>
            </w:tcMar>
          </w:tcPr>
          <w:p w14:paraId="0FBC3125">
            <w:pPr>
              <w:spacing w:line="360" w:lineRule="auto"/>
              <w:rPr>
                <w:rFonts w:hint="default" w:ascii="Times New Roman" w:hAnsi="Times New Roman" w:cs="Times New Roman" w:eastAsiaTheme="minorEastAsia"/>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γ</m:t>
                    </m:r>
                    <m:ctrlPr>
                      <w:rPr>
                        <w:rFonts w:hint="default" w:ascii="Cambria Math" w:hAnsi="Cambria Math" w:cs="Times New Roman" w:eastAsiaTheme="minorEastAsia"/>
                        <w:i/>
                        <w:sz w:val="24"/>
                        <w:vertAlign w:val="subscript"/>
                        <w:lang w:val="de-DE"/>
                      </w:rPr>
                    </m:ctrlPr>
                  </m:e>
                  <m:sub>
                    <m:r>
                      <m:rPr>
                        <m:nor/>
                        <m:sty m:val="p"/>
                      </m:rPr>
                      <w:rPr>
                        <w:rFonts w:hint="default" w:ascii="Cambria Math" w:hAnsi="Cambria Math" w:cs="Times New Roman" w:eastAsiaTheme="minorEastAsia"/>
                        <w:b w:val="0"/>
                        <w:i w:val="0"/>
                        <w:sz w:val="24"/>
                        <w:vertAlign w:val="subscript"/>
                        <w:lang w:val="de-DE"/>
                      </w:rPr>
                      <m:t>0</m:t>
                    </m:r>
                    <m:ctrlPr>
                      <w:rPr>
                        <w:rFonts w:hint="default" w:ascii="Cambria Math" w:hAnsi="Cambria Math" w:cs="Times New Roman" w:eastAsiaTheme="minorEastAsia"/>
                        <w:i/>
                        <w:sz w:val="24"/>
                        <w:vertAlign w:val="subscript"/>
                        <w:lang w:val="de-DE"/>
                      </w:rPr>
                    </m:ctrlPr>
                  </m:sub>
                </m:sSub>
              </m:oMath>
            </m:oMathPara>
          </w:p>
          <w:p w14:paraId="77A61697">
            <w:pPr>
              <w:spacing w:line="360" w:lineRule="auto"/>
              <w:rPr>
                <w:rFonts w:hint="default" w:ascii="Times New Roman" w:hAnsi="Times New Roman" w:cs="Times New Roman" w:eastAsiaTheme="minorEastAsia"/>
                <w:sz w:val="24"/>
                <w:vertAlign w:val="subscript"/>
                <w:lang w:val="de-DE"/>
              </w:rPr>
            </w:pPr>
            <m:oMathPara>
              <m:oMath>
                <m:r>
                  <m:rPr>
                    <m:nor/>
                  </m:rPr>
                  <w:rPr>
                    <w:rFonts w:hint="default" w:ascii="Cambria Math" w:hAnsi="Cambria Math" w:cs="Times New Roman" w:eastAsiaTheme="minorEastAsia"/>
                    <w:i/>
                    <w:sz w:val="24"/>
                    <w:vertAlign w:val="subscript"/>
                    <w:lang w:val="de-DE"/>
                  </w:rPr>
                  <m:t>W</m:t>
                </m:r>
              </m:oMath>
            </m:oMathPara>
          </w:p>
          <w:p w14:paraId="5FBA8590">
            <w:pPr>
              <w:spacing w:line="360" w:lineRule="auto"/>
              <w:rPr>
                <w:rFonts w:hint="default" w:ascii="Times New Roman" w:hAnsi="Times New Roman" w:cs="Times New Roman" w:eastAsiaTheme="minorEastAsia"/>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Q</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d</m:t>
                    </m:r>
                    <m:ctrlPr>
                      <w:rPr>
                        <w:rFonts w:hint="default" w:ascii="Cambria Math" w:hAnsi="Cambria Math" w:cs="Times New Roman" w:eastAsiaTheme="minorEastAsia"/>
                        <w:i/>
                        <w:sz w:val="24"/>
                        <w:vertAlign w:val="subscript"/>
                        <w:lang w:val="de-DE"/>
                      </w:rPr>
                    </m:ctrlPr>
                  </m:sub>
                </m:sSub>
              </m:oMath>
            </m:oMathPara>
          </w:p>
          <w:p w14:paraId="50386391">
            <w:pPr>
              <w:spacing w:line="360" w:lineRule="auto"/>
              <w:rPr>
                <w:rFonts w:hint="default" w:ascii="Times New Roman" w:hAnsi="Times New Roman" w:cs="Times New Roman" w:eastAsiaTheme="minorEastAsia"/>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q</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R</m:t>
                    </m:r>
                    <m:ctrlPr>
                      <w:rPr>
                        <w:rFonts w:hint="default" w:ascii="Cambria Math" w:hAnsi="Cambria Math" w:cs="Times New Roman" w:eastAsiaTheme="minorEastAsia"/>
                        <w:i/>
                        <w:sz w:val="24"/>
                        <w:vertAlign w:val="subscript"/>
                        <w:lang w:val="de-DE"/>
                      </w:rPr>
                    </m:ctrlPr>
                  </m:sub>
                </m:sSub>
              </m:oMath>
            </m:oMathPara>
          </w:p>
          <w:p w14:paraId="18D206FB">
            <w:pPr>
              <w:spacing w:line="360" w:lineRule="auto"/>
              <w:rPr>
                <w:rFonts w:hint="default" w:ascii="Times New Roman" w:hAnsi="Times New Roman" w:cs="Times New Roman" w:eastAsiaTheme="minorEastAsia"/>
                <w:sz w:val="24"/>
                <w:vertAlign w:val="subscript"/>
                <w:lang w:val="de-DE"/>
              </w:rPr>
            </w:pPr>
            <m:oMathPara>
              <m:oMath>
                <m:r>
                  <m:rPr>
                    <m:nor/>
                  </m:rPr>
                  <w:rPr>
                    <w:rFonts w:hint="default" w:ascii="Cambria Math" w:hAnsi="Cambria Math" w:cs="Times New Roman" w:eastAsiaTheme="minorEastAsia"/>
                    <w:i/>
                    <w:sz w:val="24"/>
                    <w:vertAlign w:val="subscript"/>
                    <w:lang w:val="de-DE"/>
                  </w:rPr>
                  <m:t>A</m:t>
                </m:r>
              </m:oMath>
            </m:oMathPara>
          </w:p>
          <w:p w14:paraId="1CBCBF0D">
            <w:pPr>
              <w:spacing w:line="360" w:lineRule="auto"/>
              <w:rPr>
                <w:rFonts w:hint="default" w:ascii="Times New Roman" w:hAnsi="Times New Roman" w:cs="Times New Roman" w:eastAsiaTheme="minorEastAsia"/>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γ</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R</m:t>
                    </m:r>
                    <m:ctrlPr>
                      <w:rPr>
                        <w:rFonts w:hint="default" w:ascii="Cambria Math" w:hAnsi="Cambria Math" w:cs="Times New Roman" w:eastAsiaTheme="minorEastAsia"/>
                        <w:i/>
                        <w:sz w:val="24"/>
                        <w:vertAlign w:val="subscript"/>
                        <w:lang w:val="de-DE"/>
                      </w:rPr>
                    </m:ctrlPr>
                  </m:sub>
                </m:sSub>
              </m:oMath>
            </m:oMathPara>
          </w:p>
          <w:p w14:paraId="53BB707F">
            <w:pPr>
              <w:spacing w:line="360" w:lineRule="auto"/>
              <w:rPr>
                <w:rFonts w:hint="default" w:ascii="Times New Roman" w:hAnsi="Times New Roman" w:cs="Times New Roman" w:eastAsiaTheme="minorEastAsia"/>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γ</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G</m:t>
                    </m:r>
                    <m:ctrlPr>
                      <w:rPr>
                        <w:rFonts w:hint="default" w:ascii="Cambria Math" w:hAnsi="Cambria Math" w:cs="Times New Roman" w:eastAsiaTheme="minorEastAsia"/>
                        <w:i/>
                        <w:sz w:val="24"/>
                        <w:vertAlign w:val="subscript"/>
                        <w:lang w:val="de-DE"/>
                      </w:rPr>
                    </m:ctrlPr>
                  </m:sub>
                </m:sSub>
              </m:oMath>
            </m:oMathPara>
          </w:p>
          <w:p w14:paraId="6018BFB7">
            <w:pPr>
              <w:spacing w:line="360" w:lineRule="auto"/>
              <w:rPr>
                <w:rFonts w:hint="default" w:ascii="Times New Roman" w:hAnsi="Times New Roman" w:cs="Times New Roman" w:eastAsiaTheme="minorEastAsia"/>
                <w:sz w:val="24"/>
                <w:vertAlign w:val="subscript"/>
                <w:lang w:val="de-DE"/>
              </w:rPr>
            </w:pPr>
            <m:oMathPara>
              <m:oMath>
                <m:r>
                  <m:rPr>
                    <m:nor/>
                  </m:rPr>
                  <w:rPr>
                    <w:rFonts w:hint="default" w:ascii="Cambria Math" w:hAnsi="Cambria Math" w:cs="Times New Roman" w:eastAsiaTheme="minorEastAsia"/>
                    <w:i/>
                    <w:sz w:val="24"/>
                    <w:vertAlign w:val="subscript"/>
                    <w:lang w:val="de-DE"/>
                  </w:rPr>
                  <m:t>d</m:t>
                </m:r>
              </m:oMath>
            </m:oMathPara>
          </w:p>
          <w:p w14:paraId="3FE43D43">
            <w:pPr>
              <w:spacing w:line="360" w:lineRule="auto"/>
              <w:rPr>
                <w:rFonts w:hint="default" w:ascii="Times New Roman" w:hAnsi="Times New Roman" w:cs="Times New Roman" w:eastAsiaTheme="minorEastAsia"/>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b</m:t>
                    </m:r>
                    <m:ctrlPr>
                      <w:rPr>
                        <w:rFonts w:hint="default" w:ascii="Cambria Math" w:hAnsi="Cambria Math" w:cs="Times New Roman" w:eastAsiaTheme="minorEastAsia"/>
                        <w:i/>
                        <w:sz w:val="24"/>
                        <w:vertAlign w:val="subscript"/>
                        <w:lang w:val="de-DE"/>
                      </w:rPr>
                    </m:ctrlPr>
                  </m:e>
                  <m:sub>
                    <m:r>
                      <m:rPr>
                        <m:nor/>
                        <m:sty m:val="p"/>
                      </m:rPr>
                      <w:rPr>
                        <w:rFonts w:hint="default" w:ascii="Cambria Math" w:hAnsi="Cambria Math" w:cs="Times New Roman" w:eastAsiaTheme="minorEastAsia"/>
                        <w:b w:val="0"/>
                        <w:i w:val="0"/>
                        <w:sz w:val="24"/>
                        <w:vertAlign w:val="subscript"/>
                        <w:lang w:val="de-DE"/>
                      </w:rPr>
                      <m:t>0</m:t>
                    </m:r>
                    <m:ctrlPr>
                      <w:rPr>
                        <w:rFonts w:hint="default" w:ascii="Cambria Math" w:hAnsi="Cambria Math" w:cs="Times New Roman" w:eastAsiaTheme="minorEastAsia"/>
                        <w:i/>
                        <w:sz w:val="24"/>
                        <w:vertAlign w:val="subscript"/>
                        <w:lang w:val="de-DE"/>
                      </w:rPr>
                    </m:ctrlPr>
                  </m:sub>
                </m:sSub>
              </m:oMath>
            </m:oMathPara>
          </w:p>
          <w:p w14:paraId="47CFBE85">
            <w:pPr>
              <w:spacing w:line="360" w:lineRule="auto"/>
              <w:rPr>
                <w:rFonts w:hint="default" w:ascii="Cambria Math" w:hAnsi="Cambria Math" w:cs="Times New Roman" w:eastAsiaTheme="minorEastAsia"/>
                <w:i w:val="0"/>
                <w:sz w:val="24"/>
                <w:vertAlign w:val="subscript"/>
                <w:lang w:val="de-DE"/>
                <w:oMath/>
              </w:rPr>
            </w:pPr>
            <m:oMathPara>
              <m:oMath>
                <m:r>
                  <m:rPr>
                    <m:nor/>
                  </m:rPr>
                  <w:rPr>
                    <w:rFonts w:hint="default" w:ascii="Cambria Math" w:hAnsi="Cambria Math" w:cs="Times New Roman" w:eastAsiaTheme="minorEastAsia"/>
                    <w:i/>
                    <w:sz w:val="24"/>
                    <w:vertAlign w:val="subscript"/>
                    <w:lang w:val="de-DE"/>
                  </w:rPr>
                  <m:t>L</m:t>
                </m:r>
              </m:oMath>
            </m:oMathPara>
          </w:p>
        </w:tc>
        <w:tc>
          <w:tcPr>
            <w:tcW w:w="419" w:type="pct"/>
            <w:tcMar>
              <w:left w:w="28" w:type="dxa"/>
              <w:right w:w="0" w:type="dxa"/>
            </w:tcMar>
          </w:tcPr>
          <w:p w14:paraId="0B3FD2A5">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21EFD7E8">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5D586B72">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7E5B89FD">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5C86FED3">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55684D8F">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736B5D45">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27497552">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092F068E">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1895F3DA">
            <w:pPr>
              <w:spacing w:line="360" w:lineRule="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tc>
        <w:tc>
          <w:tcPr>
            <w:tcW w:w="3979" w:type="pct"/>
            <w:tcMar>
              <w:left w:w="0" w:type="dxa"/>
              <w:right w:w="0" w:type="dxa"/>
            </w:tcMar>
          </w:tcPr>
          <w:p w14:paraId="3D621E56">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结构重要性系数，取1.0；</w:t>
            </w:r>
          </w:p>
          <w:p w14:paraId="1460C1EE">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吊脚桩支护结构体系自重（kN）；</w:t>
            </w:r>
          </w:p>
          <w:p w14:paraId="4D836334">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吊脚桩端极限承载力设计值（kN）；</w:t>
            </w:r>
          </w:p>
          <w:p w14:paraId="3E112A3C">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吊脚桩极限端阻力标准值（kPa）；</w:t>
            </w:r>
          </w:p>
          <w:p w14:paraId="4BCE03E0">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吊脚桩端面积（m</w:t>
            </w:r>
            <w:r>
              <w:rPr>
                <w:rFonts w:hint="default" w:ascii="Times New Roman" w:hAnsi="Times New Roman" w:cs="Times New Roman" w:eastAsiaTheme="minorEastAsia"/>
                <w:sz w:val="24"/>
                <w:vertAlign w:val="superscript"/>
              </w:rPr>
              <w:t>2</w:t>
            </w:r>
            <w:r>
              <w:rPr>
                <w:rFonts w:hint="default" w:ascii="Times New Roman" w:hAnsi="Times New Roman" w:cs="Times New Roman" w:eastAsiaTheme="minorEastAsia"/>
                <w:sz w:val="24"/>
              </w:rPr>
              <w:t>）；</w:t>
            </w:r>
          </w:p>
          <w:p w14:paraId="590A2989">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吊脚桩端承载力分项系数；</w:t>
            </w:r>
          </w:p>
          <w:p w14:paraId="4E4C7A06">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吊脚桩的钢筋混凝土重度（kN/m</w:t>
            </w:r>
            <w:r>
              <w:rPr>
                <w:rFonts w:hint="default" w:ascii="Times New Roman" w:hAnsi="Times New Roman" w:cs="Times New Roman" w:eastAsiaTheme="minorEastAsia"/>
                <w:sz w:val="24"/>
                <w:vertAlign w:val="superscript"/>
              </w:rPr>
              <w:t>3</w:t>
            </w:r>
            <w:r>
              <w:rPr>
                <w:rFonts w:hint="default" w:ascii="Times New Roman" w:hAnsi="Times New Roman" w:cs="Times New Roman" w:eastAsiaTheme="minorEastAsia"/>
                <w:sz w:val="24"/>
              </w:rPr>
              <w:t>），一般取24kN/m</w:t>
            </w:r>
            <w:r>
              <w:rPr>
                <w:rFonts w:hint="default" w:ascii="Times New Roman" w:hAnsi="Times New Roman" w:cs="Times New Roman" w:eastAsiaTheme="minorEastAsia"/>
                <w:sz w:val="24"/>
                <w:vertAlign w:val="superscript"/>
              </w:rPr>
              <w:t>3</w:t>
            </w:r>
            <w:r>
              <w:rPr>
                <w:rFonts w:hint="default" w:ascii="Times New Roman" w:hAnsi="Times New Roman" w:cs="Times New Roman"/>
                <w:sz w:val="24"/>
              </w:rPr>
              <w:t>～</w:t>
            </w:r>
            <w:r>
              <w:rPr>
                <w:rFonts w:hint="default" w:ascii="Times New Roman" w:hAnsi="Times New Roman" w:cs="Times New Roman" w:eastAsiaTheme="minorEastAsia"/>
                <w:sz w:val="24"/>
              </w:rPr>
              <w:t>25kN/m</w:t>
            </w:r>
            <w:r>
              <w:rPr>
                <w:rFonts w:hint="default" w:ascii="Times New Roman" w:hAnsi="Times New Roman" w:cs="Times New Roman" w:eastAsiaTheme="minorEastAsia"/>
                <w:sz w:val="24"/>
                <w:vertAlign w:val="superscript"/>
              </w:rPr>
              <w:t>3</w:t>
            </w:r>
            <w:r>
              <w:rPr>
                <w:rFonts w:hint="default" w:ascii="Times New Roman" w:hAnsi="Times New Roman" w:cs="Times New Roman" w:eastAsiaTheme="minorEastAsia"/>
                <w:sz w:val="24"/>
              </w:rPr>
              <w:t>；</w:t>
            </w:r>
          </w:p>
          <w:p w14:paraId="277333D5">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吊脚桩直径（m）；</w:t>
            </w:r>
          </w:p>
          <w:p w14:paraId="7C52F298">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相邻桩的中心间距（m）；</w:t>
            </w:r>
          </w:p>
          <w:p w14:paraId="726D52B4">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吊脚桩长（L）。</w:t>
            </w:r>
          </w:p>
        </w:tc>
      </w:tr>
      <w:tr w14:paraId="2235D73C">
        <w:tblPrEx>
          <w:tblCellMar>
            <w:top w:w="0" w:type="dxa"/>
            <w:left w:w="108" w:type="dxa"/>
            <w:bottom w:w="0" w:type="dxa"/>
            <w:right w:w="108" w:type="dxa"/>
          </w:tblCellMar>
        </w:tblPrEx>
        <w:trPr>
          <w:trHeight w:val="1129" w:hRule="exact"/>
        </w:trPr>
        <w:tc>
          <w:tcPr>
            <w:tcW w:w="601" w:type="pct"/>
            <w:tcMar>
              <w:left w:w="0" w:type="dxa"/>
              <w:right w:w="28" w:type="dxa"/>
            </w:tcMar>
          </w:tcPr>
          <w:p w14:paraId="0231193C">
            <w:pPr>
              <w:spacing w:line="360" w:lineRule="auto"/>
              <w:rPr>
                <w:rFonts w:hint="default" w:ascii="Times New Roman" w:hAnsi="Times New Roman" w:cs="Times New Roman" w:eastAsiaTheme="minorEastAsia"/>
                <w:sz w:val="24"/>
                <w:vertAlign w:val="subscript"/>
                <w:lang w:val="de-DE"/>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q</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fi</m:t>
                    </m:r>
                    <m:ctrlPr>
                      <w:rPr>
                        <w:rFonts w:hint="default" w:ascii="Cambria Math" w:hAnsi="Cambria Math" w:cs="Times New Roman" w:eastAsiaTheme="minorEastAsia"/>
                        <w:i/>
                        <w:sz w:val="24"/>
                        <w:vertAlign w:val="subscript"/>
                        <w:lang w:val="de-DE"/>
                      </w:rPr>
                    </m:ctrlPr>
                  </m:sub>
                </m:sSub>
              </m:oMath>
            </m:oMathPara>
          </w:p>
          <w:p w14:paraId="0D9006E5">
            <w:pPr>
              <w:spacing w:line="360" w:lineRule="auto"/>
              <w:rPr>
                <w:rFonts w:hint="default" w:ascii="Cambria Math" w:hAnsi="Cambria Math" w:cs="Times New Roman" w:eastAsiaTheme="minorEastAsia"/>
                <w:i w:val="0"/>
                <w:sz w:val="24"/>
                <w:vertAlign w:val="subscript"/>
                <w:lang w:val="de-DE"/>
                <w:oMath/>
              </w:rPr>
            </w:pPr>
            <m:oMathPara>
              <m:oMath>
                <m:sSub>
                  <m:sSubPr>
                    <m:ctrlPr>
                      <w:rPr>
                        <w:rFonts w:hint="default" w:ascii="Cambria Math" w:hAnsi="Cambria Math" w:cs="Times New Roman" w:eastAsiaTheme="minorEastAsia"/>
                        <w:i/>
                        <w:sz w:val="24"/>
                        <w:vertAlign w:val="subscript"/>
                        <w:lang w:val="de-DE"/>
                      </w:rPr>
                    </m:ctrlPr>
                  </m:sSubPr>
                  <m:e>
                    <m:r>
                      <m:rPr>
                        <m:nor/>
                      </m:rPr>
                      <w:rPr>
                        <w:rFonts w:hint="default" w:ascii="Cambria Math" w:hAnsi="Cambria Math" w:cs="Times New Roman" w:eastAsiaTheme="minorEastAsia"/>
                        <w:i/>
                        <w:sz w:val="24"/>
                        <w:vertAlign w:val="subscript"/>
                        <w:lang w:val="de-DE"/>
                      </w:rPr>
                      <m:t>l</m:t>
                    </m:r>
                    <m:ctrlPr>
                      <w:rPr>
                        <w:rFonts w:hint="default" w:ascii="Cambria Math" w:hAnsi="Cambria Math" w:cs="Times New Roman" w:eastAsiaTheme="minorEastAsia"/>
                        <w:i/>
                        <w:sz w:val="24"/>
                        <w:vertAlign w:val="subscript"/>
                        <w:lang w:val="de-DE"/>
                      </w:rPr>
                    </m:ctrlPr>
                  </m:e>
                  <m:sub>
                    <m:r>
                      <m:rPr>
                        <m:nor/>
                      </m:rPr>
                      <w:rPr>
                        <w:rFonts w:hint="default" w:ascii="Cambria Math" w:hAnsi="Cambria Math" w:cs="Times New Roman" w:eastAsiaTheme="minorEastAsia"/>
                        <w:i/>
                        <w:sz w:val="24"/>
                        <w:vertAlign w:val="subscript"/>
                        <w:lang w:val="de-DE"/>
                      </w:rPr>
                      <m:t>i</m:t>
                    </m:r>
                    <m:ctrlPr>
                      <w:rPr>
                        <w:rFonts w:hint="default" w:ascii="Cambria Math" w:hAnsi="Cambria Math" w:cs="Times New Roman" w:eastAsiaTheme="minorEastAsia"/>
                        <w:i/>
                        <w:sz w:val="24"/>
                        <w:vertAlign w:val="subscript"/>
                        <w:lang w:val="de-DE"/>
                      </w:rPr>
                    </m:ctrlPr>
                  </m:sub>
                </m:sSub>
              </m:oMath>
            </m:oMathPara>
          </w:p>
        </w:tc>
        <w:tc>
          <w:tcPr>
            <w:tcW w:w="419" w:type="pct"/>
            <w:tcMar>
              <w:left w:w="28" w:type="dxa"/>
              <w:right w:w="0" w:type="dxa"/>
            </w:tcMar>
          </w:tcPr>
          <w:p w14:paraId="7BB170D2">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p w14:paraId="67126EB7">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lang w:val="de-DE"/>
              </w:rPr>
            </w:pPr>
            <w:r>
              <w:rPr>
                <w:rFonts w:hint="default" w:ascii="Times New Roman" w:hAnsi="Times New Roman" w:cs="Times New Roman" w:eastAsiaTheme="minorEastAsia"/>
                <w:sz w:val="24"/>
                <w:lang w:val="de-DE"/>
              </w:rPr>
              <w:t>——</w:t>
            </w:r>
          </w:p>
        </w:tc>
        <w:tc>
          <w:tcPr>
            <w:tcW w:w="3979" w:type="pct"/>
            <w:tcMar>
              <w:left w:w="0" w:type="dxa"/>
              <w:right w:w="0" w:type="dxa"/>
            </w:tcMar>
          </w:tcPr>
          <w:p w14:paraId="7DC04660">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新旧桩搭接段第i层土的极限侧摩阻力标准值（kPa）；</w:t>
            </w:r>
          </w:p>
          <w:p w14:paraId="66ED6FED">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新旧桩搭接段第i层土的厚度（m）；</w:t>
            </w:r>
          </w:p>
        </w:tc>
      </w:tr>
    </w:tbl>
    <w:p w14:paraId="2FF7D03B">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4"/>
          <w:highlight w:val="none"/>
          <w:lang w:val="en-US" w:eastAsia="zh-CN"/>
        </w:rPr>
        <w:sectPr>
          <w:pgSz w:w="11906" w:h="16838"/>
          <w:pgMar w:top="2098" w:right="1474" w:bottom="1417" w:left="1587" w:header="851" w:footer="992" w:gutter="0"/>
          <w:cols w:space="720" w:num="1"/>
          <w:docGrid w:type="lines" w:linePitch="312" w:charSpace="0"/>
        </w:sectPr>
      </w:pPr>
    </w:p>
    <w:p w14:paraId="2AB09C7A">
      <w:pPr>
        <w:pStyle w:val="2"/>
        <w:suppressLineNumbers w:val="0"/>
        <w:spacing w:before="156" w:beforeLines="50" w:beforeAutospacing="0" w:after="156" w:afterLines="50" w:afterAutospacing="0" w:line="360" w:lineRule="auto"/>
        <w:ind w:left="0" w:firstLine="0"/>
        <w:rPr>
          <w:rFonts w:hint="default" w:ascii="Times New Roman" w:hAnsi="Times New Roman" w:cs="Times New Roman" w:eastAsiaTheme="minorEastAsia"/>
          <w:b/>
          <w:bCs w:val="0"/>
          <w:sz w:val="30"/>
          <w:szCs w:val="30"/>
          <w:lang w:val="en-US" w:eastAsia="zh-CN" w:bidi="ar-SA"/>
        </w:rPr>
      </w:pPr>
      <w:bookmarkStart w:id="19" w:name="_Toc24470"/>
      <w:r>
        <w:rPr>
          <w:rFonts w:hint="default" w:ascii="Times New Roman" w:hAnsi="Times New Roman" w:cs="Times New Roman" w:eastAsiaTheme="minorEastAsia"/>
          <w:b/>
          <w:bCs w:val="0"/>
          <w:sz w:val="30"/>
          <w:szCs w:val="30"/>
          <w:lang w:val="en-US" w:eastAsia="zh-CN" w:bidi="ar-SA"/>
        </w:rPr>
        <w:t>3  基本规定</w:t>
      </w:r>
      <w:bookmarkEnd w:id="19"/>
    </w:p>
    <w:p w14:paraId="0B221908">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textAlignment w:val="auto"/>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3.</w:t>
      </w:r>
      <w:r>
        <w:rPr>
          <w:rFonts w:hint="default" w:ascii="Times New Roman" w:hAnsi="Times New Roman" w:cs="Times New Roman"/>
          <w:b/>
          <w:bCs/>
          <w:kern w:val="2"/>
          <w:sz w:val="24"/>
          <w:szCs w:val="24"/>
          <w:lang w:val="en-US" w:eastAsia="zh-CN" w:bidi="ar-SA"/>
        </w:rPr>
        <w:t>0</w:t>
      </w:r>
      <w:r>
        <w:rPr>
          <w:rFonts w:hint="default" w:ascii="Times New Roman" w:hAnsi="Times New Roman" w:eastAsia="宋体" w:cs="Times New Roman"/>
          <w:b/>
          <w:bCs/>
          <w:kern w:val="2"/>
          <w:sz w:val="24"/>
          <w:szCs w:val="24"/>
          <w:lang w:val="en-US" w:eastAsia="zh-CN" w:bidi="ar-SA"/>
        </w:rPr>
        <w:t xml:space="preserve">.1 </w:t>
      </w:r>
      <w:r>
        <w:rPr>
          <w:rFonts w:hint="default" w:ascii="Times New Roman" w:hAnsi="Times New Roman" w:cs="Times New Roman"/>
          <w:b w:val="0"/>
          <w:bCs w:val="0"/>
          <w:kern w:val="2"/>
          <w:sz w:val="24"/>
          <w:szCs w:val="24"/>
          <w:lang w:val="en-US" w:eastAsia="zh-CN" w:bidi="ar-SA"/>
        </w:rPr>
        <w:t>基坑工程鉴定适用于基坑工程安全性的鉴定。</w:t>
      </w:r>
    </w:p>
    <w:p w14:paraId="5D784902">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textAlignment w:val="auto"/>
        <w:rPr>
          <w:rFonts w:hint="default" w:ascii="Times New Roman" w:hAnsi="Times New Roman" w:eastAsia="宋体" w:cs="Times New Roman"/>
          <w:b/>
          <w:bCs/>
          <w:kern w:val="2"/>
          <w:sz w:val="24"/>
          <w:szCs w:val="24"/>
          <w:lang w:val="en-US" w:eastAsia="zh-CN" w:bidi="ar-SA"/>
        </w:rPr>
      </w:pPr>
      <w:r>
        <w:rPr>
          <w:rFonts w:hint="default" w:ascii="Times New Roman" w:hAnsi="Times New Roman" w:cs="Times New Roman"/>
          <w:b/>
          <w:bCs/>
          <w:kern w:val="2"/>
          <w:sz w:val="24"/>
          <w:szCs w:val="24"/>
          <w:lang w:val="en-US" w:eastAsia="zh-CN" w:bidi="ar-SA"/>
        </w:rPr>
        <w:t xml:space="preserve">3.0.2 </w:t>
      </w:r>
      <w:r>
        <w:rPr>
          <w:rFonts w:hint="default" w:ascii="Times New Roman" w:hAnsi="Times New Roman" w:eastAsia="宋体" w:cs="Times New Roman"/>
          <w:b w:val="0"/>
          <w:bCs w:val="0"/>
          <w:kern w:val="2"/>
          <w:sz w:val="24"/>
          <w:szCs w:val="24"/>
          <w:lang w:val="en-US" w:eastAsia="zh-CN" w:bidi="ar-SA"/>
        </w:rPr>
        <w:t>基坑工程鉴定与加固，应遵循先鉴定，</w:t>
      </w:r>
      <w:r>
        <w:rPr>
          <w:rFonts w:hint="default" w:ascii="Times New Roman" w:hAnsi="Times New Roman" w:cs="Times New Roman"/>
          <w:b w:val="0"/>
          <w:bCs w:val="0"/>
          <w:kern w:val="2"/>
          <w:sz w:val="24"/>
          <w:szCs w:val="24"/>
          <w:lang w:val="en-US" w:eastAsia="zh-CN" w:bidi="ar-SA"/>
        </w:rPr>
        <w:t>再</w:t>
      </w:r>
      <w:r>
        <w:rPr>
          <w:rFonts w:hint="default" w:ascii="Times New Roman" w:hAnsi="Times New Roman" w:eastAsia="宋体" w:cs="Times New Roman"/>
          <w:b w:val="0"/>
          <w:bCs w:val="0"/>
          <w:kern w:val="2"/>
          <w:sz w:val="24"/>
          <w:szCs w:val="24"/>
          <w:lang w:val="en-US" w:eastAsia="zh-CN" w:bidi="ar-SA"/>
        </w:rPr>
        <w:t>加固设计</w:t>
      </w:r>
      <w:r>
        <w:rPr>
          <w:rFonts w:hint="default" w:ascii="Times New Roman" w:hAnsi="Times New Roman" w:cs="Times New Roman"/>
          <w:b w:val="0"/>
          <w:bCs w:val="0"/>
          <w:kern w:val="2"/>
          <w:sz w:val="24"/>
          <w:szCs w:val="24"/>
          <w:lang w:val="en-US" w:eastAsia="zh-CN" w:bidi="ar-SA"/>
        </w:rPr>
        <w:t>，后加固</w:t>
      </w:r>
      <w:r>
        <w:rPr>
          <w:rFonts w:hint="default" w:ascii="Times New Roman" w:hAnsi="Times New Roman" w:eastAsia="宋体" w:cs="Times New Roman"/>
          <w:b w:val="0"/>
          <w:bCs w:val="0"/>
          <w:kern w:val="2"/>
          <w:sz w:val="24"/>
          <w:szCs w:val="24"/>
          <w:lang w:val="en-US" w:eastAsia="zh-CN" w:bidi="ar-SA"/>
        </w:rPr>
        <w:t>施工与验收的原则。</w:t>
      </w:r>
    </w:p>
    <w:p w14:paraId="451BAD80">
      <w:pPr>
        <w:spacing w:line="360" w:lineRule="auto"/>
        <w:rPr>
          <w:rFonts w:hint="default" w:ascii="Times New Roman" w:hAnsi="Times New Roman" w:eastAsia="楷体" w:cs="Times New Roman"/>
          <w:color w:val="auto"/>
          <w:sz w:val="24"/>
          <w:szCs w:val="28"/>
          <w:highlight w:val="none"/>
          <w:u w:val="single"/>
          <w:lang w:val="en-US" w:eastAsia="zh-CN"/>
        </w:rPr>
      </w:pPr>
      <w:r>
        <w:rPr>
          <w:rFonts w:hint="default" w:ascii="Times New Roman" w:hAnsi="Times New Roman" w:eastAsia="楷体" w:cs="Times New Roman"/>
          <w:color w:val="auto"/>
          <w:sz w:val="24"/>
          <w:szCs w:val="28"/>
          <w:highlight w:val="none"/>
          <w:u w:val="single"/>
          <w:lang w:val="zh-CN" w:eastAsia="zh-CN"/>
        </w:rPr>
        <w:t>【</w:t>
      </w:r>
      <w:r>
        <w:rPr>
          <w:rFonts w:hint="default" w:ascii="Times New Roman" w:hAnsi="Times New Roman" w:eastAsia="楷体" w:cs="Times New Roman"/>
          <w:color w:val="auto"/>
          <w:sz w:val="24"/>
          <w:szCs w:val="28"/>
          <w:highlight w:val="none"/>
          <w:u w:val="single"/>
          <w:lang w:val="en-US" w:eastAsia="zh-CN"/>
        </w:rPr>
        <w:t>条文说明</w:t>
      </w:r>
      <w:r>
        <w:rPr>
          <w:rFonts w:hint="default" w:ascii="Times New Roman" w:hAnsi="Times New Roman" w:eastAsia="楷体" w:cs="Times New Roman"/>
          <w:color w:val="auto"/>
          <w:sz w:val="24"/>
          <w:szCs w:val="28"/>
          <w:highlight w:val="none"/>
          <w:u w:val="single"/>
          <w:lang w:val="zh-CN" w:eastAsia="zh-CN"/>
        </w:rPr>
        <w:t>】</w:t>
      </w:r>
      <w:r>
        <w:rPr>
          <w:rFonts w:hint="default" w:ascii="Times New Roman" w:hAnsi="Times New Roman" w:eastAsia="楷体" w:cs="Times New Roman"/>
          <w:color w:val="auto"/>
          <w:sz w:val="24"/>
          <w:szCs w:val="28"/>
          <w:highlight w:val="none"/>
          <w:u w:val="single"/>
          <w:lang w:val="en-US" w:eastAsia="zh-CN"/>
        </w:rPr>
        <w:t>本条明确了基坑工程鉴定及加固的基本原则。基坑工程的鉴定工作为加固设计提供基础依据。在需要进行基坑工程的鉴定与加固时，应当遵循鉴定、加固设计、施工及验收的顺序依次进行。当前期房屋或构筑物勘察不能满足现有加固设计的要求，则需进行基坑工程专项勘察。</w:t>
      </w:r>
    </w:p>
    <w:p w14:paraId="300E4618">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textAlignment w:val="auto"/>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3.0.</w:t>
      </w:r>
      <w:r>
        <w:rPr>
          <w:rFonts w:hint="default" w:ascii="Times New Roman" w:hAnsi="Times New Roman" w:cs="Times New Roman"/>
          <w:b/>
          <w:bCs/>
          <w:kern w:val="2"/>
          <w:sz w:val="24"/>
          <w:szCs w:val="24"/>
          <w:lang w:val="en-US" w:eastAsia="zh-CN" w:bidi="ar-SA"/>
        </w:rPr>
        <w:t xml:space="preserve">3 </w:t>
      </w:r>
      <w:r>
        <w:rPr>
          <w:rFonts w:hint="default" w:ascii="Times New Roman" w:hAnsi="Times New Roman" w:eastAsia="宋体" w:cs="Times New Roman"/>
          <w:sz w:val="24"/>
          <w:szCs w:val="24"/>
          <w:lang w:val="en-US" w:eastAsia="zh-CN"/>
        </w:rPr>
        <w:t>基坑工程</w:t>
      </w:r>
      <w:r>
        <w:rPr>
          <w:rFonts w:hint="default" w:ascii="Times New Roman" w:hAnsi="Times New Roman" w:eastAsia="宋体" w:cs="Times New Roman"/>
          <w:b w:val="0"/>
          <w:bCs w:val="0"/>
          <w:kern w:val="2"/>
          <w:sz w:val="24"/>
          <w:szCs w:val="24"/>
          <w:highlight w:val="none"/>
          <w:lang w:val="en-US" w:eastAsia="zh-CN" w:bidi="ar-SA"/>
        </w:rPr>
        <w:t>鉴定应依据基坑的稳定性、支护结构的承载能力、变形情况，以及地表水和地下水的控制效果是否能够确保地下结构施工空间及安全，</w:t>
      </w:r>
      <w:r>
        <w:rPr>
          <w:rFonts w:hint="default" w:ascii="Times New Roman" w:hAnsi="Times New Roman" w:cs="Times New Roman"/>
          <w:b w:val="0"/>
          <w:bCs w:val="0"/>
          <w:kern w:val="2"/>
          <w:sz w:val="24"/>
          <w:szCs w:val="24"/>
          <w:highlight w:val="none"/>
          <w:lang w:val="en-US" w:eastAsia="zh-CN" w:bidi="ar-SA"/>
        </w:rPr>
        <w:t>并应</w:t>
      </w:r>
      <w:r>
        <w:rPr>
          <w:rFonts w:hint="default" w:ascii="Times New Roman" w:hAnsi="Times New Roman" w:eastAsia="宋体" w:cs="Times New Roman"/>
          <w:b w:val="0"/>
          <w:bCs w:val="0"/>
          <w:kern w:val="2"/>
          <w:sz w:val="24"/>
          <w:szCs w:val="24"/>
          <w:highlight w:val="none"/>
          <w:lang w:val="en-US" w:eastAsia="zh-CN" w:bidi="ar-SA"/>
        </w:rPr>
        <w:t>考虑其对周边环境安全及正常使用的影响等开展分析和评价。</w:t>
      </w:r>
    </w:p>
    <w:p w14:paraId="6373567C">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textAlignment w:val="auto"/>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3.</w:t>
      </w:r>
      <w:r>
        <w:rPr>
          <w:rFonts w:hint="default" w:ascii="Times New Roman" w:hAnsi="Times New Roman" w:cs="Times New Roman"/>
          <w:b/>
          <w:bCs/>
          <w:kern w:val="2"/>
          <w:sz w:val="24"/>
          <w:szCs w:val="24"/>
          <w:lang w:val="en-US" w:eastAsia="zh-CN" w:bidi="ar-SA"/>
        </w:rPr>
        <w:t>0</w:t>
      </w:r>
      <w:r>
        <w:rPr>
          <w:rFonts w:hint="default" w:ascii="Times New Roman" w:hAnsi="Times New Roman" w:eastAsia="宋体" w:cs="Times New Roman"/>
          <w:b/>
          <w:bCs/>
          <w:kern w:val="2"/>
          <w:sz w:val="24"/>
          <w:szCs w:val="24"/>
          <w:lang w:val="en-US" w:eastAsia="zh-CN" w:bidi="ar-SA"/>
        </w:rPr>
        <w:t>.</w:t>
      </w:r>
      <w:r>
        <w:rPr>
          <w:rFonts w:hint="default" w:ascii="Times New Roman" w:hAnsi="Times New Roman" w:cs="Times New Roman"/>
          <w:b/>
          <w:bCs/>
          <w:kern w:val="2"/>
          <w:sz w:val="24"/>
          <w:szCs w:val="24"/>
          <w:lang w:val="en-US" w:eastAsia="zh-CN" w:bidi="ar-SA"/>
        </w:rPr>
        <w:t>4</w:t>
      </w:r>
      <w:r>
        <w:rPr>
          <w:rFonts w:hint="default" w:ascii="Times New Roman" w:hAnsi="Times New Roman" w:eastAsia="宋体" w:cs="Times New Roman"/>
          <w:b/>
          <w:bCs/>
          <w:kern w:val="2"/>
          <w:sz w:val="24"/>
          <w:szCs w:val="24"/>
          <w:lang w:val="en-US" w:eastAsia="zh-CN" w:bidi="ar-SA"/>
        </w:rPr>
        <w:t xml:space="preserve"> </w:t>
      </w:r>
      <w:r>
        <w:rPr>
          <w:rFonts w:hint="default" w:ascii="Times New Roman" w:hAnsi="Times New Roman" w:eastAsia="宋体" w:cs="Times New Roman"/>
          <w:b w:val="0"/>
          <w:bCs w:val="0"/>
          <w:kern w:val="2"/>
          <w:sz w:val="24"/>
          <w:szCs w:val="24"/>
          <w:lang w:val="en-US" w:eastAsia="zh-CN" w:bidi="ar-SA"/>
        </w:rPr>
        <w:t>基坑工程鉴定时，应</w:t>
      </w:r>
      <w:r>
        <w:rPr>
          <w:rFonts w:hint="default" w:ascii="Times New Roman" w:hAnsi="Times New Roman" w:cs="Times New Roman"/>
          <w:b w:val="0"/>
          <w:bCs w:val="0"/>
          <w:kern w:val="2"/>
          <w:sz w:val="24"/>
          <w:szCs w:val="24"/>
          <w:lang w:val="en-US" w:eastAsia="zh-CN" w:bidi="ar-SA"/>
        </w:rPr>
        <w:t>依据</w:t>
      </w:r>
      <w:r>
        <w:rPr>
          <w:rFonts w:hint="default" w:ascii="Times New Roman" w:hAnsi="Times New Roman" w:eastAsia="宋体" w:cs="Times New Roman"/>
          <w:b w:val="0"/>
          <w:bCs w:val="0"/>
          <w:kern w:val="2"/>
          <w:sz w:val="24"/>
          <w:szCs w:val="24"/>
          <w:lang w:val="en-US" w:eastAsia="zh-CN" w:bidi="ar-SA"/>
        </w:rPr>
        <w:t>基坑周边环境条件、基坑使用要求、岩土参数、地表水和地下水</w:t>
      </w:r>
      <w:r>
        <w:rPr>
          <w:rFonts w:hint="default" w:ascii="Times New Roman" w:hAnsi="Times New Roman" w:cs="Times New Roman"/>
          <w:b w:val="0"/>
          <w:bCs w:val="0"/>
          <w:kern w:val="2"/>
          <w:sz w:val="24"/>
          <w:szCs w:val="24"/>
          <w:lang w:val="en-US" w:eastAsia="zh-CN" w:bidi="ar-SA"/>
        </w:rPr>
        <w:t>的</w:t>
      </w:r>
      <w:r>
        <w:rPr>
          <w:rFonts w:hint="default" w:ascii="Times New Roman" w:hAnsi="Times New Roman" w:eastAsia="宋体" w:cs="Times New Roman"/>
          <w:b w:val="0"/>
          <w:bCs w:val="0"/>
          <w:kern w:val="2"/>
          <w:sz w:val="24"/>
          <w:szCs w:val="24"/>
          <w:lang w:val="en-US" w:eastAsia="zh-CN" w:bidi="ar-SA"/>
        </w:rPr>
        <w:t>控制效果、基坑周边</w:t>
      </w:r>
      <w:r>
        <w:rPr>
          <w:rFonts w:hint="default" w:ascii="Times New Roman" w:hAnsi="Times New Roman" w:cs="Times New Roman"/>
          <w:b w:val="0"/>
          <w:bCs w:val="0"/>
          <w:kern w:val="2"/>
          <w:sz w:val="24"/>
          <w:szCs w:val="24"/>
          <w:lang w:val="en-US" w:eastAsia="zh-CN" w:bidi="ar-SA"/>
        </w:rPr>
        <w:t>施工</w:t>
      </w:r>
      <w:r>
        <w:rPr>
          <w:rFonts w:hint="default" w:ascii="Times New Roman" w:hAnsi="Times New Roman" w:eastAsia="宋体" w:cs="Times New Roman"/>
          <w:b w:val="0"/>
          <w:bCs w:val="0"/>
          <w:kern w:val="2"/>
          <w:sz w:val="24"/>
          <w:szCs w:val="24"/>
          <w:lang w:val="en-US" w:eastAsia="zh-CN" w:bidi="ar-SA"/>
        </w:rPr>
        <w:t>荷载</w:t>
      </w:r>
      <w:r>
        <w:rPr>
          <w:rFonts w:hint="default" w:ascii="Times New Roman" w:hAnsi="Times New Roman" w:cs="Times New Roman"/>
          <w:b w:val="0"/>
          <w:bCs w:val="0"/>
          <w:kern w:val="2"/>
          <w:sz w:val="24"/>
          <w:szCs w:val="24"/>
          <w:lang w:val="en-US" w:eastAsia="zh-CN" w:bidi="ar-SA"/>
        </w:rPr>
        <w:t>及施工质量等</w:t>
      </w:r>
      <w:r>
        <w:rPr>
          <w:rFonts w:hint="default" w:ascii="Times New Roman" w:hAnsi="Times New Roman" w:eastAsia="宋体" w:cs="Times New Roman"/>
          <w:b w:val="0"/>
          <w:bCs w:val="0"/>
          <w:kern w:val="2"/>
          <w:sz w:val="24"/>
          <w:szCs w:val="24"/>
          <w:lang w:val="en-US" w:eastAsia="zh-CN" w:bidi="ar-SA"/>
        </w:rPr>
        <w:t>在基坑施工与使用期间的变化</w:t>
      </w:r>
      <w:r>
        <w:rPr>
          <w:rFonts w:hint="default" w:ascii="Times New Roman" w:hAnsi="Times New Roman" w:cs="Times New Roman"/>
          <w:b w:val="0"/>
          <w:bCs w:val="0"/>
          <w:kern w:val="2"/>
          <w:sz w:val="24"/>
          <w:szCs w:val="24"/>
          <w:lang w:val="en-US" w:eastAsia="zh-CN" w:bidi="ar-SA"/>
        </w:rPr>
        <w:t>等资料；</w:t>
      </w:r>
      <w:r>
        <w:rPr>
          <w:rFonts w:hint="default" w:ascii="Times New Roman" w:hAnsi="Times New Roman" w:eastAsia="宋体" w:cs="Times New Roman"/>
          <w:b w:val="0"/>
          <w:bCs w:val="0"/>
          <w:kern w:val="2"/>
          <w:sz w:val="24"/>
          <w:szCs w:val="24"/>
          <w:lang w:val="en-US" w:eastAsia="zh-CN" w:bidi="ar-SA"/>
        </w:rPr>
        <w:t>当</w:t>
      </w:r>
      <w:r>
        <w:rPr>
          <w:rFonts w:hint="default" w:ascii="Times New Roman" w:hAnsi="Times New Roman" w:cs="Times New Roman"/>
          <w:b w:val="0"/>
          <w:bCs w:val="0"/>
          <w:kern w:val="2"/>
          <w:sz w:val="24"/>
          <w:szCs w:val="24"/>
          <w:lang w:val="en-US" w:eastAsia="zh-CN" w:bidi="ar-SA"/>
        </w:rPr>
        <w:t>现有</w:t>
      </w:r>
      <w:r>
        <w:rPr>
          <w:rFonts w:hint="default" w:ascii="Times New Roman" w:hAnsi="Times New Roman" w:eastAsia="宋体" w:cs="Times New Roman"/>
          <w:b w:val="0"/>
          <w:bCs w:val="0"/>
          <w:kern w:val="2"/>
          <w:sz w:val="24"/>
          <w:szCs w:val="24"/>
          <w:lang w:val="en-US" w:eastAsia="zh-CN" w:bidi="ar-SA"/>
        </w:rPr>
        <w:t>资料</w:t>
      </w:r>
      <w:r>
        <w:rPr>
          <w:rFonts w:hint="default" w:ascii="Times New Roman" w:hAnsi="Times New Roman" w:cs="Times New Roman"/>
          <w:b w:val="0"/>
          <w:bCs w:val="0"/>
          <w:kern w:val="2"/>
          <w:sz w:val="24"/>
          <w:szCs w:val="24"/>
          <w:lang w:val="en-US" w:eastAsia="zh-CN" w:bidi="ar-SA"/>
        </w:rPr>
        <w:t>不足，无法</w:t>
      </w:r>
      <w:r>
        <w:rPr>
          <w:rFonts w:hint="default" w:ascii="Times New Roman" w:hAnsi="Times New Roman" w:eastAsia="宋体" w:cs="Times New Roman"/>
          <w:b w:val="0"/>
          <w:bCs w:val="0"/>
          <w:kern w:val="2"/>
          <w:sz w:val="24"/>
          <w:szCs w:val="24"/>
          <w:lang w:val="en-US" w:eastAsia="zh-CN" w:bidi="ar-SA"/>
        </w:rPr>
        <w:t>满足基坑鉴定需要时，应及时</w:t>
      </w:r>
      <w:r>
        <w:rPr>
          <w:rFonts w:hint="default" w:ascii="Times New Roman" w:hAnsi="Times New Roman" w:cs="Times New Roman"/>
          <w:b w:val="0"/>
          <w:bCs w:val="0"/>
          <w:kern w:val="2"/>
          <w:sz w:val="24"/>
          <w:szCs w:val="24"/>
          <w:lang w:val="en-US" w:eastAsia="zh-CN" w:bidi="ar-SA"/>
        </w:rPr>
        <w:t>进行补充和完善</w:t>
      </w:r>
      <w:r>
        <w:rPr>
          <w:rFonts w:hint="default" w:ascii="Times New Roman" w:hAnsi="Times New Roman" w:eastAsia="宋体" w:cs="Times New Roman"/>
          <w:b w:val="0"/>
          <w:bCs w:val="0"/>
          <w:kern w:val="2"/>
          <w:sz w:val="24"/>
          <w:szCs w:val="24"/>
          <w:lang w:val="en-US" w:eastAsia="zh-CN" w:bidi="ar-SA"/>
        </w:rPr>
        <w:t>。</w:t>
      </w:r>
    </w:p>
    <w:p w14:paraId="2E991122">
      <w:pPr>
        <w:spacing w:line="360" w:lineRule="auto"/>
        <w:rPr>
          <w:rFonts w:hint="default" w:ascii="Times New Roman" w:hAnsi="Times New Roman" w:eastAsia="楷体" w:cs="Times New Roman"/>
          <w:sz w:val="24"/>
          <w:szCs w:val="28"/>
          <w:u w:val="single"/>
          <w:lang w:val="zh-CN" w:eastAsia="zh-CN"/>
        </w:rPr>
      </w:pPr>
      <w:r>
        <w:rPr>
          <w:rFonts w:hint="default" w:ascii="Times New Roman" w:hAnsi="Times New Roman" w:eastAsia="楷体" w:cs="Times New Roman"/>
          <w:sz w:val="24"/>
          <w:szCs w:val="28"/>
          <w:u w:val="single"/>
          <w:lang w:val="zh-CN" w:eastAsia="zh-CN"/>
        </w:rPr>
        <w:t>【</w:t>
      </w:r>
      <w:r>
        <w:rPr>
          <w:rFonts w:hint="default" w:ascii="Times New Roman" w:hAnsi="Times New Roman" w:eastAsia="楷体" w:cs="Times New Roman"/>
          <w:sz w:val="24"/>
          <w:szCs w:val="28"/>
          <w:u w:val="single"/>
          <w:lang w:val="en-US" w:eastAsia="zh-CN"/>
        </w:rPr>
        <w:t>条文说明</w:t>
      </w:r>
      <w:r>
        <w:rPr>
          <w:rFonts w:hint="default" w:ascii="Times New Roman" w:hAnsi="Times New Roman" w:eastAsia="楷体" w:cs="Times New Roman"/>
          <w:sz w:val="24"/>
          <w:szCs w:val="28"/>
          <w:u w:val="single"/>
          <w:lang w:val="zh-CN" w:eastAsia="zh-CN"/>
        </w:rPr>
        <w:t>】本条明确了基坑鉴定所需资料的要求。相应地，本标准后续条</w:t>
      </w:r>
      <w:r>
        <w:rPr>
          <w:rFonts w:hint="default" w:ascii="Times New Roman" w:hAnsi="Times New Roman" w:eastAsia="楷体" w:cs="Times New Roman"/>
          <w:sz w:val="24"/>
          <w:szCs w:val="28"/>
          <w:u w:val="single"/>
          <w:lang w:val="en-US" w:eastAsia="zh-CN"/>
        </w:rPr>
        <w:t>文</w:t>
      </w:r>
      <w:r>
        <w:rPr>
          <w:rFonts w:hint="default" w:ascii="Times New Roman" w:hAnsi="Times New Roman" w:eastAsia="楷体" w:cs="Times New Roman"/>
          <w:sz w:val="24"/>
          <w:szCs w:val="28"/>
          <w:u w:val="single"/>
          <w:lang w:val="zh-CN" w:eastAsia="zh-CN"/>
        </w:rPr>
        <w:t>规定，必须通过现场调查和检验工作对收集到的基坑工程的岩土勘察、设计、施工、检测、监测等资料进行复核与验证，以确定其是否可作为鉴定依据。在基坑工程鉴定过程中，发现现有资料不足或不精确，无法满足基坑鉴定与加固设计的需求</w:t>
      </w:r>
      <w:r>
        <w:rPr>
          <w:rFonts w:hint="default" w:ascii="Times New Roman" w:hAnsi="Times New Roman" w:eastAsia="楷体" w:cs="Times New Roman"/>
          <w:sz w:val="24"/>
          <w:szCs w:val="28"/>
          <w:u w:val="single"/>
          <w:lang w:val="en-US" w:eastAsia="zh-CN"/>
        </w:rPr>
        <w:t>时</w:t>
      </w:r>
      <w:r>
        <w:rPr>
          <w:rFonts w:hint="default" w:ascii="Times New Roman" w:hAnsi="Times New Roman" w:eastAsia="楷体" w:cs="Times New Roman"/>
          <w:sz w:val="24"/>
          <w:szCs w:val="28"/>
          <w:u w:val="single"/>
          <w:lang w:val="zh-CN" w:eastAsia="zh-CN"/>
        </w:rPr>
        <w:t>，应立即进行补充和完善。</w:t>
      </w:r>
    </w:p>
    <w:p w14:paraId="3E1CCC14">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textAlignment w:val="auto"/>
        <w:rPr>
          <w:rFonts w:hint="default" w:ascii="Times New Roman" w:hAnsi="Times New Roman" w:eastAsia="宋体" w:cs="Times New Roman"/>
          <w:b w:val="0"/>
          <w:bCs w:val="0"/>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3.</w:t>
      </w:r>
      <w:r>
        <w:rPr>
          <w:rFonts w:hint="default" w:ascii="Times New Roman" w:hAnsi="Times New Roman" w:cs="Times New Roman"/>
          <w:b/>
          <w:bCs/>
          <w:kern w:val="2"/>
          <w:sz w:val="24"/>
          <w:szCs w:val="24"/>
          <w:highlight w:val="none"/>
          <w:lang w:val="en-US" w:eastAsia="zh-CN" w:bidi="ar-SA"/>
        </w:rPr>
        <w:t>0</w:t>
      </w:r>
      <w:r>
        <w:rPr>
          <w:rFonts w:hint="default" w:ascii="Times New Roman" w:hAnsi="Times New Roman" w:eastAsia="宋体" w:cs="Times New Roman"/>
          <w:b/>
          <w:bCs/>
          <w:kern w:val="2"/>
          <w:sz w:val="24"/>
          <w:szCs w:val="24"/>
          <w:highlight w:val="none"/>
          <w:lang w:val="en-US" w:eastAsia="zh-CN" w:bidi="ar-SA"/>
        </w:rPr>
        <w:t>.</w:t>
      </w:r>
      <w:r>
        <w:rPr>
          <w:rFonts w:hint="default" w:ascii="Times New Roman" w:hAnsi="Times New Roman" w:cs="Times New Roman"/>
          <w:b/>
          <w:bCs/>
          <w:kern w:val="2"/>
          <w:sz w:val="24"/>
          <w:szCs w:val="24"/>
          <w:highlight w:val="none"/>
          <w:lang w:val="en-US" w:eastAsia="zh-CN" w:bidi="ar-SA"/>
        </w:rPr>
        <w:t>5</w:t>
      </w:r>
      <w:r>
        <w:rPr>
          <w:rFonts w:hint="default" w:ascii="Times New Roman" w:hAnsi="Times New Roman" w:eastAsia="宋体" w:cs="Times New Roman"/>
          <w:b/>
          <w:bCs/>
          <w:kern w:val="2"/>
          <w:sz w:val="24"/>
          <w:szCs w:val="24"/>
          <w:highlight w:val="none"/>
          <w:lang w:val="en-US" w:eastAsia="zh-CN" w:bidi="ar-SA"/>
        </w:rPr>
        <w:t xml:space="preserve"> </w:t>
      </w:r>
      <w:r>
        <w:rPr>
          <w:rFonts w:hint="default" w:ascii="Times New Roman" w:hAnsi="Times New Roman" w:eastAsia="宋体" w:cs="Times New Roman"/>
          <w:b w:val="0"/>
          <w:bCs w:val="0"/>
          <w:kern w:val="2"/>
          <w:sz w:val="24"/>
          <w:szCs w:val="24"/>
          <w:highlight w:val="none"/>
          <w:lang w:val="en-US" w:eastAsia="zh-CN" w:bidi="ar-SA"/>
        </w:rPr>
        <w:t>基坑工程</w:t>
      </w:r>
      <w:r>
        <w:rPr>
          <w:rFonts w:hint="default" w:ascii="Times New Roman" w:hAnsi="Times New Roman" w:cs="Times New Roman"/>
          <w:b w:val="0"/>
          <w:bCs w:val="0"/>
          <w:kern w:val="2"/>
          <w:sz w:val="24"/>
          <w:szCs w:val="24"/>
          <w:highlight w:val="none"/>
          <w:lang w:val="en-US" w:eastAsia="zh-CN" w:bidi="ar-SA"/>
        </w:rPr>
        <w:t>加固</w:t>
      </w:r>
      <w:r>
        <w:rPr>
          <w:rFonts w:hint="default" w:ascii="Times New Roman" w:hAnsi="Times New Roman" w:eastAsia="宋体" w:cs="Times New Roman"/>
          <w:b w:val="0"/>
          <w:bCs w:val="0"/>
          <w:kern w:val="2"/>
          <w:sz w:val="24"/>
          <w:szCs w:val="24"/>
          <w:highlight w:val="none"/>
          <w:lang w:val="en-US" w:eastAsia="zh-CN" w:bidi="ar-SA"/>
        </w:rPr>
        <w:t>应根据场地地质条件、周边环境的变形控制要求以及土方开挖的方式等情况进行设计。</w:t>
      </w:r>
    </w:p>
    <w:p w14:paraId="4FBCE6B3">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textAlignment w:val="auto"/>
        <w:rPr>
          <w:rFonts w:hint="default" w:ascii="Times New Roman" w:hAnsi="Times New Roman" w:eastAsia="宋体" w:cs="Times New Roman"/>
          <w:b w:val="0"/>
          <w:bCs w:val="0"/>
          <w:kern w:val="2"/>
          <w:sz w:val="24"/>
          <w:szCs w:val="24"/>
          <w:highlight w:val="none"/>
          <w:lang w:val="en-US" w:eastAsia="zh-CN" w:bidi="ar-SA"/>
        </w:rPr>
      </w:pPr>
      <w:r>
        <w:rPr>
          <w:rFonts w:hint="default" w:ascii="Times New Roman" w:hAnsi="Times New Roman" w:cs="Times New Roman"/>
          <w:b/>
          <w:bCs/>
          <w:kern w:val="2"/>
          <w:sz w:val="24"/>
          <w:szCs w:val="24"/>
          <w:highlight w:val="none"/>
          <w:lang w:val="en-US" w:eastAsia="zh-CN" w:bidi="ar-SA"/>
        </w:rPr>
        <w:t>3.0.6</w:t>
      </w:r>
      <w:r>
        <w:rPr>
          <w:rFonts w:hint="default" w:ascii="Times New Roman" w:hAnsi="Times New Roman" w:cs="Times New Roman"/>
          <w:b w:val="0"/>
          <w:bCs w:val="0"/>
          <w:kern w:val="2"/>
          <w:sz w:val="24"/>
          <w:szCs w:val="24"/>
          <w:highlight w:val="none"/>
          <w:lang w:val="en-US" w:eastAsia="zh-CN" w:bidi="ar-SA"/>
        </w:rPr>
        <w:t xml:space="preserve"> 对出现较大变形或发现危险征</w:t>
      </w:r>
      <w:r>
        <w:rPr>
          <w:rFonts w:hint="default" w:ascii="Times New Roman" w:hAnsi="Times New Roman" w:eastAsia="宋体" w:cs="Times New Roman"/>
          <w:b w:val="0"/>
          <w:bCs w:val="0"/>
          <w:kern w:val="2"/>
          <w:sz w:val="24"/>
          <w:szCs w:val="24"/>
          <w:highlight w:val="none"/>
          <w:lang w:val="en-US" w:eastAsia="zh-CN" w:bidi="ar-SA"/>
        </w:rPr>
        <w:t>兆的基坑工程，应先采取回填</w:t>
      </w:r>
      <w:r>
        <w:rPr>
          <w:rFonts w:hint="default" w:ascii="Times New Roman" w:hAnsi="Times New Roman" w:cs="Times New Roman"/>
          <w:b w:val="0"/>
          <w:bCs w:val="0"/>
          <w:kern w:val="2"/>
          <w:sz w:val="24"/>
          <w:szCs w:val="24"/>
          <w:highlight w:val="none"/>
          <w:lang w:val="en-US" w:eastAsia="zh-CN" w:bidi="ar-SA"/>
        </w:rPr>
        <w:t>反压</w:t>
      </w:r>
      <w:r>
        <w:rPr>
          <w:rFonts w:hint="default" w:ascii="Times New Roman" w:hAnsi="Times New Roman" w:eastAsia="宋体" w:cs="Times New Roman"/>
          <w:b w:val="0"/>
          <w:bCs w:val="0"/>
          <w:kern w:val="2"/>
          <w:sz w:val="24"/>
          <w:szCs w:val="24"/>
          <w:highlight w:val="none"/>
          <w:lang w:val="en-US" w:eastAsia="zh-CN" w:bidi="ar-SA"/>
        </w:rPr>
        <w:t>、临时性加固及其他有效、安全的应急处治措施，并加强基坑变形监测。</w:t>
      </w:r>
    </w:p>
    <w:p w14:paraId="3EAD62C3">
      <w:pPr>
        <w:pageBreakBefore w:val="0"/>
        <w:kinsoku/>
        <w:wordWrap/>
        <w:overflowPunct/>
        <w:topLinePunct w:val="0"/>
        <w:autoSpaceDE w:val="0"/>
        <w:autoSpaceDN w:val="0"/>
        <w:bidi w:val="0"/>
        <w:adjustRightInd w:val="0"/>
        <w:snapToGrid w:val="0"/>
        <w:spacing w:line="360" w:lineRule="auto"/>
        <w:ind w:left="0" w:leftChars="0"/>
        <w:rPr>
          <w:rFonts w:hint="default" w:ascii="Times New Roman" w:hAnsi="Times New Roman" w:eastAsia="楷体" w:cs="Times New Roman"/>
          <w:sz w:val="24"/>
          <w:szCs w:val="28"/>
          <w:highlight w:val="none"/>
          <w:u w:val="single"/>
          <w:lang w:val="en-US" w:eastAsia="zh-CN"/>
        </w:rPr>
      </w:pPr>
      <w:r>
        <w:rPr>
          <w:rFonts w:hint="default" w:ascii="Times New Roman" w:hAnsi="Times New Roman" w:eastAsia="楷体" w:cs="Times New Roman"/>
          <w:sz w:val="24"/>
          <w:szCs w:val="28"/>
          <w:highlight w:val="none"/>
          <w:u w:val="single"/>
          <w:lang w:val="en-US" w:eastAsia="zh-CN"/>
        </w:rPr>
        <w:t>【条文说明】本条为基坑工程鉴定、加固施工过程中安全保证措施。当既有基坑已发</w:t>
      </w:r>
    </w:p>
    <w:p w14:paraId="012228EE">
      <w:pPr>
        <w:pageBreakBefore w:val="0"/>
        <w:kinsoku/>
        <w:wordWrap/>
        <w:overflowPunct/>
        <w:topLinePunct w:val="0"/>
        <w:autoSpaceDE w:val="0"/>
        <w:autoSpaceDN w:val="0"/>
        <w:bidi w:val="0"/>
        <w:adjustRightInd w:val="0"/>
        <w:snapToGrid w:val="0"/>
        <w:spacing w:line="360" w:lineRule="auto"/>
        <w:ind w:left="0" w:leftChars="0"/>
        <w:rPr>
          <w:rFonts w:hint="default" w:ascii="Times New Roman" w:hAnsi="Times New Roman" w:eastAsia="楷体" w:cs="Times New Roman"/>
          <w:sz w:val="24"/>
          <w:szCs w:val="28"/>
          <w:highlight w:val="none"/>
          <w:u w:val="single"/>
          <w:lang w:val="en-US" w:eastAsia="zh-CN"/>
        </w:rPr>
      </w:pPr>
      <w:r>
        <w:rPr>
          <w:rFonts w:hint="default" w:ascii="Times New Roman" w:hAnsi="Times New Roman" w:eastAsia="楷体" w:cs="Times New Roman"/>
          <w:sz w:val="24"/>
          <w:szCs w:val="28"/>
          <w:highlight w:val="none"/>
          <w:u w:val="single"/>
          <w:lang w:val="en-US" w:eastAsia="zh-CN"/>
        </w:rPr>
        <w:t>生较大的变形，原支护结构出现破坏迹象时，如支护结构的位移、内力，基坑周边建</w:t>
      </w:r>
    </w:p>
    <w:p w14:paraId="24E7FBC3">
      <w:pPr>
        <w:pageBreakBefore w:val="0"/>
        <w:kinsoku/>
        <w:wordWrap/>
        <w:overflowPunct/>
        <w:topLinePunct w:val="0"/>
        <w:autoSpaceDE w:val="0"/>
        <w:autoSpaceDN w:val="0"/>
        <w:bidi w:val="0"/>
        <w:adjustRightInd w:val="0"/>
        <w:snapToGrid w:val="0"/>
        <w:spacing w:line="360" w:lineRule="auto"/>
        <w:ind w:left="0" w:leftChars="0"/>
        <w:rPr>
          <w:rFonts w:hint="default" w:ascii="Times New Roman" w:hAnsi="Times New Roman" w:eastAsia="楷体" w:cs="Times New Roman"/>
          <w:sz w:val="24"/>
          <w:szCs w:val="28"/>
          <w:highlight w:val="none"/>
          <w:u w:val="single"/>
          <w:lang w:val="en-US" w:eastAsia="zh-CN"/>
        </w:rPr>
      </w:pPr>
      <w:r>
        <w:rPr>
          <w:rFonts w:hint="default" w:ascii="Times New Roman" w:hAnsi="Times New Roman" w:eastAsia="楷体" w:cs="Times New Roman"/>
          <w:sz w:val="24"/>
          <w:szCs w:val="28"/>
          <w:highlight w:val="none"/>
          <w:u w:val="single"/>
          <w:lang w:val="en-US" w:eastAsia="zh-CN"/>
        </w:rPr>
        <w:t>（构）筑物、地下管线、道路的变形等监测值超过预警值，支护结构构件出现影响整</w:t>
      </w:r>
    </w:p>
    <w:p w14:paraId="245C83A6">
      <w:pPr>
        <w:pageBreakBefore w:val="0"/>
        <w:kinsoku/>
        <w:wordWrap/>
        <w:overflowPunct/>
        <w:topLinePunct w:val="0"/>
        <w:autoSpaceDE w:val="0"/>
        <w:autoSpaceDN w:val="0"/>
        <w:bidi w:val="0"/>
        <w:adjustRightInd w:val="0"/>
        <w:snapToGrid w:val="0"/>
        <w:spacing w:line="360" w:lineRule="auto"/>
        <w:ind w:left="0" w:leftChars="0"/>
        <w:rPr>
          <w:rFonts w:hint="default" w:ascii="Times New Roman" w:hAnsi="Times New Roman" w:eastAsia="楷体" w:cs="Times New Roman"/>
          <w:sz w:val="24"/>
          <w:szCs w:val="28"/>
          <w:highlight w:val="none"/>
          <w:u w:val="single"/>
          <w:lang w:val="en-US" w:eastAsia="zh-CN"/>
        </w:rPr>
      </w:pPr>
      <w:r>
        <w:rPr>
          <w:rFonts w:hint="default" w:ascii="Times New Roman" w:hAnsi="Times New Roman" w:eastAsia="楷体" w:cs="Times New Roman"/>
          <w:sz w:val="24"/>
          <w:szCs w:val="28"/>
          <w:highlight w:val="none"/>
          <w:u w:val="single"/>
          <w:lang w:val="en-US" w:eastAsia="zh-CN"/>
        </w:rPr>
        <w:t>体结构安全性的损坏、基坑出现局部坍塌，基坑出现流土、管涌现象，应当先采取回</w:t>
      </w:r>
    </w:p>
    <w:p w14:paraId="398E1F6C">
      <w:pPr>
        <w:pageBreakBefore w:val="0"/>
        <w:kinsoku/>
        <w:wordWrap/>
        <w:overflowPunct/>
        <w:topLinePunct w:val="0"/>
        <w:autoSpaceDE w:val="0"/>
        <w:autoSpaceDN w:val="0"/>
        <w:bidi w:val="0"/>
        <w:adjustRightInd w:val="0"/>
        <w:snapToGrid w:val="0"/>
        <w:spacing w:line="360" w:lineRule="auto"/>
        <w:ind w:left="0" w:leftChars="0"/>
        <w:rPr>
          <w:rFonts w:hint="default" w:ascii="Times New Roman" w:hAnsi="Times New Roman" w:eastAsia="楷体" w:cs="Times New Roman"/>
          <w:sz w:val="24"/>
          <w:szCs w:val="28"/>
          <w:highlight w:val="none"/>
          <w:u w:val="single"/>
          <w:lang w:val="en-US" w:eastAsia="zh-CN"/>
        </w:rPr>
      </w:pPr>
      <w:r>
        <w:rPr>
          <w:rFonts w:hint="default" w:ascii="Times New Roman" w:hAnsi="Times New Roman" w:eastAsia="楷体" w:cs="Times New Roman"/>
          <w:sz w:val="24"/>
          <w:szCs w:val="28"/>
          <w:highlight w:val="none"/>
          <w:u w:val="single"/>
          <w:lang w:val="en-US" w:eastAsia="zh-CN"/>
        </w:rPr>
        <w:t>填、临时性预加固、加强监测等应急处置措施，首先考虑保证基坑稳定，保证鉴定与</w:t>
      </w:r>
    </w:p>
    <w:p w14:paraId="148E2F12">
      <w:pPr>
        <w:pageBreakBefore w:val="0"/>
        <w:kinsoku/>
        <w:wordWrap/>
        <w:overflowPunct/>
        <w:topLinePunct w:val="0"/>
        <w:autoSpaceDE w:val="0"/>
        <w:autoSpaceDN w:val="0"/>
        <w:bidi w:val="0"/>
        <w:adjustRightInd w:val="0"/>
        <w:snapToGrid w:val="0"/>
        <w:spacing w:line="360" w:lineRule="auto"/>
        <w:ind w:left="0" w:leftChars="0"/>
        <w:rPr>
          <w:rFonts w:hint="default" w:ascii="Times New Roman" w:hAnsi="Times New Roman" w:eastAsia="楷体" w:cs="Times New Roman"/>
          <w:sz w:val="24"/>
          <w:szCs w:val="28"/>
          <w:highlight w:val="none"/>
          <w:u w:val="single"/>
          <w:lang w:val="en-US" w:eastAsia="zh-CN"/>
        </w:rPr>
      </w:pPr>
      <w:r>
        <w:rPr>
          <w:rFonts w:hint="default" w:ascii="Times New Roman" w:hAnsi="Times New Roman" w:eastAsia="楷体" w:cs="Times New Roman"/>
          <w:sz w:val="24"/>
          <w:szCs w:val="28"/>
          <w:highlight w:val="none"/>
          <w:u w:val="single"/>
          <w:lang w:val="en-US" w:eastAsia="zh-CN"/>
        </w:rPr>
        <w:t>加固过程中作业安全，避免因现场鉴定作业或加固施工扰动进一步降低原基坑工程的</w:t>
      </w:r>
    </w:p>
    <w:p w14:paraId="0DBC10F9">
      <w:pPr>
        <w:pageBreakBefore w:val="0"/>
        <w:kinsoku/>
        <w:wordWrap/>
        <w:overflowPunct/>
        <w:topLinePunct w:val="0"/>
        <w:autoSpaceDE w:val="0"/>
        <w:autoSpaceDN w:val="0"/>
        <w:bidi w:val="0"/>
        <w:adjustRightInd w:val="0"/>
        <w:snapToGrid w:val="0"/>
        <w:spacing w:line="360" w:lineRule="auto"/>
        <w:ind w:left="0" w:leftChars="0"/>
        <w:rPr>
          <w:rFonts w:hint="default" w:ascii="Times New Roman" w:hAnsi="Times New Roman" w:eastAsia="楷体" w:cs="Times New Roman"/>
          <w:sz w:val="24"/>
          <w:szCs w:val="28"/>
          <w:highlight w:val="none"/>
          <w:u w:val="single"/>
          <w:lang w:val="en-US" w:eastAsia="zh-CN"/>
        </w:rPr>
      </w:pPr>
      <w:r>
        <w:rPr>
          <w:rFonts w:hint="default" w:ascii="Times New Roman" w:hAnsi="Times New Roman" w:eastAsia="楷体" w:cs="Times New Roman"/>
          <w:sz w:val="24"/>
          <w:szCs w:val="28"/>
          <w:highlight w:val="none"/>
          <w:u w:val="single"/>
          <w:lang w:val="en-US" w:eastAsia="zh-CN"/>
        </w:rPr>
        <w:t>稳定性，出现过大变形和基坑失稳。</w:t>
      </w:r>
    </w:p>
    <w:p w14:paraId="20E44022">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textAlignment w:val="auto"/>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3.</w:t>
      </w:r>
      <w:r>
        <w:rPr>
          <w:rFonts w:hint="default" w:ascii="Times New Roman" w:hAnsi="Times New Roman" w:cs="Times New Roman"/>
          <w:b/>
          <w:bCs/>
          <w:kern w:val="2"/>
          <w:sz w:val="24"/>
          <w:szCs w:val="24"/>
          <w:highlight w:val="none"/>
          <w:lang w:val="en-US" w:eastAsia="zh-CN" w:bidi="ar-SA"/>
        </w:rPr>
        <w:t>0</w:t>
      </w:r>
      <w:r>
        <w:rPr>
          <w:rFonts w:hint="default" w:ascii="Times New Roman" w:hAnsi="Times New Roman" w:eastAsia="宋体" w:cs="Times New Roman"/>
          <w:b/>
          <w:bCs/>
          <w:kern w:val="2"/>
          <w:sz w:val="24"/>
          <w:szCs w:val="24"/>
          <w:highlight w:val="none"/>
          <w:lang w:val="en-US" w:eastAsia="zh-CN" w:bidi="ar-SA"/>
        </w:rPr>
        <w:t>.</w:t>
      </w:r>
      <w:r>
        <w:rPr>
          <w:rFonts w:hint="default" w:ascii="Times New Roman" w:hAnsi="Times New Roman" w:cs="Times New Roman"/>
          <w:b/>
          <w:bCs/>
          <w:kern w:val="2"/>
          <w:sz w:val="24"/>
          <w:szCs w:val="24"/>
          <w:highlight w:val="none"/>
          <w:lang w:val="en-US" w:eastAsia="zh-CN" w:bidi="ar-SA"/>
        </w:rPr>
        <w:t>7</w:t>
      </w:r>
      <w:r>
        <w:rPr>
          <w:rFonts w:hint="default" w:ascii="Times New Roman" w:hAnsi="Times New Roman" w:eastAsia="宋体" w:cs="Times New Roman"/>
          <w:b/>
          <w:bCs/>
          <w:kern w:val="2"/>
          <w:sz w:val="24"/>
          <w:szCs w:val="24"/>
          <w:highlight w:val="none"/>
          <w:lang w:val="en-US" w:eastAsia="zh-CN" w:bidi="ar-SA"/>
        </w:rPr>
        <w:t xml:space="preserve"> </w:t>
      </w:r>
      <w:r>
        <w:rPr>
          <w:rFonts w:hint="default" w:ascii="Times New Roman" w:hAnsi="Times New Roman" w:eastAsia="宋体" w:cs="Times New Roman"/>
          <w:b w:val="0"/>
          <w:bCs w:val="0"/>
          <w:kern w:val="2"/>
          <w:sz w:val="24"/>
          <w:szCs w:val="24"/>
          <w:highlight w:val="none"/>
          <w:lang w:val="en-US" w:eastAsia="zh-CN" w:bidi="ar-SA"/>
        </w:rPr>
        <w:t>基坑工程加固施工应根据国家现行相关标准、基坑的实际情况、功能要求实行动态</w:t>
      </w:r>
      <w:r>
        <w:rPr>
          <w:rFonts w:hint="default" w:ascii="Times New Roman" w:hAnsi="Times New Roman" w:cs="Times New Roman"/>
          <w:b w:val="0"/>
          <w:bCs w:val="0"/>
          <w:kern w:val="2"/>
          <w:sz w:val="24"/>
          <w:szCs w:val="24"/>
          <w:highlight w:val="none"/>
          <w:lang w:val="en-US" w:eastAsia="zh-CN" w:bidi="ar-SA"/>
        </w:rPr>
        <w:t>化</w:t>
      </w:r>
      <w:r>
        <w:rPr>
          <w:rFonts w:hint="default" w:ascii="Times New Roman" w:hAnsi="Times New Roman" w:eastAsia="宋体" w:cs="Times New Roman"/>
          <w:b w:val="0"/>
          <w:bCs w:val="0"/>
          <w:kern w:val="2"/>
          <w:sz w:val="24"/>
          <w:szCs w:val="24"/>
          <w:highlight w:val="none"/>
          <w:lang w:val="en-US" w:eastAsia="zh-CN" w:bidi="ar-SA"/>
        </w:rPr>
        <w:t>设计、信息</w:t>
      </w:r>
      <w:r>
        <w:rPr>
          <w:rFonts w:hint="default" w:ascii="Times New Roman" w:hAnsi="Times New Roman" w:cs="Times New Roman"/>
          <w:b w:val="0"/>
          <w:bCs w:val="0"/>
          <w:kern w:val="2"/>
          <w:sz w:val="24"/>
          <w:szCs w:val="24"/>
          <w:highlight w:val="none"/>
          <w:lang w:val="en-US" w:eastAsia="zh-CN" w:bidi="ar-SA"/>
        </w:rPr>
        <w:t>化</w:t>
      </w:r>
      <w:r>
        <w:rPr>
          <w:rFonts w:hint="default" w:ascii="Times New Roman" w:hAnsi="Times New Roman" w:eastAsia="宋体" w:cs="Times New Roman"/>
          <w:b w:val="0"/>
          <w:bCs w:val="0"/>
          <w:kern w:val="2"/>
          <w:sz w:val="24"/>
          <w:szCs w:val="24"/>
          <w:highlight w:val="none"/>
          <w:lang w:val="en-US" w:eastAsia="zh-CN" w:bidi="ar-SA"/>
        </w:rPr>
        <w:t>施工。</w:t>
      </w:r>
    </w:p>
    <w:p w14:paraId="37240BF5">
      <w:pPr>
        <w:pageBreakBefore w:val="0"/>
        <w:kinsoku/>
        <w:wordWrap/>
        <w:overflowPunct/>
        <w:topLinePunct w:val="0"/>
        <w:autoSpaceDE w:val="0"/>
        <w:autoSpaceDN w:val="0"/>
        <w:bidi w:val="0"/>
        <w:adjustRightInd w:val="0"/>
        <w:snapToGrid w:val="0"/>
        <w:spacing w:line="360" w:lineRule="auto"/>
        <w:ind w:left="0" w:leftChars="0"/>
        <w:rPr>
          <w:rFonts w:hint="default" w:ascii="Times New Roman" w:hAnsi="Times New Roman" w:eastAsia="宋体" w:cs="Times New Roman"/>
          <w:b w:val="0"/>
          <w:bCs w:val="0"/>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3.</w:t>
      </w:r>
      <w:r>
        <w:rPr>
          <w:rFonts w:hint="default" w:ascii="Times New Roman" w:hAnsi="Times New Roman" w:cs="Times New Roman"/>
          <w:b/>
          <w:bCs/>
          <w:kern w:val="2"/>
          <w:sz w:val="24"/>
          <w:szCs w:val="24"/>
          <w:highlight w:val="none"/>
          <w:lang w:val="en-US" w:eastAsia="zh-CN" w:bidi="ar-SA"/>
        </w:rPr>
        <w:t>0</w:t>
      </w:r>
      <w:r>
        <w:rPr>
          <w:rFonts w:hint="default" w:ascii="Times New Roman" w:hAnsi="Times New Roman" w:eastAsia="宋体" w:cs="Times New Roman"/>
          <w:b/>
          <w:bCs/>
          <w:kern w:val="2"/>
          <w:sz w:val="24"/>
          <w:szCs w:val="24"/>
          <w:highlight w:val="none"/>
          <w:lang w:val="en-US" w:eastAsia="zh-CN" w:bidi="ar-SA"/>
        </w:rPr>
        <w:t>.</w:t>
      </w:r>
      <w:r>
        <w:rPr>
          <w:rFonts w:hint="default" w:ascii="Times New Roman" w:hAnsi="Times New Roman" w:cs="Times New Roman"/>
          <w:b/>
          <w:bCs/>
          <w:kern w:val="2"/>
          <w:sz w:val="24"/>
          <w:szCs w:val="24"/>
          <w:highlight w:val="none"/>
          <w:lang w:val="en-US" w:eastAsia="zh-CN" w:bidi="ar-SA"/>
        </w:rPr>
        <w:t>8</w:t>
      </w:r>
      <w:r>
        <w:rPr>
          <w:rFonts w:hint="default" w:ascii="Times New Roman" w:hAnsi="Times New Roman" w:eastAsia="宋体" w:cs="Times New Roman"/>
          <w:b/>
          <w:bCs/>
          <w:kern w:val="2"/>
          <w:sz w:val="24"/>
          <w:szCs w:val="24"/>
          <w:highlight w:val="none"/>
          <w:lang w:val="en-US" w:eastAsia="zh-CN" w:bidi="ar-SA"/>
        </w:rPr>
        <w:t xml:space="preserve"> </w:t>
      </w:r>
      <w:r>
        <w:rPr>
          <w:rFonts w:hint="default" w:ascii="Times New Roman" w:hAnsi="Times New Roman" w:eastAsia="宋体" w:cs="Times New Roman"/>
          <w:b w:val="0"/>
          <w:bCs w:val="0"/>
          <w:kern w:val="2"/>
          <w:sz w:val="24"/>
          <w:szCs w:val="24"/>
          <w:highlight w:val="none"/>
          <w:lang w:val="en-US" w:eastAsia="zh-CN" w:bidi="ar-SA"/>
        </w:rPr>
        <w:t>基坑加固工程在施工及使用期间应对基坑周边影响范围内的建（构）筑物进行监测，监测点的布置、监测方法、监测频率及报警值应符合</w:t>
      </w:r>
      <w:r>
        <w:rPr>
          <w:rFonts w:hint="default" w:ascii="Times New Roman" w:hAnsi="Times New Roman" w:cs="Times New Roman"/>
          <w:b w:val="0"/>
          <w:bCs w:val="0"/>
          <w:kern w:val="2"/>
          <w:sz w:val="24"/>
          <w:szCs w:val="24"/>
          <w:highlight w:val="none"/>
          <w:lang w:val="en-US" w:eastAsia="zh-CN" w:bidi="ar-SA"/>
        </w:rPr>
        <w:t>相关</w:t>
      </w:r>
      <w:r>
        <w:rPr>
          <w:rFonts w:hint="default" w:ascii="Times New Roman" w:hAnsi="Times New Roman" w:eastAsia="宋体" w:cs="Times New Roman"/>
          <w:b w:val="0"/>
          <w:bCs w:val="0"/>
          <w:kern w:val="2"/>
          <w:sz w:val="24"/>
          <w:szCs w:val="24"/>
          <w:highlight w:val="none"/>
          <w:lang w:val="en-US" w:eastAsia="zh-CN" w:bidi="ar-SA"/>
        </w:rPr>
        <w:t>标准的规定。</w:t>
      </w:r>
    </w:p>
    <w:p w14:paraId="20847C70">
      <w:pPr>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cs="Times New Roman"/>
          <w:b w:val="0"/>
          <w:bCs w:val="0"/>
          <w:sz w:val="28"/>
          <w:szCs w:val="28"/>
          <w:highlight w:val="none"/>
          <w:lang w:val="en-US" w:eastAsia="zh-CN"/>
        </w:rPr>
        <w:sectPr>
          <w:pgSz w:w="11906" w:h="16838"/>
          <w:pgMar w:top="2098" w:right="1474" w:bottom="1417" w:left="1587" w:header="851" w:footer="992" w:gutter="0"/>
          <w:cols w:space="720" w:num="1"/>
          <w:docGrid w:type="lines" w:linePitch="312" w:charSpace="0"/>
        </w:sectPr>
      </w:pPr>
    </w:p>
    <w:p w14:paraId="4405BA0B">
      <w:pPr>
        <w:pStyle w:val="2"/>
        <w:suppressLineNumbers w:val="0"/>
        <w:spacing w:before="156" w:beforeLines="50" w:beforeAutospacing="0" w:after="156" w:afterLines="50" w:afterAutospacing="0" w:line="360" w:lineRule="auto"/>
        <w:ind w:left="0" w:firstLine="0"/>
        <w:rPr>
          <w:rFonts w:hint="default" w:ascii="Times New Roman" w:hAnsi="Times New Roman" w:cs="Times New Roman" w:eastAsiaTheme="minorEastAsia"/>
          <w:b/>
          <w:bCs w:val="0"/>
          <w:color w:val="auto"/>
          <w:sz w:val="30"/>
          <w:szCs w:val="30"/>
          <w:lang w:bidi="ar-SA"/>
        </w:rPr>
      </w:pPr>
      <w:bookmarkStart w:id="20" w:name="_Toc21979"/>
      <w:bookmarkStart w:id="21" w:name="_Toc17608"/>
      <w:r>
        <w:rPr>
          <w:rFonts w:hint="default" w:ascii="Times New Roman" w:hAnsi="Times New Roman" w:cs="Times New Roman" w:eastAsiaTheme="minorEastAsia"/>
          <w:b/>
          <w:bCs w:val="0"/>
          <w:color w:val="auto"/>
          <w:sz w:val="30"/>
          <w:szCs w:val="30"/>
          <w:lang w:bidi="ar-SA"/>
        </w:rPr>
        <w:t>4</w:t>
      </w:r>
      <w:r>
        <w:rPr>
          <w:rFonts w:hint="default" w:ascii="Times New Roman" w:hAnsi="Times New Roman" w:cs="Times New Roman" w:eastAsiaTheme="minorEastAsia"/>
          <w:b/>
          <w:bCs w:val="0"/>
          <w:color w:val="auto"/>
          <w:sz w:val="30"/>
          <w:szCs w:val="30"/>
          <w:lang w:val="en-US" w:eastAsia="zh-CN" w:bidi="ar-SA"/>
        </w:rPr>
        <w:t xml:space="preserve">  </w:t>
      </w:r>
      <w:r>
        <w:rPr>
          <w:rFonts w:hint="default" w:ascii="Times New Roman" w:hAnsi="Times New Roman" w:cs="Times New Roman" w:eastAsiaTheme="minorEastAsia"/>
          <w:b/>
          <w:bCs w:val="0"/>
          <w:color w:val="auto"/>
          <w:sz w:val="30"/>
          <w:szCs w:val="30"/>
          <w:lang w:bidi="ar-SA"/>
        </w:rPr>
        <w:t>基坑工程</w:t>
      </w:r>
      <w:r>
        <w:rPr>
          <w:rFonts w:hint="default" w:ascii="Times New Roman" w:hAnsi="Times New Roman" w:cs="Times New Roman" w:eastAsiaTheme="minorEastAsia"/>
          <w:b/>
          <w:bCs w:val="0"/>
          <w:color w:val="auto"/>
          <w:spacing w:val="0"/>
          <w:sz w:val="30"/>
          <w:szCs w:val="30"/>
          <w:lang w:eastAsia="zh-CN"/>
        </w:rPr>
        <w:t>安全性</w:t>
      </w:r>
      <w:r>
        <w:rPr>
          <w:rFonts w:hint="default" w:ascii="Times New Roman" w:hAnsi="Times New Roman" w:cs="Times New Roman" w:eastAsiaTheme="minorEastAsia"/>
          <w:b/>
          <w:bCs w:val="0"/>
          <w:color w:val="auto"/>
          <w:sz w:val="30"/>
          <w:szCs w:val="30"/>
          <w:lang w:bidi="ar-SA"/>
        </w:rPr>
        <w:t>鉴定</w:t>
      </w:r>
      <w:bookmarkEnd w:id="20"/>
      <w:bookmarkEnd w:id="21"/>
    </w:p>
    <w:p w14:paraId="083169F6">
      <w:pPr>
        <w:pStyle w:val="3"/>
        <w:suppressLineNumbers w:val="0"/>
        <w:spacing w:before="0" w:beforeLines="-2147483648" w:beforeAutospacing="0" w:after="0" w:afterLines="-2147483648" w:afterAutospacing="0" w:line="360" w:lineRule="auto"/>
        <w:ind w:left="0" w:firstLine="0"/>
        <w:rPr>
          <w:rFonts w:hint="default" w:ascii="Times New Roman" w:hAnsi="Times New Roman" w:cs="Times New Roman" w:eastAsiaTheme="minorEastAsia"/>
          <w:bCs w:val="0"/>
          <w:sz w:val="28"/>
          <w:szCs w:val="28"/>
          <w:lang w:val="en-US" w:eastAsia="zh-CN" w:bidi="ar-SA"/>
        </w:rPr>
      </w:pPr>
      <w:bookmarkStart w:id="22" w:name="_Toc6841"/>
      <w:bookmarkStart w:id="23" w:name="_Toc7871"/>
      <w:r>
        <w:rPr>
          <w:rFonts w:hint="default" w:ascii="Times New Roman" w:hAnsi="Times New Roman" w:cs="Times New Roman" w:eastAsiaTheme="minorEastAsia"/>
          <w:bCs w:val="0"/>
          <w:sz w:val="28"/>
          <w:szCs w:val="28"/>
          <w:lang w:val="en-US" w:eastAsia="zh-CN" w:bidi="ar-SA"/>
        </w:rPr>
        <w:t>4.1一般规定</w:t>
      </w:r>
      <w:bookmarkEnd w:id="22"/>
      <w:bookmarkEnd w:id="23"/>
    </w:p>
    <w:p w14:paraId="1CEFA3C6">
      <w:pPr>
        <w:pStyle w:val="6"/>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cs="Times New Roman"/>
          <w:color w:val="auto"/>
          <w:sz w:val="24"/>
          <w:szCs w:val="24"/>
        </w:rPr>
      </w:pPr>
      <w:r>
        <w:rPr>
          <w:rFonts w:hint="default" w:ascii="Times New Roman" w:hAnsi="Times New Roman" w:eastAsia="Times New Roman" w:cs="Times New Roman"/>
          <w:b/>
          <w:bCs/>
          <w:color w:val="auto"/>
          <w:spacing w:val="-2"/>
          <w:sz w:val="24"/>
          <w:szCs w:val="24"/>
        </w:rPr>
        <w:t>4.1.</w:t>
      </w:r>
      <w:r>
        <w:rPr>
          <w:rFonts w:hint="default" w:ascii="Times New Roman" w:hAnsi="Times New Roman" w:cs="Times New Roman"/>
          <w:b/>
          <w:bCs/>
          <w:color w:val="auto"/>
          <w:spacing w:val="-2"/>
          <w:sz w:val="24"/>
          <w:szCs w:val="24"/>
          <w:lang w:val="en-US" w:eastAsia="zh-CN"/>
        </w:rPr>
        <w:t>1</w:t>
      </w:r>
      <w:r>
        <w:rPr>
          <w:rFonts w:hint="default" w:ascii="Times New Roman" w:hAnsi="Times New Roman" w:eastAsia="Times New Roman" w:cs="Times New Roman"/>
          <w:b w:val="0"/>
          <w:bCs w:val="0"/>
          <w:color w:val="auto"/>
          <w:spacing w:val="-2"/>
          <w:sz w:val="24"/>
          <w:szCs w:val="24"/>
          <w:u w:val="none" w:color="auto"/>
        </w:rPr>
        <w:t xml:space="preserve"> </w:t>
      </w:r>
      <w:r>
        <w:rPr>
          <w:rFonts w:hint="default" w:ascii="Times New Roman" w:hAnsi="Times New Roman" w:cs="Times New Roman"/>
          <w:color w:val="auto"/>
          <w:spacing w:val="-2"/>
          <w:sz w:val="24"/>
          <w:szCs w:val="24"/>
        </w:rPr>
        <w:t>基坑工程</w:t>
      </w:r>
      <w:r>
        <w:rPr>
          <w:rFonts w:hint="default" w:ascii="Times New Roman" w:hAnsi="Times New Roman" w:cs="Times New Roman"/>
          <w:color w:val="auto"/>
          <w:spacing w:val="-2"/>
          <w:sz w:val="24"/>
          <w:szCs w:val="24"/>
          <w:lang w:val="en-US" w:eastAsia="zh-CN"/>
        </w:rPr>
        <w:t>出现</w:t>
      </w:r>
      <w:r>
        <w:rPr>
          <w:rFonts w:hint="default" w:ascii="Times New Roman" w:hAnsi="Times New Roman" w:cs="Times New Roman"/>
          <w:color w:val="auto"/>
          <w:spacing w:val="-2"/>
          <w:sz w:val="24"/>
          <w:szCs w:val="24"/>
        </w:rPr>
        <w:t>下列情况之一时应进</w:t>
      </w:r>
      <w:r>
        <w:rPr>
          <w:rFonts w:hint="default" w:ascii="Times New Roman" w:hAnsi="Times New Roman" w:cs="Times New Roman"/>
          <w:color w:val="auto"/>
          <w:spacing w:val="-3"/>
          <w:sz w:val="24"/>
          <w:szCs w:val="24"/>
        </w:rPr>
        <w:t>行安全鉴定：</w:t>
      </w:r>
    </w:p>
    <w:p w14:paraId="4AC8B4B5">
      <w:pPr>
        <w:pStyle w:val="6"/>
        <w:keepNext w:val="0"/>
        <w:keepLines w:val="0"/>
        <w:pageBreakBefore w:val="0"/>
        <w:widowControl w:val="0"/>
        <w:kinsoku/>
        <w:wordWrap/>
        <w:overflowPunct/>
        <w:topLinePunct w:val="0"/>
        <w:autoSpaceDE/>
        <w:autoSpaceDN/>
        <w:bidi w:val="0"/>
        <w:adjustRightInd/>
        <w:snapToGrid/>
        <w:spacing w:line="360" w:lineRule="auto"/>
        <w:ind w:left="0" w:firstLine="464" w:firstLineChars="200"/>
        <w:textAlignment w:val="auto"/>
        <w:rPr>
          <w:rFonts w:hint="default" w:ascii="Times New Roman" w:hAnsi="Times New Roman" w:cs="Times New Roman"/>
          <w:color w:val="auto"/>
          <w:spacing w:val="-4"/>
          <w:sz w:val="24"/>
          <w:szCs w:val="24"/>
          <w:lang w:val="en-US" w:eastAsia="zh-CN"/>
        </w:rPr>
      </w:pPr>
      <w:r>
        <w:rPr>
          <w:rFonts w:hint="default" w:ascii="Times New Roman" w:hAnsi="Times New Roman" w:cs="Times New Roman"/>
          <w:color w:val="auto"/>
          <w:spacing w:val="-4"/>
          <w:sz w:val="24"/>
          <w:szCs w:val="24"/>
          <w:lang w:val="en-US" w:eastAsia="zh-CN"/>
        </w:rPr>
        <w:t>1  因地震、洪水、爆炸、泥石流等灾害，遭受对基坑造成不利影响的事故；</w:t>
      </w:r>
    </w:p>
    <w:p w14:paraId="3D576927">
      <w:pPr>
        <w:pStyle w:val="6"/>
        <w:keepNext w:val="0"/>
        <w:keepLines w:val="0"/>
        <w:pageBreakBefore w:val="0"/>
        <w:widowControl w:val="0"/>
        <w:kinsoku/>
        <w:wordWrap/>
        <w:overflowPunct/>
        <w:topLinePunct w:val="0"/>
        <w:autoSpaceDE/>
        <w:autoSpaceDN/>
        <w:bidi w:val="0"/>
        <w:adjustRightInd/>
        <w:snapToGrid/>
        <w:spacing w:line="360" w:lineRule="auto"/>
        <w:ind w:left="0" w:firstLine="464" w:firstLineChars="200"/>
        <w:textAlignment w:val="auto"/>
        <w:rPr>
          <w:rFonts w:hint="default" w:ascii="Times New Roman" w:hAnsi="Times New Roman" w:cs="Times New Roman"/>
          <w:color w:val="auto"/>
          <w:spacing w:val="-4"/>
          <w:sz w:val="24"/>
          <w:szCs w:val="24"/>
          <w:lang w:val="en-US" w:eastAsia="zh-CN"/>
        </w:rPr>
      </w:pPr>
      <w:r>
        <w:rPr>
          <w:rFonts w:hint="default" w:ascii="Times New Roman" w:hAnsi="Times New Roman" w:cs="Times New Roman"/>
          <w:color w:val="auto"/>
          <w:spacing w:val="-4"/>
          <w:sz w:val="24"/>
          <w:szCs w:val="24"/>
          <w:lang w:val="en-US" w:eastAsia="zh-CN"/>
        </w:rPr>
        <w:t>2  发生局部或整体破坏；</w:t>
      </w:r>
    </w:p>
    <w:p w14:paraId="55A40DF7">
      <w:pPr>
        <w:pStyle w:val="6"/>
        <w:keepNext w:val="0"/>
        <w:keepLines w:val="0"/>
        <w:pageBreakBefore w:val="0"/>
        <w:widowControl w:val="0"/>
        <w:kinsoku/>
        <w:wordWrap/>
        <w:overflowPunct/>
        <w:topLinePunct w:val="0"/>
        <w:autoSpaceDE/>
        <w:autoSpaceDN/>
        <w:bidi w:val="0"/>
        <w:adjustRightInd/>
        <w:snapToGrid/>
        <w:spacing w:line="360" w:lineRule="auto"/>
        <w:ind w:left="0" w:firstLine="464" w:firstLineChars="200"/>
        <w:textAlignment w:val="auto"/>
        <w:rPr>
          <w:rFonts w:hint="default" w:ascii="Times New Roman" w:hAnsi="Times New Roman" w:cs="Times New Roman"/>
          <w:color w:val="auto"/>
          <w:spacing w:val="-4"/>
          <w:sz w:val="24"/>
          <w:szCs w:val="24"/>
          <w:lang w:val="en-US" w:eastAsia="zh-CN"/>
        </w:rPr>
      </w:pPr>
      <w:r>
        <w:rPr>
          <w:rFonts w:hint="default" w:ascii="Times New Roman" w:hAnsi="Times New Roman" w:cs="Times New Roman"/>
          <w:color w:val="auto"/>
          <w:spacing w:val="-4"/>
          <w:sz w:val="24"/>
          <w:szCs w:val="24"/>
          <w:lang w:val="en-US" w:eastAsia="zh-CN"/>
        </w:rPr>
        <w:t>3  存在较严重的质量缺陷或支护结构构件出现影响整体结构安全性的损坏；</w:t>
      </w:r>
    </w:p>
    <w:p w14:paraId="0C527780">
      <w:pPr>
        <w:pStyle w:val="6"/>
        <w:keepNext w:val="0"/>
        <w:keepLines w:val="0"/>
        <w:pageBreakBefore w:val="0"/>
        <w:widowControl w:val="0"/>
        <w:kinsoku/>
        <w:wordWrap/>
        <w:overflowPunct/>
        <w:topLinePunct w:val="0"/>
        <w:autoSpaceDE/>
        <w:autoSpaceDN/>
        <w:bidi w:val="0"/>
        <w:adjustRightInd/>
        <w:snapToGrid/>
        <w:spacing w:line="360" w:lineRule="auto"/>
        <w:ind w:left="0" w:firstLine="464" w:firstLineChars="200"/>
        <w:textAlignment w:val="auto"/>
        <w:rPr>
          <w:rFonts w:hint="default" w:ascii="Times New Roman" w:hAnsi="Times New Roman" w:cs="Times New Roman"/>
          <w:color w:val="auto"/>
          <w:spacing w:val="-4"/>
          <w:sz w:val="24"/>
          <w:szCs w:val="24"/>
          <w:lang w:val="en-US" w:eastAsia="zh-CN"/>
        </w:rPr>
      </w:pPr>
      <w:r>
        <w:rPr>
          <w:rFonts w:hint="default" w:ascii="Times New Roman" w:hAnsi="Times New Roman" w:cs="Times New Roman"/>
          <w:color w:val="auto"/>
          <w:spacing w:val="-4"/>
          <w:sz w:val="24"/>
          <w:szCs w:val="24"/>
          <w:lang w:val="en-US" w:eastAsia="zh-CN"/>
        </w:rPr>
        <w:t>4  周边建（构）筑物的安全和正常使用受到不利影响，或基坑周边环境发生可能危及基坑安全的不利影响；</w:t>
      </w:r>
    </w:p>
    <w:p w14:paraId="7CBE0073">
      <w:pPr>
        <w:pStyle w:val="6"/>
        <w:keepNext w:val="0"/>
        <w:keepLines w:val="0"/>
        <w:pageBreakBefore w:val="0"/>
        <w:widowControl w:val="0"/>
        <w:kinsoku/>
        <w:wordWrap/>
        <w:overflowPunct/>
        <w:topLinePunct w:val="0"/>
        <w:autoSpaceDE/>
        <w:autoSpaceDN/>
        <w:bidi w:val="0"/>
        <w:adjustRightInd/>
        <w:snapToGrid/>
        <w:spacing w:line="360" w:lineRule="auto"/>
        <w:ind w:left="0" w:firstLine="464" w:firstLineChars="200"/>
        <w:textAlignment w:val="auto"/>
        <w:rPr>
          <w:rFonts w:hint="default" w:ascii="Times New Roman" w:hAnsi="Times New Roman" w:cs="Times New Roman"/>
          <w:color w:val="auto"/>
          <w:spacing w:val="-4"/>
          <w:sz w:val="24"/>
          <w:szCs w:val="24"/>
          <w:lang w:val="en-US" w:eastAsia="zh-CN"/>
        </w:rPr>
      </w:pPr>
      <w:r>
        <w:rPr>
          <w:rFonts w:hint="default" w:ascii="Times New Roman" w:hAnsi="Times New Roman" w:cs="Times New Roman"/>
          <w:color w:val="auto"/>
          <w:spacing w:val="-4"/>
          <w:sz w:val="24"/>
          <w:szCs w:val="24"/>
          <w:lang w:val="en-US" w:eastAsia="zh-CN"/>
        </w:rPr>
        <w:t>5  基坑变形监测数据超过设计及规范允许值；</w:t>
      </w:r>
    </w:p>
    <w:p w14:paraId="77091502">
      <w:pPr>
        <w:pStyle w:val="6"/>
        <w:keepNext w:val="0"/>
        <w:keepLines w:val="0"/>
        <w:pageBreakBefore w:val="0"/>
        <w:widowControl w:val="0"/>
        <w:kinsoku/>
        <w:wordWrap/>
        <w:overflowPunct/>
        <w:topLinePunct w:val="0"/>
        <w:autoSpaceDE/>
        <w:autoSpaceDN/>
        <w:bidi w:val="0"/>
        <w:adjustRightInd/>
        <w:snapToGrid/>
        <w:spacing w:line="360" w:lineRule="auto"/>
        <w:ind w:left="0" w:firstLine="464" w:firstLineChars="200"/>
        <w:textAlignment w:val="auto"/>
        <w:rPr>
          <w:rFonts w:hint="default" w:ascii="Times New Roman" w:hAnsi="Times New Roman" w:cs="Times New Roman"/>
          <w:color w:val="auto"/>
          <w:spacing w:val="-4"/>
          <w:sz w:val="24"/>
          <w:szCs w:val="24"/>
          <w:lang w:val="en-US" w:eastAsia="zh-CN"/>
        </w:rPr>
      </w:pPr>
      <w:r>
        <w:rPr>
          <w:rFonts w:hint="default" w:ascii="Times New Roman" w:hAnsi="Times New Roman" w:cs="Times New Roman"/>
          <w:color w:val="auto"/>
          <w:spacing w:val="-4"/>
          <w:sz w:val="24"/>
          <w:szCs w:val="24"/>
          <w:lang w:val="en-US" w:eastAsia="zh-CN"/>
        </w:rPr>
        <w:t>6  超过设计工作年限需要继续使用；</w:t>
      </w:r>
    </w:p>
    <w:p w14:paraId="1363E8B2">
      <w:pPr>
        <w:pStyle w:val="6"/>
        <w:keepNext w:val="0"/>
        <w:keepLines w:val="0"/>
        <w:pageBreakBefore w:val="0"/>
        <w:widowControl w:val="0"/>
        <w:kinsoku/>
        <w:wordWrap/>
        <w:overflowPunct/>
        <w:topLinePunct w:val="0"/>
        <w:autoSpaceDE/>
        <w:autoSpaceDN/>
        <w:bidi w:val="0"/>
        <w:adjustRightInd/>
        <w:snapToGrid/>
        <w:spacing w:line="360" w:lineRule="auto"/>
        <w:ind w:left="0" w:firstLine="464" w:firstLineChars="200"/>
        <w:textAlignment w:val="auto"/>
        <w:rPr>
          <w:rFonts w:hint="default" w:ascii="Times New Roman" w:hAnsi="Times New Roman" w:cs="Times New Roman"/>
          <w:color w:val="auto"/>
          <w:spacing w:val="-4"/>
          <w:sz w:val="24"/>
          <w:szCs w:val="24"/>
          <w:lang w:val="en-US" w:eastAsia="zh-CN"/>
        </w:rPr>
      </w:pPr>
      <w:r>
        <w:rPr>
          <w:rFonts w:hint="default" w:ascii="Times New Roman" w:hAnsi="Times New Roman" w:cs="Times New Roman"/>
          <w:color w:val="auto"/>
          <w:spacing w:val="-4"/>
          <w:sz w:val="24"/>
          <w:szCs w:val="24"/>
          <w:lang w:val="en-US" w:eastAsia="zh-CN"/>
        </w:rPr>
        <w:t>7  施工及使用期间发现安全隐患；</w:t>
      </w:r>
    </w:p>
    <w:p w14:paraId="685E3F5C">
      <w:pPr>
        <w:pStyle w:val="6"/>
        <w:keepNext w:val="0"/>
        <w:keepLines w:val="0"/>
        <w:pageBreakBefore w:val="0"/>
        <w:widowControl w:val="0"/>
        <w:kinsoku/>
        <w:wordWrap/>
        <w:overflowPunct/>
        <w:topLinePunct w:val="0"/>
        <w:autoSpaceDE/>
        <w:autoSpaceDN/>
        <w:bidi w:val="0"/>
        <w:adjustRightInd/>
        <w:snapToGrid/>
        <w:spacing w:line="360" w:lineRule="auto"/>
        <w:ind w:left="0" w:firstLine="464" w:firstLineChars="200"/>
        <w:textAlignment w:val="auto"/>
        <w:rPr>
          <w:rFonts w:hint="default" w:ascii="Times New Roman" w:hAnsi="Times New Roman" w:cs="Times New Roman"/>
          <w:color w:val="auto"/>
          <w:spacing w:val="-4"/>
          <w:sz w:val="24"/>
          <w:szCs w:val="24"/>
          <w:lang w:val="en-US" w:eastAsia="zh-CN"/>
        </w:rPr>
      </w:pPr>
      <w:r>
        <w:rPr>
          <w:rFonts w:hint="default" w:ascii="Times New Roman" w:hAnsi="Times New Roman" w:cs="Times New Roman"/>
          <w:color w:val="auto"/>
          <w:spacing w:val="-4"/>
          <w:sz w:val="24"/>
          <w:szCs w:val="24"/>
          <w:lang w:val="en-US" w:eastAsia="zh-CN"/>
        </w:rPr>
        <w:t>8  使用工况与设计不一致，并产生安全隐患；</w:t>
      </w:r>
    </w:p>
    <w:p w14:paraId="348B9183">
      <w:pPr>
        <w:pStyle w:val="6"/>
        <w:keepNext w:val="0"/>
        <w:keepLines w:val="0"/>
        <w:pageBreakBefore w:val="0"/>
        <w:widowControl w:val="0"/>
        <w:kinsoku/>
        <w:wordWrap/>
        <w:overflowPunct/>
        <w:topLinePunct w:val="0"/>
        <w:autoSpaceDE/>
        <w:autoSpaceDN/>
        <w:bidi w:val="0"/>
        <w:adjustRightInd/>
        <w:snapToGrid/>
        <w:spacing w:line="360" w:lineRule="auto"/>
        <w:ind w:left="0" w:firstLine="464" w:firstLineChars="200"/>
        <w:textAlignment w:val="auto"/>
        <w:rPr>
          <w:rFonts w:hint="default" w:ascii="Times New Roman" w:hAnsi="Times New Roman" w:cs="Times New Roman"/>
          <w:color w:val="auto"/>
          <w:spacing w:val="-4"/>
          <w:sz w:val="24"/>
          <w:szCs w:val="24"/>
          <w:lang w:val="en-US" w:eastAsia="zh-CN"/>
        </w:rPr>
      </w:pPr>
      <w:r>
        <w:rPr>
          <w:rFonts w:hint="default" w:ascii="Times New Roman" w:hAnsi="Times New Roman" w:cs="Times New Roman"/>
          <w:color w:val="auto"/>
          <w:spacing w:val="-4"/>
          <w:sz w:val="24"/>
          <w:szCs w:val="24"/>
          <w:lang w:val="en-US" w:eastAsia="zh-CN"/>
        </w:rPr>
        <w:t>9  其他需进行安全鉴定的情况。</w:t>
      </w:r>
    </w:p>
    <w:p w14:paraId="2FE487F9">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eastAsia="楷体" w:cs="Times New Roman"/>
          <w:color w:val="auto"/>
          <w:sz w:val="24"/>
          <w:szCs w:val="28"/>
          <w:highlight w:val="none"/>
          <w:u w:val="single"/>
          <w:lang w:val="zh-CN" w:eastAsia="zh-CN"/>
        </w:rPr>
      </w:pPr>
      <w:r>
        <w:rPr>
          <w:rFonts w:hint="default" w:ascii="Times New Roman" w:hAnsi="Times New Roman" w:eastAsia="楷体" w:cs="Times New Roman"/>
          <w:color w:val="auto"/>
          <w:sz w:val="24"/>
          <w:szCs w:val="28"/>
          <w:highlight w:val="none"/>
          <w:u w:val="single"/>
          <w:lang w:val="zh-CN" w:eastAsia="zh-CN"/>
        </w:rPr>
        <w:t>【条文说明】使用工况与设计不一致的情况有：基坑加深、扩大，基坑周边施工荷载增大等；其他需进行进行安全鉴定的情况有：未按照国家规定履行建设施工手续违章施工、超过一定规模的基坑工程未按规定对专项施工方案进行专家论证以及基坑工程发生质量事故等。</w:t>
      </w:r>
    </w:p>
    <w:p w14:paraId="7C597970">
      <w:pPr>
        <w:pStyle w:val="6"/>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cs="Times New Roman"/>
          <w:color w:val="auto"/>
          <w:sz w:val="24"/>
          <w:szCs w:val="24"/>
        </w:rPr>
      </w:pPr>
      <w:r>
        <w:rPr>
          <w:rFonts w:hint="default" w:ascii="Times New Roman" w:hAnsi="Times New Roman" w:eastAsia="Times New Roman" w:cs="Times New Roman"/>
          <w:b/>
          <w:bCs/>
          <w:color w:val="auto"/>
          <w:spacing w:val="-1"/>
          <w:sz w:val="24"/>
          <w:szCs w:val="24"/>
        </w:rPr>
        <w:t>4.1.</w:t>
      </w:r>
      <w:r>
        <w:rPr>
          <w:rFonts w:hint="default" w:ascii="Times New Roman" w:hAnsi="Times New Roman" w:cs="Times New Roman"/>
          <w:b/>
          <w:bCs/>
          <w:color w:val="auto"/>
          <w:spacing w:val="-1"/>
          <w:sz w:val="24"/>
          <w:szCs w:val="24"/>
          <w:lang w:val="en-US" w:eastAsia="zh-CN"/>
        </w:rPr>
        <w:t>2</w:t>
      </w:r>
      <w:r>
        <w:rPr>
          <w:rFonts w:hint="default" w:ascii="Times New Roman" w:hAnsi="Times New Roman" w:eastAsia="Times New Roman" w:cs="Times New Roman"/>
          <w:b/>
          <w:bCs/>
          <w:color w:val="auto"/>
          <w:spacing w:val="-1"/>
          <w:sz w:val="24"/>
          <w:szCs w:val="24"/>
        </w:rPr>
        <w:t xml:space="preserve"> </w:t>
      </w:r>
      <w:r>
        <w:rPr>
          <w:rFonts w:hint="default" w:ascii="Times New Roman" w:hAnsi="Times New Roman" w:cs="Times New Roman"/>
          <w:b w:val="0"/>
          <w:bCs w:val="0"/>
          <w:color w:val="auto"/>
          <w:spacing w:val="-1"/>
          <w:sz w:val="24"/>
          <w:szCs w:val="24"/>
          <w:u w:val="none" w:color="auto"/>
          <w:lang w:eastAsia="zh-CN"/>
        </w:rPr>
        <w:t>基坑工程安全性鉴定</w:t>
      </w:r>
      <w:r>
        <w:rPr>
          <w:rFonts w:hint="default" w:ascii="Times New Roman" w:hAnsi="Times New Roman" w:cs="Times New Roman"/>
          <w:color w:val="auto"/>
          <w:spacing w:val="-1"/>
          <w:sz w:val="24"/>
          <w:szCs w:val="24"/>
        </w:rPr>
        <w:t>的工作内容应根据鉴定的目的、</w:t>
      </w:r>
      <w:r>
        <w:rPr>
          <w:rFonts w:hint="default" w:ascii="Times New Roman" w:hAnsi="Times New Roman" w:cs="Times New Roman"/>
          <w:color w:val="auto"/>
          <w:spacing w:val="-2"/>
          <w:sz w:val="24"/>
          <w:szCs w:val="24"/>
        </w:rPr>
        <w:t>范围和要求来确定。</w:t>
      </w:r>
    </w:p>
    <w:p w14:paraId="52B338F5">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eastAsia="楷体" w:cs="Times New Roman"/>
          <w:color w:val="auto"/>
          <w:sz w:val="24"/>
          <w:szCs w:val="28"/>
          <w:highlight w:val="none"/>
          <w:u w:val="single"/>
          <w:lang w:val="zh-CN" w:eastAsia="zh-CN"/>
        </w:rPr>
      </w:pPr>
      <w:r>
        <w:rPr>
          <w:rFonts w:hint="default" w:ascii="Times New Roman" w:hAnsi="Times New Roman" w:eastAsia="楷体" w:cs="Times New Roman"/>
          <w:color w:val="auto"/>
          <w:sz w:val="24"/>
          <w:szCs w:val="28"/>
          <w:highlight w:val="none"/>
          <w:u w:val="single"/>
          <w:lang w:val="zh-CN" w:eastAsia="zh-CN"/>
        </w:rPr>
        <w:t>【条文说明】根据鉴定的目的和委托的要求，鉴定范围可以是整个基坑或基坑的不同区段，也可以是支护结构、地表水及地下水控制系统。但对某一单独的支护结构、系统进行的鉴定，不能对基坑整体稳定性做出评判。</w:t>
      </w:r>
    </w:p>
    <w:p w14:paraId="219BD0B8">
      <w:pPr>
        <w:pStyle w:val="6"/>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cs="Times New Roman"/>
          <w:color w:val="auto"/>
          <w:sz w:val="24"/>
          <w:szCs w:val="24"/>
          <w:u w:val="none" w:color="auto"/>
        </w:rPr>
      </w:pPr>
      <w:r>
        <w:rPr>
          <w:rFonts w:hint="default" w:ascii="Times New Roman" w:hAnsi="Times New Roman" w:eastAsia="Times New Roman" w:cs="Times New Roman"/>
          <w:b/>
          <w:bCs/>
          <w:color w:val="auto"/>
          <w:spacing w:val="-5"/>
          <w:sz w:val="24"/>
          <w:szCs w:val="24"/>
          <w:u w:val="none" w:color="auto"/>
        </w:rPr>
        <w:t>4.1</w:t>
      </w:r>
      <w:r>
        <w:rPr>
          <w:rFonts w:hint="eastAsia" w:ascii="Times New Roman" w:hAnsi="Times New Roman" w:eastAsia="宋体" w:cs="Times New Roman"/>
          <w:b/>
          <w:bCs/>
          <w:color w:val="auto"/>
          <w:spacing w:val="-5"/>
          <w:sz w:val="24"/>
          <w:szCs w:val="24"/>
          <w:u w:val="none" w:color="auto"/>
          <w:lang w:val="en-US" w:eastAsia="zh-CN"/>
        </w:rPr>
        <w:t>.</w:t>
      </w:r>
      <w:r>
        <w:rPr>
          <w:rFonts w:hint="default" w:ascii="Times New Roman" w:hAnsi="Times New Roman" w:cs="Times New Roman"/>
          <w:b/>
          <w:bCs/>
          <w:color w:val="auto"/>
          <w:spacing w:val="-5"/>
          <w:sz w:val="24"/>
          <w:szCs w:val="24"/>
          <w:u w:val="none" w:color="auto"/>
          <w:lang w:val="en-US" w:eastAsia="zh-CN"/>
        </w:rPr>
        <w:t>3</w:t>
      </w:r>
      <w:r>
        <w:rPr>
          <w:rFonts w:hint="default" w:ascii="Times New Roman" w:hAnsi="Times New Roman" w:eastAsia="Times New Roman" w:cs="Times New Roman"/>
          <w:b/>
          <w:bCs/>
          <w:color w:val="auto"/>
          <w:spacing w:val="-5"/>
          <w:sz w:val="24"/>
          <w:szCs w:val="24"/>
          <w:u w:val="none" w:color="auto"/>
        </w:rPr>
        <w:t xml:space="preserve"> </w:t>
      </w:r>
      <w:r>
        <w:rPr>
          <w:rFonts w:hint="default" w:ascii="Times New Roman" w:hAnsi="Times New Roman" w:cs="Times New Roman"/>
          <w:b w:val="0"/>
          <w:bCs w:val="0"/>
          <w:color w:val="auto"/>
          <w:spacing w:val="-5"/>
          <w:sz w:val="24"/>
          <w:szCs w:val="24"/>
          <w:u w:val="none" w:color="auto"/>
          <w:lang w:eastAsia="zh-CN"/>
        </w:rPr>
        <w:t>基坑工程安全性鉴定</w:t>
      </w:r>
      <w:r>
        <w:rPr>
          <w:rFonts w:hint="default" w:ascii="Times New Roman" w:hAnsi="Times New Roman" w:cs="Times New Roman"/>
          <w:color w:val="auto"/>
          <w:spacing w:val="-5"/>
          <w:sz w:val="24"/>
          <w:szCs w:val="24"/>
          <w:u w:val="none" w:color="auto"/>
        </w:rPr>
        <w:t>工作应按接受委托、收集资料、现场勘查、支护结构检测、</w:t>
      </w:r>
      <w:r>
        <w:rPr>
          <w:rFonts w:hint="default" w:ascii="Times New Roman" w:hAnsi="Times New Roman" w:cs="Times New Roman"/>
          <w:color w:val="auto"/>
          <w:spacing w:val="-3"/>
          <w:sz w:val="24"/>
          <w:szCs w:val="24"/>
          <w:u w:val="none" w:color="auto"/>
        </w:rPr>
        <w:t>安全分析与编写鉴定报告等程序开展。</w:t>
      </w:r>
    </w:p>
    <w:p w14:paraId="2786C1AA">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楷体" w:cs="Times New Roman"/>
          <w:color w:val="auto"/>
          <w:sz w:val="24"/>
          <w:szCs w:val="28"/>
          <w:highlight w:val="none"/>
          <w:u w:val="single"/>
          <w:lang w:val="zh-CN" w:eastAsia="zh-CN"/>
        </w:rPr>
      </w:pPr>
      <w:r>
        <w:rPr>
          <w:rFonts w:hint="default" w:ascii="Times New Roman" w:hAnsi="Times New Roman" w:eastAsia="楷体" w:cs="Times New Roman"/>
          <w:color w:val="auto"/>
          <w:sz w:val="24"/>
          <w:szCs w:val="28"/>
          <w:highlight w:val="none"/>
          <w:u w:val="single"/>
          <w:lang w:val="zh-CN" w:eastAsia="zh-CN"/>
        </w:rPr>
        <w:t>【条文说明】在开展基坑鉴定前，需了解委托方的鉴定原因、目的、范围，初步判断需要采用哪些检测鉴定方法。开始鉴定后，鉴定机构应进行有关资料收集，包括勘察文件、设计文件、施工资料、检测资料、监测资料等，并进行现场测量、检测工作，根据收集的资料及检查结果进行安全分析并编写报告。如存在资料缺失情况，应采用适当检测手段进行补充。</w:t>
      </w:r>
    </w:p>
    <w:p w14:paraId="57B8024C">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楷体" w:cs="Times New Roman"/>
          <w:color w:val="auto"/>
          <w:sz w:val="24"/>
          <w:szCs w:val="28"/>
          <w:highlight w:val="none"/>
          <w:u w:val="single"/>
          <w:lang w:val="zh-CN" w:eastAsia="zh-CN"/>
        </w:rPr>
      </w:pPr>
      <w:r>
        <w:rPr>
          <w:rFonts w:hint="default" w:ascii="Times New Roman" w:hAnsi="Times New Roman" w:eastAsia="Times New Roman" w:cs="Times New Roman"/>
          <w:b/>
          <w:bCs/>
          <w:color w:val="auto"/>
          <w:spacing w:val="-5"/>
          <w:sz w:val="24"/>
          <w:szCs w:val="24"/>
          <w:u w:val="none" w:color="auto"/>
        </w:rPr>
        <w:t>4.1.</w:t>
      </w:r>
      <w:r>
        <w:rPr>
          <w:rFonts w:hint="default" w:ascii="Times New Roman" w:hAnsi="Times New Roman" w:cs="Times New Roman"/>
          <w:b/>
          <w:bCs/>
          <w:color w:val="auto"/>
          <w:spacing w:val="-5"/>
          <w:sz w:val="24"/>
          <w:szCs w:val="24"/>
          <w:u w:val="none" w:color="auto"/>
          <w:lang w:val="en-US" w:eastAsia="zh-CN"/>
        </w:rPr>
        <w:t>4</w:t>
      </w:r>
      <w:r>
        <w:rPr>
          <w:rFonts w:hint="default" w:ascii="Times New Roman" w:hAnsi="Times New Roman" w:eastAsia="Times New Roman" w:cs="Times New Roman"/>
          <w:b/>
          <w:bCs/>
          <w:color w:val="auto"/>
          <w:spacing w:val="-5"/>
          <w:sz w:val="24"/>
          <w:szCs w:val="24"/>
          <w:u w:val="none" w:color="auto"/>
        </w:rPr>
        <w:t xml:space="preserve"> </w:t>
      </w:r>
      <w:r>
        <w:rPr>
          <w:rFonts w:hint="default" w:ascii="Times New Roman" w:hAnsi="Times New Roman" w:cs="Times New Roman"/>
          <w:color w:val="auto"/>
          <w:spacing w:val="-5"/>
          <w:sz w:val="24"/>
          <w:szCs w:val="24"/>
          <w:u w:val="none" w:color="auto"/>
          <w:lang w:eastAsia="zh-CN"/>
        </w:rPr>
        <w:t>基坑工程安全性鉴定</w:t>
      </w:r>
      <w:r>
        <w:rPr>
          <w:rFonts w:hint="default" w:ascii="Times New Roman" w:hAnsi="Times New Roman" w:cs="Times New Roman"/>
          <w:color w:val="auto"/>
          <w:spacing w:val="-5"/>
          <w:sz w:val="24"/>
          <w:szCs w:val="24"/>
          <w:u w:val="none" w:color="auto"/>
        </w:rPr>
        <w:t>中安全性分析应对支护结构承载力、基坑稳定性、</w:t>
      </w:r>
      <w:r>
        <w:rPr>
          <w:rFonts w:hint="default" w:ascii="Times New Roman" w:hAnsi="Times New Roman" w:cs="Times New Roman"/>
          <w:color w:val="auto"/>
          <w:spacing w:val="-2"/>
          <w:sz w:val="24"/>
          <w:szCs w:val="24"/>
          <w:u w:val="none" w:color="auto"/>
        </w:rPr>
        <w:t>基坑变形、地表水与地下水的控制效果</w:t>
      </w:r>
      <w:r>
        <w:rPr>
          <w:rFonts w:hint="default" w:ascii="Times New Roman" w:hAnsi="Times New Roman" w:cs="Times New Roman"/>
          <w:color w:val="auto"/>
          <w:spacing w:val="-2"/>
          <w:sz w:val="24"/>
          <w:szCs w:val="24"/>
          <w:u w:val="none" w:color="auto"/>
          <w:lang w:eastAsia="zh-CN"/>
        </w:rPr>
        <w:t>、</w:t>
      </w:r>
      <w:r>
        <w:rPr>
          <w:rFonts w:hint="default" w:ascii="Times New Roman" w:hAnsi="Times New Roman" w:cs="Times New Roman"/>
          <w:color w:val="auto"/>
          <w:spacing w:val="-2"/>
          <w:sz w:val="24"/>
          <w:szCs w:val="24"/>
          <w:u w:val="none" w:color="auto"/>
          <w:lang w:val="en-US" w:eastAsia="zh-CN"/>
        </w:rPr>
        <w:t>对周边环境造成的影响</w:t>
      </w:r>
      <w:r>
        <w:rPr>
          <w:rFonts w:hint="default" w:ascii="Times New Roman" w:hAnsi="Times New Roman" w:cs="Times New Roman"/>
          <w:color w:val="auto"/>
          <w:spacing w:val="-2"/>
          <w:sz w:val="24"/>
          <w:szCs w:val="24"/>
          <w:u w:val="none" w:color="auto"/>
        </w:rPr>
        <w:t>等进行综合分析与评价。</w:t>
      </w:r>
    </w:p>
    <w:p w14:paraId="34534627">
      <w:pPr>
        <w:pStyle w:val="3"/>
        <w:suppressLineNumbers w:val="0"/>
        <w:spacing w:before="0" w:beforeLines="-2147483648" w:beforeAutospacing="0" w:after="0" w:afterLines="-2147483648" w:afterAutospacing="0" w:line="360" w:lineRule="auto"/>
        <w:ind w:left="0" w:firstLine="0"/>
        <w:rPr>
          <w:rFonts w:hint="default" w:ascii="Times New Roman" w:hAnsi="Times New Roman" w:cs="Times New Roman" w:eastAsiaTheme="minorEastAsia"/>
          <w:bCs w:val="0"/>
          <w:sz w:val="28"/>
          <w:szCs w:val="28"/>
          <w:lang w:val="en-US" w:eastAsia="zh-CN" w:bidi="ar-SA"/>
        </w:rPr>
      </w:pPr>
      <w:bookmarkStart w:id="24" w:name="_Toc15272"/>
      <w:r>
        <w:rPr>
          <w:rFonts w:hint="default" w:ascii="Times New Roman" w:hAnsi="Times New Roman" w:cs="Times New Roman" w:eastAsiaTheme="minorEastAsia"/>
          <w:bCs w:val="0"/>
          <w:sz w:val="28"/>
          <w:szCs w:val="28"/>
          <w:lang w:val="en-US" w:eastAsia="zh-CN" w:bidi="ar-SA"/>
        </w:rPr>
        <w:t>4.2资料收集与分析</w:t>
      </w:r>
      <w:bookmarkEnd w:id="24"/>
    </w:p>
    <w:p w14:paraId="5BB5C495">
      <w:pPr>
        <w:pStyle w:val="6"/>
        <w:keepNext w:val="0"/>
        <w:keepLines w:val="0"/>
        <w:pageBreakBefore w:val="0"/>
        <w:widowControl w:val="0"/>
        <w:kinsoku/>
        <w:wordWrap/>
        <w:overflowPunct/>
        <w:topLinePunct w:val="0"/>
        <w:autoSpaceDE/>
        <w:autoSpaceDN/>
        <w:bidi w:val="0"/>
        <w:adjustRightInd/>
        <w:snapToGrid/>
        <w:spacing w:line="360" w:lineRule="auto"/>
        <w:ind w:left="0" w:right="0" w:firstLine="0"/>
        <w:textAlignment w:val="auto"/>
        <w:rPr>
          <w:rFonts w:hint="default" w:ascii="Times New Roman" w:hAnsi="Times New Roman" w:cs="Times New Roman"/>
          <w:color w:val="auto"/>
          <w:sz w:val="24"/>
          <w:szCs w:val="24"/>
          <w:u w:val="none" w:color="auto"/>
        </w:rPr>
      </w:pPr>
      <w:r>
        <w:rPr>
          <w:rFonts w:hint="default" w:ascii="Times New Roman" w:hAnsi="Times New Roman" w:eastAsia="Times New Roman" w:cs="Times New Roman"/>
          <w:b/>
          <w:bCs/>
          <w:color w:val="auto"/>
          <w:spacing w:val="-5"/>
          <w:sz w:val="24"/>
          <w:szCs w:val="24"/>
          <w:u w:val="none" w:color="auto"/>
        </w:rPr>
        <w:t>4.</w:t>
      </w:r>
      <w:r>
        <w:rPr>
          <w:rFonts w:hint="default" w:ascii="Times New Roman" w:hAnsi="Times New Roman" w:cs="Times New Roman"/>
          <w:b/>
          <w:bCs/>
          <w:color w:val="auto"/>
          <w:spacing w:val="-5"/>
          <w:sz w:val="24"/>
          <w:szCs w:val="24"/>
          <w:u w:val="none" w:color="auto"/>
          <w:lang w:val="en-US" w:eastAsia="zh-CN"/>
        </w:rPr>
        <w:t>2.1</w:t>
      </w:r>
      <w:r>
        <w:rPr>
          <w:rFonts w:hint="default" w:ascii="Times New Roman" w:hAnsi="Times New Roman" w:eastAsia="Times New Roman" w:cs="Times New Roman"/>
          <w:b/>
          <w:bCs/>
          <w:color w:val="auto"/>
          <w:spacing w:val="-5"/>
          <w:sz w:val="24"/>
          <w:szCs w:val="24"/>
          <w:u w:val="none" w:color="auto"/>
        </w:rPr>
        <w:t xml:space="preserve"> </w:t>
      </w:r>
      <w:r>
        <w:rPr>
          <w:rFonts w:hint="default" w:ascii="Times New Roman" w:hAnsi="Times New Roman" w:cs="Times New Roman"/>
          <w:b w:val="0"/>
          <w:bCs w:val="0"/>
          <w:color w:val="auto"/>
          <w:spacing w:val="-5"/>
          <w:sz w:val="24"/>
          <w:szCs w:val="24"/>
          <w:u w:val="none" w:color="auto"/>
          <w:lang w:eastAsia="zh-CN"/>
        </w:rPr>
        <w:t>基坑工程安全性鉴定</w:t>
      </w:r>
      <w:r>
        <w:rPr>
          <w:rFonts w:hint="default" w:ascii="Times New Roman" w:hAnsi="Times New Roman" w:cs="Times New Roman"/>
          <w:color w:val="auto"/>
          <w:spacing w:val="-5"/>
          <w:sz w:val="24"/>
          <w:szCs w:val="24"/>
          <w:u w:val="none" w:color="auto"/>
        </w:rPr>
        <w:t>工作应搜集集</w:t>
      </w:r>
      <w:r>
        <w:rPr>
          <w:rFonts w:hint="default" w:ascii="Times New Roman" w:hAnsi="Times New Roman" w:cs="Times New Roman"/>
          <w:color w:val="auto"/>
          <w:spacing w:val="-5"/>
          <w:sz w:val="24"/>
          <w:szCs w:val="24"/>
          <w:u w:val="none" w:color="auto"/>
          <w:lang w:val="en-US" w:eastAsia="zh-CN"/>
        </w:rPr>
        <w:t>周边环境资料、</w:t>
      </w:r>
      <w:r>
        <w:rPr>
          <w:rFonts w:hint="default" w:ascii="Times New Roman" w:hAnsi="Times New Roman" w:cs="Times New Roman"/>
          <w:color w:val="auto"/>
          <w:spacing w:val="-5"/>
          <w:sz w:val="24"/>
          <w:szCs w:val="24"/>
          <w:u w:val="none" w:color="auto"/>
        </w:rPr>
        <w:t>勘察与设计文件</w:t>
      </w:r>
      <w:r>
        <w:rPr>
          <w:rFonts w:hint="default" w:ascii="Times New Roman" w:hAnsi="Times New Roman" w:cs="Times New Roman"/>
          <w:color w:val="auto"/>
          <w:spacing w:val="-5"/>
          <w:sz w:val="24"/>
          <w:szCs w:val="24"/>
          <w:u w:val="none" w:color="auto"/>
          <w:lang w:eastAsia="zh-CN"/>
        </w:rPr>
        <w:t>（</w:t>
      </w:r>
      <w:r>
        <w:rPr>
          <w:rFonts w:hint="default" w:ascii="Times New Roman" w:hAnsi="Times New Roman" w:cs="Times New Roman"/>
          <w:color w:val="auto"/>
          <w:spacing w:val="-5"/>
          <w:sz w:val="24"/>
          <w:szCs w:val="24"/>
          <w:u w:val="none" w:color="auto"/>
          <w:lang w:val="en-US" w:eastAsia="zh-CN"/>
        </w:rPr>
        <w:t>包括论证结论及回复意见</w:t>
      </w:r>
      <w:r>
        <w:rPr>
          <w:rFonts w:hint="default" w:ascii="Times New Roman" w:hAnsi="Times New Roman" w:cs="Times New Roman"/>
          <w:color w:val="auto"/>
          <w:spacing w:val="-5"/>
          <w:sz w:val="24"/>
          <w:szCs w:val="24"/>
          <w:u w:val="none" w:color="auto"/>
          <w:lang w:eastAsia="zh-CN"/>
        </w:rPr>
        <w:t>）</w:t>
      </w:r>
      <w:r>
        <w:rPr>
          <w:rFonts w:hint="default" w:ascii="Times New Roman" w:hAnsi="Times New Roman" w:cs="Times New Roman"/>
          <w:color w:val="auto"/>
          <w:spacing w:val="-5"/>
          <w:sz w:val="24"/>
          <w:szCs w:val="24"/>
          <w:u w:val="none" w:color="auto"/>
        </w:rPr>
        <w:t>、施工资料、检测资料、</w:t>
      </w:r>
      <w:r>
        <w:rPr>
          <w:rFonts w:hint="default" w:ascii="Times New Roman" w:hAnsi="Times New Roman" w:cs="Times New Roman"/>
          <w:color w:val="auto"/>
          <w:spacing w:val="-1"/>
          <w:sz w:val="24"/>
          <w:szCs w:val="24"/>
          <w:u w:val="none" w:color="auto"/>
        </w:rPr>
        <w:t>监测资料或验收资料及能反映基坑现场情况的影像资料，并应对收集的</w:t>
      </w:r>
      <w:r>
        <w:rPr>
          <w:rFonts w:hint="default" w:ascii="Times New Roman" w:hAnsi="Times New Roman" w:cs="Times New Roman"/>
          <w:color w:val="auto"/>
          <w:spacing w:val="-2"/>
          <w:sz w:val="24"/>
          <w:szCs w:val="24"/>
          <w:u w:val="none" w:color="auto"/>
        </w:rPr>
        <w:t>资料进行现</w:t>
      </w:r>
      <w:r>
        <w:rPr>
          <w:rFonts w:hint="default" w:ascii="Times New Roman" w:hAnsi="Times New Roman" w:cs="Times New Roman"/>
          <w:color w:val="auto"/>
          <w:spacing w:val="-6"/>
          <w:sz w:val="24"/>
          <w:szCs w:val="24"/>
          <w:u w:val="none" w:color="auto"/>
        </w:rPr>
        <w:t>场调查复核。</w:t>
      </w:r>
    </w:p>
    <w:p w14:paraId="7F7768AD">
      <w:pPr>
        <w:spacing w:line="360" w:lineRule="auto"/>
        <w:rPr>
          <w:rFonts w:hint="default" w:ascii="Times New Roman" w:hAnsi="Times New Roman" w:eastAsia="楷体" w:cs="Times New Roman"/>
          <w:color w:val="auto"/>
          <w:sz w:val="24"/>
          <w:szCs w:val="28"/>
          <w:highlight w:val="none"/>
          <w:u w:val="single"/>
          <w:lang w:val="zh-CN" w:eastAsia="zh-CN"/>
        </w:rPr>
      </w:pPr>
      <w:r>
        <w:rPr>
          <w:rFonts w:hint="default" w:ascii="Times New Roman" w:hAnsi="Times New Roman" w:eastAsia="楷体" w:cs="Times New Roman"/>
          <w:color w:val="auto"/>
          <w:sz w:val="24"/>
          <w:szCs w:val="28"/>
          <w:highlight w:val="none"/>
          <w:u w:val="single"/>
          <w:lang w:val="zh-CN" w:eastAsia="zh-CN"/>
        </w:rPr>
        <w:t>【条文说明】基坑设计文件包括设计图纸、变更文件、计算书及其咨询意见书；施工资料主要包括基坑工程安全专项方案、危大工程专家论证意见、施工记录及隐蔽工程验收记录、检验批、原材检验等内容；检测、监测资料为第三方检测、监测</w:t>
      </w:r>
      <w:r>
        <w:rPr>
          <w:rFonts w:hint="default" w:ascii="Times New Roman" w:hAnsi="Times New Roman" w:eastAsia="楷体" w:cs="Times New Roman"/>
          <w:color w:val="auto"/>
          <w:sz w:val="24"/>
          <w:szCs w:val="28"/>
          <w:highlight w:val="none"/>
          <w:u w:val="single"/>
          <w:lang w:val="en-US" w:eastAsia="zh-CN"/>
        </w:rPr>
        <w:t>单位</w:t>
      </w:r>
      <w:r>
        <w:rPr>
          <w:rFonts w:hint="default" w:ascii="Times New Roman" w:hAnsi="Times New Roman" w:eastAsia="楷体" w:cs="Times New Roman"/>
          <w:color w:val="auto"/>
          <w:sz w:val="24"/>
          <w:szCs w:val="28"/>
          <w:highlight w:val="none"/>
          <w:u w:val="single"/>
          <w:lang w:val="zh-CN" w:eastAsia="zh-CN"/>
        </w:rPr>
        <w:t>出具的支护结构的验收检测报告及变形监测报告。以上所有资料均应是签字盖章齐全的正式资料。现场调查系指复核现场实际情况是否与设计一致，并核查基坑支护结构几何特性、荷载情况、周边环境条件等，根据基坑现状进行重新建模，以方便后续验算工作。</w:t>
      </w:r>
    </w:p>
    <w:p w14:paraId="30E9C65D">
      <w:pPr>
        <w:pStyle w:val="6"/>
        <w:keepNext w:val="0"/>
        <w:keepLines w:val="0"/>
        <w:pageBreakBefore w:val="0"/>
        <w:widowControl w:val="0"/>
        <w:kinsoku/>
        <w:wordWrap/>
        <w:overflowPunct/>
        <w:topLinePunct w:val="0"/>
        <w:autoSpaceDE/>
        <w:autoSpaceDN/>
        <w:bidi w:val="0"/>
        <w:adjustRightInd/>
        <w:snapToGrid/>
        <w:spacing w:line="360" w:lineRule="auto"/>
        <w:ind w:left="0" w:right="0" w:firstLine="0"/>
        <w:textAlignment w:val="auto"/>
        <w:rPr>
          <w:rFonts w:hint="default" w:ascii="Times New Roman" w:hAnsi="Times New Roman" w:eastAsia="Times New Roman" w:cs="Times New Roman"/>
          <w:b/>
          <w:bCs/>
          <w:color w:val="auto"/>
          <w:spacing w:val="-5"/>
          <w:sz w:val="24"/>
          <w:szCs w:val="24"/>
          <w:u w:val="none" w:color="auto"/>
        </w:rPr>
      </w:pPr>
      <w:r>
        <w:rPr>
          <w:rFonts w:hint="default" w:ascii="Times New Roman" w:hAnsi="Times New Roman" w:eastAsia="Times New Roman" w:cs="Times New Roman"/>
          <w:b/>
          <w:bCs/>
          <w:color w:val="auto"/>
          <w:spacing w:val="-5"/>
          <w:sz w:val="24"/>
          <w:szCs w:val="24"/>
          <w:u w:val="none" w:color="auto"/>
        </w:rPr>
        <w:t>4.2.</w:t>
      </w:r>
      <w:r>
        <w:rPr>
          <w:rFonts w:hint="default" w:ascii="Times New Roman" w:hAnsi="Times New Roman" w:eastAsia="Times New Roman" w:cs="Times New Roman"/>
          <w:b/>
          <w:bCs/>
          <w:color w:val="auto"/>
          <w:spacing w:val="-5"/>
          <w:sz w:val="24"/>
          <w:szCs w:val="24"/>
          <w:u w:val="none" w:color="auto"/>
          <w:lang w:val="en-US" w:eastAsia="zh-CN"/>
        </w:rPr>
        <w:t>2</w:t>
      </w:r>
      <w:r>
        <w:rPr>
          <w:rFonts w:hint="default" w:ascii="Times New Roman" w:hAnsi="Times New Roman" w:eastAsia="Times New Roman" w:cs="Times New Roman"/>
          <w:b/>
          <w:bCs/>
          <w:color w:val="auto"/>
          <w:spacing w:val="-5"/>
          <w:sz w:val="24"/>
          <w:szCs w:val="24"/>
          <w:u w:val="none" w:color="auto"/>
        </w:rPr>
        <w:t xml:space="preserve"> </w:t>
      </w:r>
      <w:r>
        <w:rPr>
          <w:rFonts w:hint="default" w:ascii="Times New Roman" w:hAnsi="Times New Roman" w:eastAsia="Times New Roman" w:cs="Times New Roman"/>
          <w:b w:val="0"/>
          <w:bCs w:val="0"/>
          <w:color w:val="auto"/>
          <w:spacing w:val="-5"/>
          <w:sz w:val="24"/>
          <w:szCs w:val="24"/>
          <w:u w:val="none" w:color="auto"/>
        </w:rPr>
        <w:t>基坑周边环境条件在调查时，</w:t>
      </w:r>
      <w:r>
        <w:rPr>
          <w:rFonts w:hint="default" w:ascii="Times New Roman" w:hAnsi="Times New Roman" w:eastAsia="Times New Roman" w:cs="Times New Roman"/>
          <w:b w:val="0"/>
          <w:bCs w:val="0"/>
          <w:color w:val="auto"/>
          <w:spacing w:val="-5"/>
          <w:sz w:val="24"/>
          <w:szCs w:val="24"/>
          <w:u w:val="none" w:color="auto"/>
          <w:lang w:val="en-US" w:eastAsia="zh-CN"/>
        </w:rPr>
        <w:t>应</w:t>
      </w:r>
      <w:r>
        <w:rPr>
          <w:rFonts w:hint="default" w:ascii="Times New Roman" w:hAnsi="Times New Roman" w:eastAsia="Times New Roman" w:cs="Times New Roman"/>
          <w:b w:val="0"/>
          <w:bCs w:val="0"/>
          <w:color w:val="auto"/>
          <w:spacing w:val="-5"/>
          <w:sz w:val="24"/>
          <w:szCs w:val="24"/>
          <w:u w:val="none" w:color="auto"/>
        </w:rPr>
        <w:t>收集基坑影响范围内建（构）筑物的基本信息，包括但不限于基础形式、埋深、荷载，市政管网用途与材料和渗漏及其与基坑之间的水平距离及埋深等情况，周边道路类型、位置、宽度、荷载等，并应与设计文件对照复核。</w:t>
      </w:r>
    </w:p>
    <w:p w14:paraId="6641EBD1">
      <w:pPr>
        <w:spacing w:line="360" w:lineRule="auto"/>
        <w:rPr>
          <w:rFonts w:hint="default" w:ascii="Times New Roman" w:hAnsi="Times New Roman" w:eastAsia="楷体" w:cs="Times New Roman"/>
          <w:color w:val="auto"/>
          <w:sz w:val="24"/>
          <w:szCs w:val="28"/>
          <w:highlight w:val="none"/>
          <w:u w:val="single"/>
          <w:lang w:val="zh-CN" w:eastAsia="zh-CN"/>
        </w:rPr>
      </w:pPr>
      <w:r>
        <w:rPr>
          <w:rFonts w:hint="default" w:ascii="Times New Roman" w:hAnsi="Times New Roman" w:eastAsia="楷体" w:cs="Times New Roman"/>
          <w:color w:val="auto"/>
          <w:sz w:val="24"/>
          <w:szCs w:val="28"/>
          <w:highlight w:val="none"/>
          <w:u w:val="single"/>
          <w:lang w:val="zh-CN" w:eastAsia="zh-CN"/>
        </w:rPr>
        <w:t>【条文说明】基坑周边环境条件是基坑鉴定重要参考因素，可以从周边环境的变化来推测基坑对周边环境的影响情况，同时也是建模分析的重要输入条件。</w:t>
      </w:r>
    </w:p>
    <w:p w14:paraId="4DE56DAF">
      <w:pPr>
        <w:pStyle w:val="6"/>
        <w:keepNext w:val="0"/>
        <w:keepLines w:val="0"/>
        <w:pageBreakBefore w:val="0"/>
        <w:widowControl w:val="0"/>
        <w:kinsoku/>
        <w:wordWrap/>
        <w:overflowPunct/>
        <w:topLinePunct w:val="0"/>
        <w:autoSpaceDE/>
        <w:autoSpaceDN/>
        <w:bidi w:val="0"/>
        <w:adjustRightInd/>
        <w:snapToGrid/>
        <w:spacing w:line="360" w:lineRule="auto"/>
        <w:ind w:left="0" w:right="0" w:firstLine="0"/>
        <w:textAlignment w:val="auto"/>
        <w:rPr>
          <w:rFonts w:hint="default" w:ascii="Times New Roman" w:hAnsi="Times New Roman" w:eastAsia="Times New Roman" w:cs="Times New Roman"/>
          <w:b w:val="0"/>
          <w:bCs w:val="0"/>
          <w:color w:val="auto"/>
          <w:spacing w:val="-5"/>
          <w:sz w:val="24"/>
          <w:szCs w:val="24"/>
          <w:u w:val="none" w:color="auto"/>
        </w:rPr>
      </w:pPr>
      <w:r>
        <w:rPr>
          <w:rFonts w:hint="default" w:ascii="Times New Roman" w:hAnsi="Times New Roman" w:eastAsia="Times New Roman" w:cs="Times New Roman"/>
          <w:b/>
          <w:bCs/>
          <w:color w:val="auto"/>
          <w:spacing w:val="-5"/>
          <w:sz w:val="24"/>
          <w:szCs w:val="24"/>
          <w:u w:val="none" w:color="auto"/>
        </w:rPr>
        <w:t>4.2.</w:t>
      </w:r>
      <w:r>
        <w:rPr>
          <w:rFonts w:hint="default" w:ascii="Times New Roman" w:hAnsi="Times New Roman" w:eastAsia="Times New Roman" w:cs="Times New Roman"/>
          <w:b/>
          <w:bCs/>
          <w:color w:val="auto"/>
          <w:spacing w:val="-5"/>
          <w:sz w:val="24"/>
          <w:szCs w:val="24"/>
          <w:u w:val="none" w:color="auto"/>
          <w:lang w:val="en-US" w:eastAsia="zh-CN"/>
        </w:rPr>
        <w:t>3</w:t>
      </w:r>
      <w:r>
        <w:rPr>
          <w:rFonts w:hint="default" w:ascii="Times New Roman" w:hAnsi="Times New Roman" w:eastAsia="Times New Roman" w:cs="Times New Roman"/>
          <w:b/>
          <w:bCs/>
          <w:color w:val="auto"/>
          <w:spacing w:val="-5"/>
          <w:sz w:val="24"/>
          <w:szCs w:val="24"/>
          <w:u w:val="none" w:color="auto"/>
        </w:rPr>
        <w:t xml:space="preserve"> </w:t>
      </w:r>
      <w:r>
        <w:rPr>
          <w:rFonts w:hint="default" w:ascii="Times New Roman" w:hAnsi="Times New Roman" w:eastAsia="Times New Roman" w:cs="Times New Roman"/>
          <w:b w:val="0"/>
          <w:bCs w:val="0"/>
          <w:color w:val="auto"/>
          <w:spacing w:val="-5"/>
          <w:sz w:val="24"/>
          <w:szCs w:val="24"/>
          <w:u w:val="none" w:color="auto"/>
        </w:rPr>
        <w:t>当场地勘察文件不能满足</w:t>
      </w:r>
      <w:r>
        <w:rPr>
          <w:rFonts w:hint="default" w:ascii="Times New Roman" w:hAnsi="Times New Roman" w:eastAsia="Times New Roman" w:cs="Times New Roman"/>
          <w:b w:val="0"/>
          <w:bCs w:val="0"/>
          <w:color w:val="auto"/>
          <w:spacing w:val="-5"/>
          <w:sz w:val="24"/>
          <w:szCs w:val="24"/>
          <w:u w:val="none" w:color="auto"/>
          <w:lang w:eastAsia="zh-CN"/>
        </w:rPr>
        <w:t>基坑工程安全性鉴定</w:t>
      </w:r>
      <w:r>
        <w:rPr>
          <w:rFonts w:hint="default" w:ascii="Times New Roman" w:hAnsi="Times New Roman" w:eastAsia="Times New Roman" w:cs="Times New Roman"/>
          <w:b w:val="0"/>
          <w:bCs w:val="0"/>
          <w:color w:val="auto"/>
          <w:spacing w:val="-5"/>
          <w:sz w:val="24"/>
          <w:szCs w:val="24"/>
          <w:u w:val="none" w:color="auto"/>
        </w:rPr>
        <w:t>需要时，应进行补充勘察。</w:t>
      </w:r>
    </w:p>
    <w:p w14:paraId="1FD4AC12">
      <w:pPr>
        <w:spacing w:line="360" w:lineRule="auto"/>
        <w:rPr>
          <w:rFonts w:hint="default" w:ascii="Times New Roman" w:hAnsi="Times New Roman" w:eastAsia="楷体" w:cs="Times New Roman"/>
          <w:color w:val="auto"/>
          <w:sz w:val="24"/>
          <w:szCs w:val="28"/>
          <w:highlight w:val="none"/>
          <w:u w:val="single"/>
          <w:lang w:val="zh-CN" w:eastAsia="zh-CN"/>
        </w:rPr>
      </w:pPr>
      <w:r>
        <w:rPr>
          <w:rFonts w:hint="default" w:ascii="Times New Roman" w:hAnsi="Times New Roman" w:eastAsia="楷体" w:cs="Times New Roman"/>
          <w:color w:val="auto"/>
          <w:sz w:val="24"/>
          <w:szCs w:val="28"/>
          <w:highlight w:val="none"/>
          <w:u w:val="single"/>
          <w:lang w:val="zh-CN" w:eastAsia="zh-CN"/>
        </w:rPr>
        <w:t>【条文说明】目前，大多数基坑工程未开展专项勘察工作，均用详勘报告代替专项勘察。基坑外侧深度影响范围内的地层分布情况并不清楚。致使基坑支护设计采用的岩土工程勘察文件与实际情况存在偏离，从而造成基坑工程风险。另外，在基坑使用期间，有可能因为基坑开挖改变周边地质条件的变化，如市政管网因基坑变形发生破损泄漏，致使岩土体抗剪强度发生明显的变化。因此，在使用收集的岩土工程勘察文件作为鉴定依据前，应通过现场踏勘，资料查询和座谈等方式，调查在基坑施工过程中所揭露或反馈的实际工程地质、水文地质情况。当收集的勘察文件不能满足基坑工程鉴定需要时，应按国家现行有关标准规定进行补充勘察。</w:t>
      </w:r>
    </w:p>
    <w:p w14:paraId="5880DCCA">
      <w:pPr>
        <w:pStyle w:val="6"/>
        <w:keepNext w:val="0"/>
        <w:keepLines w:val="0"/>
        <w:pageBreakBefore w:val="0"/>
        <w:widowControl w:val="0"/>
        <w:kinsoku/>
        <w:wordWrap/>
        <w:overflowPunct/>
        <w:topLinePunct w:val="0"/>
        <w:autoSpaceDE/>
        <w:autoSpaceDN/>
        <w:bidi w:val="0"/>
        <w:adjustRightInd/>
        <w:snapToGrid/>
        <w:spacing w:line="360" w:lineRule="auto"/>
        <w:ind w:left="0" w:right="0" w:firstLine="0"/>
        <w:textAlignment w:val="auto"/>
        <w:rPr>
          <w:rFonts w:hint="default" w:ascii="Times New Roman" w:hAnsi="Times New Roman" w:eastAsia="Times New Roman" w:cs="Times New Roman"/>
          <w:b/>
          <w:bCs/>
          <w:color w:val="auto"/>
          <w:spacing w:val="-5"/>
          <w:sz w:val="24"/>
          <w:szCs w:val="24"/>
          <w:u w:val="none" w:color="auto"/>
          <w:lang w:val="en-US" w:eastAsia="zh-CN"/>
        </w:rPr>
      </w:pPr>
      <w:r>
        <w:rPr>
          <w:rFonts w:hint="default" w:ascii="Times New Roman" w:hAnsi="Times New Roman" w:eastAsia="Times New Roman" w:cs="Times New Roman"/>
          <w:b/>
          <w:bCs/>
          <w:color w:val="auto"/>
          <w:spacing w:val="-5"/>
          <w:sz w:val="24"/>
          <w:szCs w:val="24"/>
          <w:u w:val="none" w:color="auto"/>
        </w:rPr>
        <w:t>4.2.</w:t>
      </w:r>
      <w:r>
        <w:rPr>
          <w:rFonts w:hint="default" w:ascii="Times New Roman" w:hAnsi="Times New Roman" w:eastAsia="Times New Roman" w:cs="Times New Roman"/>
          <w:b/>
          <w:bCs/>
          <w:color w:val="auto"/>
          <w:spacing w:val="-5"/>
          <w:sz w:val="24"/>
          <w:szCs w:val="24"/>
          <w:u w:val="none" w:color="auto"/>
          <w:lang w:val="en-US" w:eastAsia="zh-CN"/>
        </w:rPr>
        <w:t>4</w:t>
      </w:r>
      <w:r>
        <w:rPr>
          <w:rFonts w:hint="default" w:ascii="Times New Roman" w:hAnsi="Times New Roman" w:eastAsia="Times New Roman" w:cs="Times New Roman"/>
          <w:b/>
          <w:bCs/>
          <w:color w:val="auto"/>
          <w:spacing w:val="-5"/>
          <w:sz w:val="24"/>
          <w:szCs w:val="24"/>
          <w:u w:val="none" w:color="auto"/>
        </w:rPr>
        <w:t xml:space="preserve"> </w:t>
      </w:r>
      <w:r>
        <w:rPr>
          <w:rFonts w:hint="default" w:ascii="Times New Roman" w:hAnsi="Times New Roman" w:eastAsia="Times New Roman" w:cs="Times New Roman"/>
          <w:b w:val="0"/>
          <w:bCs w:val="0"/>
          <w:color w:val="auto"/>
          <w:spacing w:val="-5"/>
          <w:sz w:val="24"/>
          <w:szCs w:val="24"/>
          <w:u w:val="none" w:color="auto"/>
        </w:rPr>
        <w:t>基坑支护设计文件、施工方案</w:t>
      </w:r>
      <w:r>
        <w:rPr>
          <w:rFonts w:hint="default" w:ascii="Times New Roman" w:hAnsi="Times New Roman" w:eastAsia="Times New Roman" w:cs="Times New Roman"/>
          <w:b w:val="0"/>
          <w:bCs w:val="0"/>
          <w:color w:val="auto"/>
          <w:spacing w:val="-5"/>
          <w:sz w:val="24"/>
          <w:szCs w:val="24"/>
          <w:u w:val="none" w:color="auto"/>
          <w:lang w:val="en-US" w:eastAsia="zh-CN"/>
        </w:rPr>
        <w:t>包括基坑工程的支护设计、变更、专项施工方案、咨询论证意见、回复、应急预案等，检查设计文件等的完整性、合规性。资料收集时应</w:t>
      </w:r>
      <w:r>
        <w:rPr>
          <w:rFonts w:hint="default" w:ascii="Times New Roman" w:hAnsi="Times New Roman" w:eastAsia="Times New Roman" w:cs="Times New Roman"/>
          <w:b w:val="0"/>
          <w:bCs w:val="0"/>
          <w:color w:val="auto"/>
          <w:spacing w:val="-5"/>
          <w:sz w:val="24"/>
          <w:szCs w:val="24"/>
          <w:u w:val="none" w:color="auto"/>
        </w:rPr>
        <w:t>调查了解基坑施工和使用的历史情况。当施工过程质量检验资料</w:t>
      </w:r>
      <w:r>
        <w:rPr>
          <w:rFonts w:hint="default" w:ascii="Times New Roman" w:hAnsi="Times New Roman" w:eastAsia="Times New Roman" w:cs="Times New Roman"/>
          <w:b w:val="0"/>
          <w:bCs w:val="0"/>
          <w:color w:val="auto"/>
          <w:spacing w:val="-5"/>
          <w:sz w:val="24"/>
          <w:szCs w:val="24"/>
          <w:u w:val="none" w:color="auto"/>
          <w:lang w:val="en-US" w:eastAsia="zh-CN"/>
        </w:rPr>
        <w:t>缺失</w:t>
      </w:r>
      <w:r>
        <w:rPr>
          <w:rFonts w:hint="default" w:ascii="Times New Roman" w:hAnsi="Times New Roman" w:eastAsia="Times New Roman" w:cs="Times New Roman"/>
          <w:b w:val="0"/>
          <w:bCs w:val="0"/>
          <w:color w:val="auto"/>
          <w:spacing w:val="-5"/>
          <w:sz w:val="24"/>
          <w:szCs w:val="24"/>
          <w:u w:val="none" w:color="auto"/>
        </w:rPr>
        <w:t>时，应</w:t>
      </w:r>
      <w:r>
        <w:rPr>
          <w:rFonts w:hint="default" w:ascii="Times New Roman" w:hAnsi="Times New Roman" w:eastAsia="Times New Roman" w:cs="Times New Roman"/>
          <w:b w:val="0"/>
          <w:bCs w:val="0"/>
          <w:color w:val="auto"/>
          <w:spacing w:val="-5"/>
          <w:sz w:val="24"/>
          <w:szCs w:val="24"/>
          <w:u w:val="none" w:color="auto"/>
          <w:lang w:val="en-US" w:eastAsia="zh-CN"/>
        </w:rPr>
        <w:t>采取适当检测措施进行验证。</w:t>
      </w:r>
    </w:p>
    <w:p w14:paraId="30BE5F78">
      <w:pPr>
        <w:spacing w:line="360" w:lineRule="auto"/>
        <w:rPr>
          <w:rFonts w:hint="default" w:ascii="Times New Roman" w:hAnsi="Times New Roman" w:eastAsia="楷体" w:cs="Times New Roman"/>
          <w:color w:val="auto"/>
          <w:sz w:val="24"/>
          <w:szCs w:val="28"/>
          <w:highlight w:val="none"/>
          <w:u w:val="single"/>
          <w:lang w:val="zh-CN" w:eastAsia="zh-CN"/>
        </w:rPr>
      </w:pPr>
      <w:r>
        <w:rPr>
          <w:rFonts w:hint="default" w:ascii="Times New Roman" w:hAnsi="Times New Roman" w:eastAsia="楷体" w:cs="Times New Roman"/>
          <w:color w:val="auto"/>
          <w:sz w:val="24"/>
          <w:szCs w:val="28"/>
          <w:highlight w:val="none"/>
          <w:u w:val="single"/>
          <w:lang w:val="zh-CN" w:eastAsia="zh-CN"/>
        </w:rPr>
        <w:t>【条文说明】检查设计文件及施工方案</w:t>
      </w:r>
      <w:r>
        <w:rPr>
          <w:rFonts w:hint="default" w:ascii="Times New Roman" w:hAnsi="Times New Roman" w:eastAsia="楷体" w:cs="Times New Roman"/>
          <w:color w:val="auto"/>
          <w:sz w:val="24"/>
          <w:szCs w:val="28"/>
          <w:highlight w:val="none"/>
          <w:u w:val="single"/>
          <w:lang w:val="en-US" w:eastAsia="zh-CN"/>
        </w:rPr>
        <w:t>等，一</w:t>
      </w:r>
      <w:r>
        <w:rPr>
          <w:rFonts w:hint="default" w:ascii="Times New Roman" w:hAnsi="Times New Roman" w:eastAsia="楷体" w:cs="Times New Roman"/>
          <w:color w:val="auto"/>
          <w:sz w:val="24"/>
          <w:szCs w:val="28"/>
          <w:highlight w:val="none"/>
          <w:u w:val="single"/>
          <w:lang w:val="zh-CN" w:eastAsia="zh-CN"/>
        </w:rPr>
        <w:t>是为了</w:t>
      </w:r>
      <w:r>
        <w:rPr>
          <w:rFonts w:hint="default" w:ascii="Times New Roman" w:hAnsi="Times New Roman" w:eastAsia="楷体" w:cs="Times New Roman"/>
          <w:color w:val="auto"/>
          <w:sz w:val="24"/>
          <w:szCs w:val="28"/>
          <w:highlight w:val="none"/>
          <w:u w:val="single"/>
          <w:lang w:val="en-US" w:eastAsia="zh-CN"/>
        </w:rPr>
        <w:t>检查技术资料是否满足基坑正常使用要求，二是为现场勘查阶段</w:t>
      </w:r>
      <w:r>
        <w:rPr>
          <w:rFonts w:hint="default" w:ascii="Times New Roman" w:hAnsi="Times New Roman" w:eastAsia="楷体" w:cs="Times New Roman"/>
          <w:color w:val="auto"/>
          <w:sz w:val="24"/>
          <w:szCs w:val="28"/>
          <w:highlight w:val="none"/>
          <w:u w:val="single"/>
          <w:lang w:val="zh-CN" w:eastAsia="zh-CN"/>
        </w:rPr>
        <w:t>复核现场实际情况是否是按图施工，是否存在与设计工况不一致的情况。基坑施工和使用历史情况调查是指从基坑开工至</w:t>
      </w:r>
      <w:r>
        <w:rPr>
          <w:rFonts w:hint="default" w:ascii="Times New Roman" w:hAnsi="Times New Roman" w:eastAsia="楷体" w:cs="Times New Roman"/>
          <w:color w:val="auto"/>
          <w:sz w:val="24"/>
          <w:szCs w:val="28"/>
          <w:highlight w:val="none"/>
          <w:u w:val="single"/>
          <w:lang w:val="en-US" w:eastAsia="zh-CN"/>
        </w:rPr>
        <w:t>本次</w:t>
      </w:r>
      <w:r>
        <w:rPr>
          <w:rFonts w:hint="default" w:ascii="Times New Roman" w:hAnsi="Times New Roman" w:eastAsia="楷体" w:cs="Times New Roman"/>
          <w:color w:val="auto"/>
          <w:sz w:val="24"/>
          <w:szCs w:val="28"/>
          <w:highlight w:val="none"/>
          <w:u w:val="single"/>
          <w:lang w:val="zh-CN" w:eastAsia="zh-CN"/>
        </w:rPr>
        <w:t>鉴定时，期间发生的停工、变形、事故等一切情况。</w:t>
      </w:r>
    </w:p>
    <w:p w14:paraId="217F1FC2">
      <w:pPr>
        <w:pStyle w:val="6"/>
        <w:keepNext w:val="0"/>
        <w:keepLines w:val="0"/>
        <w:pageBreakBefore w:val="0"/>
        <w:widowControl w:val="0"/>
        <w:kinsoku/>
        <w:wordWrap/>
        <w:overflowPunct/>
        <w:topLinePunct w:val="0"/>
        <w:autoSpaceDE/>
        <w:autoSpaceDN/>
        <w:bidi w:val="0"/>
        <w:adjustRightInd/>
        <w:snapToGrid/>
        <w:spacing w:line="360" w:lineRule="auto"/>
        <w:ind w:left="0" w:right="0" w:firstLine="0"/>
        <w:textAlignment w:val="auto"/>
        <w:rPr>
          <w:rFonts w:hint="default" w:ascii="Times New Roman" w:hAnsi="Times New Roman" w:eastAsia="Times New Roman" w:cs="Times New Roman"/>
          <w:b/>
          <w:bCs/>
          <w:color w:val="auto"/>
          <w:spacing w:val="-5"/>
          <w:sz w:val="24"/>
          <w:szCs w:val="24"/>
          <w:u w:val="none" w:color="auto"/>
        </w:rPr>
      </w:pPr>
      <w:r>
        <w:rPr>
          <w:rFonts w:hint="default" w:ascii="Times New Roman" w:hAnsi="Times New Roman" w:eastAsia="Times New Roman" w:cs="Times New Roman"/>
          <w:b/>
          <w:bCs/>
          <w:color w:val="auto"/>
          <w:spacing w:val="-5"/>
          <w:sz w:val="24"/>
          <w:szCs w:val="24"/>
          <w:u w:val="none" w:color="auto"/>
        </w:rPr>
        <w:t>4.2.</w:t>
      </w:r>
      <w:r>
        <w:rPr>
          <w:rFonts w:hint="default" w:ascii="Times New Roman" w:hAnsi="Times New Roman" w:eastAsia="Times New Roman" w:cs="Times New Roman"/>
          <w:b/>
          <w:bCs/>
          <w:color w:val="auto"/>
          <w:spacing w:val="-5"/>
          <w:sz w:val="24"/>
          <w:szCs w:val="24"/>
          <w:u w:val="none" w:color="auto"/>
          <w:lang w:val="en-US" w:eastAsia="zh-CN"/>
        </w:rPr>
        <w:t>5</w:t>
      </w:r>
      <w:r>
        <w:rPr>
          <w:rFonts w:hint="default" w:ascii="Times New Roman" w:hAnsi="Times New Roman" w:eastAsia="Times New Roman" w:cs="Times New Roman"/>
          <w:b/>
          <w:bCs/>
          <w:color w:val="auto"/>
          <w:spacing w:val="-5"/>
          <w:sz w:val="24"/>
          <w:szCs w:val="24"/>
          <w:u w:val="none" w:color="auto"/>
        </w:rPr>
        <w:t xml:space="preserve"> </w:t>
      </w:r>
      <w:r>
        <w:rPr>
          <w:rFonts w:hint="default" w:ascii="Times New Roman" w:hAnsi="Times New Roman" w:eastAsia="Times New Roman" w:cs="Times New Roman"/>
          <w:b w:val="0"/>
          <w:bCs w:val="0"/>
          <w:color w:val="auto"/>
          <w:spacing w:val="-5"/>
          <w:sz w:val="24"/>
          <w:szCs w:val="24"/>
          <w:u w:val="none" w:color="auto"/>
        </w:rPr>
        <w:t>检查第三方监测</w:t>
      </w:r>
      <w:r>
        <w:rPr>
          <w:rFonts w:hint="default" w:ascii="Times New Roman" w:hAnsi="Times New Roman" w:eastAsia="Times New Roman" w:cs="Times New Roman"/>
          <w:b w:val="0"/>
          <w:bCs w:val="0"/>
          <w:color w:val="auto"/>
          <w:spacing w:val="-5"/>
          <w:sz w:val="24"/>
          <w:szCs w:val="24"/>
          <w:u w:val="none" w:color="auto"/>
          <w:lang w:val="en-US" w:eastAsia="zh-CN"/>
        </w:rPr>
        <w:t>单位</w:t>
      </w:r>
      <w:r>
        <w:rPr>
          <w:rFonts w:hint="default" w:ascii="Times New Roman" w:hAnsi="Times New Roman" w:eastAsia="Times New Roman" w:cs="Times New Roman"/>
          <w:b w:val="0"/>
          <w:bCs w:val="0"/>
          <w:color w:val="auto"/>
          <w:spacing w:val="-5"/>
          <w:sz w:val="24"/>
          <w:szCs w:val="24"/>
          <w:u w:val="none" w:color="auto"/>
        </w:rPr>
        <w:t>的监测资料的连续性和完整性。了解基坑变形历史和现状，以及基坑累计变形或变化速率较大点位；当变形超过预警值或垮塌，应检查施工中采取的应急预案、处理措施、调查报告及基坑现状。当监测资料不能满足</w:t>
      </w:r>
      <w:r>
        <w:rPr>
          <w:rFonts w:hint="default" w:ascii="Times New Roman" w:hAnsi="Times New Roman" w:eastAsia="Times New Roman" w:cs="Times New Roman"/>
          <w:b w:val="0"/>
          <w:bCs w:val="0"/>
          <w:color w:val="auto"/>
          <w:spacing w:val="-5"/>
          <w:sz w:val="24"/>
          <w:szCs w:val="24"/>
          <w:u w:val="none" w:color="auto"/>
          <w:lang w:eastAsia="zh-CN"/>
        </w:rPr>
        <w:t>基坑工程安全性鉴定</w:t>
      </w:r>
      <w:r>
        <w:rPr>
          <w:rFonts w:hint="default" w:ascii="Times New Roman" w:hAnsi="Times New Roman" w:eastAsia="Times New Roman" w:cs="Times New Roman"/>
          <w:b w:val="0"/>
          <w:bCs w:val="0"/>
          <w:color w:val="auto"/>
          <w:spacing w:val="-5"/>
          <w:sz w:val="24"/>
          <w:szCs w:val="24"/>
          <w:u w:val="none" w:color="auto"/>
        </w:rPr>
        <w:t>需要时，应根据需要进行补充监测</w:t>
      </w:r>
      <w:r>
        <w:rPr>
          <w:rFonts w:hint="default" w:ascii="Times New Roman" w:hAnsi="Times New Roman" w:eastAsia="Times New Roman" w:cs="Times New Roman"/>
          <w:b w:val="0"/>
          <w:bCs w:val="0"/>
          <w:color w:val="auto"/>
          <w:spacing w:val="-5"/>
          <w:sz w:val="24"/>
          <w:szCs w:val="24"/>
          <w:u w:val="none" w:color="auto"/>
          <w:lang w:eastAsia="zh-CN"/>
        </w:rPr>
        <w:t>。</w:t>
      </w:r>
    </w:p>
    <w:p w14:paraId="39908BF9">
      <w:pPr>
        <w:spacing w:line="360" w:lineRule="auto"/>
        <w:rPr>
          <w:rFonts w:hint="default" w:ascii="Times New Roman" w:hAnsi="Times New Roman" w:eastAsia="楷体" w:cs="Times New Roman"/>
          <w:color w:val="auto"/>
          <w:sz w:val="24"/>
          <w:szCs w:val="28"/>
          <w:highlight w:val="none"/>
          <w:u w:val="single"/>
          <w:lang w:val="zh-CN" w:eastAsia="zh-CN"/>
        </w:rPr>
      </w:pPr>
      <w:r>
        <w:rPr>
          <w:rFonts w:hint="default" w:ascii="Times New Roman" w:hAnsi="Times New Roman" w:eastAsia="楷体" w:cs="Times New Roman"/>
          <w:color w:val="auto"/>
          <w:sz w:val="24"/>
          <w:szCs w:val="28"/>
          <w:highlight w:val="none"/>
          <w:u w:val="single"/>
          <w:lang w:val="zh-CN" w:eastAsia="zh-CN"/>
        </w:rPr>
        <w:t>【条文说明】由第三方变形监测</w:t>
      </w:r>
      <w:r>
        <w:rPr>
          <w:rFonts w:hint="default" w:ascii="Times New Roman" w:hAnsi="Times New Roman" w:eastAsia="楷体" w:cs="Times New Roman"/>
          <w:color w:val="auto"/>
          <w:sz w:val="24"/>
          <w:szCs w:val="28"/>
          <w:highlight w:val="none"/>
          <w:u w:val="single"/>
          <w:lang w:val="en-US" w:eastAsia="zh-CN"/>
        </w:rPr>
        <w:t>单位</w:t>
      </w:r>
      <w:r>
        <w:rPr>
          <w:rFonts w:hint="default" w:ascii="Times New Roman" w:hAnsi="Times New Roman" w:eastAsia="楷体" w:cs="Times New Roman"/>
          <w:color w:val="auto"/>
          <w:sz w:val="24"/>
          <w:szCs w:val="28"/>
          <w:highlight w:val="none"/>
          <w:u w:val="single"/>
          <w:lang w:val="zh-CN" w:eastAsia="zh-CN"/>
        </w:rPr>
        <w:t>提供的基坑变形监测报告作为基坑工程安全性鉴定重要依据，应现场调查基坑监测的具体实施情况，了解在鉴定范围内进行了哪些监测内容，掌握基坑变形过程及现状，评价监测资料能否满足鉴定需要。当鉴定需要补充监测数据时，鉴定单位应补充监测内容和相应的技术要求，自行或委托第三方进行补充监测。</w:t>
      </w:r>
    </w:p>
    <w:p w14:paraId="4E9B3AC9">
      <w:pPr>
        <w:spacing w:line="360" w:lineRule="auto"/>
        <w:rPr>
          <w:rFonts w:hint="default" w:ascii="Times New Roman" w:hAnsi="Times New Roman" w:cs="Times New Roman"/>
          <w:color w:val="auto"/>
          <w:spacing w:val="-4"/>
          <w:sz w:val="24"/>
          <w:szCs w:val="24"/>
          <w:u w:val="none" w:color="auto"/>
        </w:rPr>
      </w:pPr>
      <w:r>
        <w:rPr>
          <w:rFonts w:hint="default" w:ascii="Times New Roman" w:hAnsi="Times New Roman" w:eastAsia="Times New Roman" w:cs="Times New Roman"/>
          <w:b/>
          <w:bCs/>
          <w:color w:val="auto"/>
          <w:sz w:val="24"/>
          <w:szCs w:val="24"/>
          <w:u w:val="none" w:color="auto"/>
        </w:rPr>
        <w:t>4.2.</w:t>
      </w:r>
      <w:r>
        <w:rPr>
          <w:rFonts w:hint="default" w:ascii="Times New Roman" w:hAnsi="Times New Roman" w:cs="Times New Roman"/>
          <w:b/>
          <w:bCs/>
          <w:color w:val="auto"/>
          <w:sz w:val="24"/>
          <w:szCs w:val="24"/>
          <w:u w:val="none" w:color="auto"/>
          <w:lang w:val="en-US" w:eastAsia="zh-CN"/>
        </w:rPr>
        <w:t>6</w:t>
      </w:r>
      <w:r>
        <w:rPr>
          <w:rFonts w:hint="default" w:ascii="Times New Roman" w:hAnsi="Times New Roman" w:eastAsia="Times New Roman" w:cs="Times New Roman"/>
          <w:b/>
          <w:bCs/>
          <w:color w:val="auto"/>
          <w:sz w:val="24"/>
          <w:szCs w:val="24"/>
          <w:u w:val="none" w:color="auto"/>
        </w:rPr>
        <w:t xml:space="preserve"> </w:t>
      </w:r>
      <w:r>
        <w:rPr>
          <w:rFonts w:hint="default" w:ascii="Times New Roman" w:hAnsi="Times New Roman" w:cs="Times New Roman"/>
          <w:color w:val="auto"/>
          <w:sz w:val="24"/>
          <w:szCs w:val="24"/>
          <w:u w:val="none" w:color="auto"/>
        </w:rPr>
        <w:t>对已竣工基坑工程，应检查基坑验收资料，验收资料应完整</w:t>
      </w:r>
      <w:r>
        <w:rPr>
          <w:rFonts w:hint="default" w:ascii="Times New Roman" w:hAnsi="Times New Roman" w:cs="Times New Roman"/>
          <w:color w:val="auto"/>
          <w:spacing w:val="-4"/>
          <w:sz w:val="24"/>
          <w:szCs w:val="24"/>
          <w:u w:val="none" w:color="auto"/>
        </w:rPr>
        <w:t>。</w:t>
      </w:r>
    </w:p>
    <w:p w14:paraId="2337F02A">
      <w:pPr>
        <w:pStyle w:val="3"/>
        <w:suppressLineNumbers w:val="0"/>
        <w:spacing w:before="0" w:beforeLines="-2147483648" w:beforeAutospacing="0" w:after="0" w:afterLines="-2147483648" w:afterAutospacing="0" w:line="360" w:lineRule="auto"/>
        <w:ind w:left="0" w:firstLine="0"/>
        <w:rPr>
          <w:rFonts w:hint="default" w:ascii="Times New Roman" w:hAnsi="Times New Roman" w:cs="Times New Roman" w:eastAsiaTheme="minorEastAsia"/>
          <w:bCs w:val="0"/>
          <w:sz w:val="28"/>
          <w:szCs w:val="28"/>
          <w:lang w:val="en-US" w:eastAsia="zh-CN" w:bidi="ar-SA"/>
        </w:rPr>
      </w:pPr>
      <w:bookmarkStart w:id="25" w:name="_Toc20017"/>
      <w:r>
        <w:rPr>
          <w:rFonts w:hint="default" w:ascii="Times New Roman" w:hAnsi="Times New Roman" w:cs="Times New Roman" w:eastAsiaTheme="minorEastAsia"/>
          <w:bCs w:val="0"/>
          <w:sz w:val="28"/>
          <w:szCs w:val="28"/>
          <w:lang w:val="en-US" w:eastAsia="zh-CN" w:bidi="ar-SA"/>
        </w:rPr>
        <w:t>4.3现场勘查</w:t>
      </w:r>
      <w:bookmarkEnd w:id="25"/>
    </w:p>
    <w:p w14:paraId="5F9231C1">
      <w:pPr>
        <w:spacing w:line="360" w:lineRule="auto"/>
        <w:rPr>
          <w:rFonts w:hint="default" w:ascii="Times New Roman" w:hAnsi="Times New Roman" w:eastAsia="Times New Roman" w:cs="Times New Roman"/>
          <w:b/>
          <w:bCs/>
          <w:color w:val="auto"/>
          <w:sz w:val="24"/>
          <w:szCs w:val="24"/>
          <w:u w:val="none" w:color="auto"/>
        </w:rPr>
      </w:pPr>
      <w:r>
        <w:rPr>
          <w:rFonts w:hint="default" w:ascii="Times New Roman" w:hAnsi="Times New Roman" w:eastAsia="Times New Roman" w:cs="Times New Roman"/>
          <w:b/>
          <w:bCs/>
          <w:color w:val="auto"/>
          <w:sz w:val="24"/>
          <w:szCs w:val="24"/>
          <w:u w:val="none" w:color="auto"/>
        </w:rPr>
        <w:t>4.3.1</w:t>
      </w:r>
      <w:r>
        <w:rPr>
          <w:rFonts w:hint="default" w:ascii="Times New Roman" w:hAnsi="Times New Roman" w:eastAsia="Times New Roman" w:cs="Times New Roman"/>
          <w:b/>
          <w:bCs/>
          <w:color w:val="auto"/>
          <w:sz w:val="24"/>
          <w:szCs w:val="24"/>
          <w:u w:val="none" w:color="auto"/>
          <w:lang w:eastAsia="zh-CN"/>
        </w:rPr>
        <w:t xml:space="preserve"> </w:t>
      </w:r>
      <w:r>
        <w:rPr>
          <w:rFonts w:hint="default" w:ascii="Times New Roman" w:hAnsi="Times New Roman" w:eastAsia="Times New Roman" w:cs="Times New Roman"/>
          <w:b w:val="0"/>
          <w:bCs w:val="0"/>
          <w:color w:val="auto"/>
          <w:sz w:val="24"/>
          <w:szCs w:val="24"/>
          <w:u w:val="none" w:color="auto"/>
        </w:rPr>
        <w:t>基坑周边环境条件现场</w:t>
      </w:r>
      <w:r>
        <w:rPr>
          <w:rFonts w:hint="default" w:ascii="Times New Roman" w:hAnsi="Times New Roman" w:eastAsia="Times New Roman" w:cs="Times New Roman"/>
          <w:b w:val="0"/>
          <w:bCs w:val="0"/>
          <w:color w:val="auto"/>
          <w:sz w:val="24"/>
          <w:szCs w:val="24"/>
          <w:u w:val="none" w:color="auto"/>
          <w:lang w:val="en-US" w:eastAsia="zh-CN"/>
        </w:rPr>
        <w:t>勘查</w:t>
      </w:r>
      <w:r>
        <w:rPr>
          <w:rFonts w:hint="default" w:ascii="Times New Roman" w:hAnsi="Times New Roman" w:eastAsia="Times New Roman" w:cs="Times New Roman"/>
          <w:b w:val="0"/>
          <w:bCs w:val="0"/>
          <w:color w:val="auto"/>
          <w:sz w:val="24"/>
          <w:szCs w:val="24"/>
          <w:u w:val="none" w:color="auto"/>
        </w:rPr>
        <w:t>时，应复核</w:t>
      </w:r>
      <w:r>
        <w:rPr>
          <w:rFonts w:hint="default" w:ascii="Times New Roman" w:hAnsi="Times New Roman" w:eastAsia="Times New Roman" w:cs="Times New Roman"/>
          <w:b w:val="0"/>
          <w:bCs w:val="0"/>
          <w:color w:val="auto"/>
          <w:sz w:val="24"/>
          <w:szCs w:val="24"/>
          <w:u w:val="none" w:color="auto"/>
          <w:lang w:val="en-US" w:eastAsia="zh-CN"/>
        </w:rPr>
        <w:t>前期收集的资料和</w:t>
      </w:r>
      <w:r>
        <w:rPr>
          <w:rFonts w:hint="default" w:ascii="Times New Roman" w:hAnsi="Times New Roman" w:eastAsia="Times New Roman" w:cs="Times New Roman"/>
          <w:b w:val="0"/>
          <w:bCs w:val="0"/>
          <w:color w:val="auto"/>
          <w:sz w:val="24"/>
          <w:szCs w:val="24"/>
          <w:u w:val="none" w:color="auto"/>
        </w:rPr>
        <w:t>设计文件有关内容</w:t>
      </w:r>
      <w:r>
        <w:rPr>
          <w:rFonts w:hint="default" w:ascii="Times New Roman" w:hAnsi="Times New Roman" w:eastAsia="Times New Roman" w:cs="Times New Roman"/>
          <w:b w:val="0"/>
          <w:bCs w:val="0"/>
          <w:color w:val="auto"/>
          <w:sz w:val="24"/>
          <w:szCs w:val="24"/>
          <w:u w:val="none" w:color="auto"/>
          <w:lang w:val="en-US" w:eastAsia="zh-CN"/>
        </w:rPr>
        <w:t>是否与现场一致，如不一致应</w:t>
      </w:r>
      <w:r>
        <w:rPr>
          <w:rFonts w:hint="default" w:ascii="Times New Roman" w:hAnsi="Times New Roman" w:eastAsia="Times New Roman" w:cs="Times New Roman"/>
          <w:b w:val="0"/>
          <w:bCs w:val="0"/>
          <w:color w:val="auto"/>
          <w:sz w:val="24"/>
          <w:szCs w:val="24"/>
          <w:u w:val="none" w:color="auto"/>
        </w:rPr>
        <w:t>查明</w:t>
      </w:r>
      <w:r>
        <w:rPr>
          <w:rFonts w:hint="default" w:ascii="Times New Roman" w:hAnsi="Times New Roman" w:eastAsia="Times New Roman" w:cs="Times New Roman"/>
          <w:b w:val="0"/>
          <w:bCs w:val="0"/>
          <w:color w:val="auto"/>
          <w:sz w:val="24"/>
          <w:szCs w:val="24"/>
          <w:u w:val="none" w:color="auto"/>
          <w:lang w:val="en-US" w:eastAsia="zh-CN"/>
        </w:rPr>
        <w:t>实际情况</w:t>
      </w:r>
      <w:r>
        <w:rPr>
          <w:rFonts w:hint="default" w:ascii="Times New Roman" w:hAnsi="Times New Roman" w:eastAsia="Times New Roman" w:cs="Times New Roman"/>
          <w:b w:val="0"/>
          <w:bCs w:val="0"/>
          <w:color w:val="auto"/>
          <w:sz w:val="24"/>
          <w:szCs w:val="24"/>
          <w:u w:val="none" w:color="auto"/>
        </w:rPr>
        <w:t>，</w:t>
      </w:r>
      <w:r>
        <w:rPr>
          <w:rFonts w:hint="default" w:ascii="Times New Roman" w:hAnsi="Times New Roman" w:eastAsia="Times New Roman" w:cs="Times New Roman"/>
          <w:b w:val="0"/>
          <w:bCs w:val="0"/>
          <w:color w:val="auto"/>
          <w:sz w:val="24"/>
          <w:szCs w:val="24"/>
          <w:u w:val="none" w:color="auto"/>
          <w:lang w:val="en-US" w:eastAsia="zh-CN"/>
        </w:rPr>
        <w:t>是否对基坑稳定造成不利影响，作为稳定性分析的依据。</w:t>
      </w:r>
    </w:p>
    <w:p w14:paraId="59B5396C">
      <w:pPr>
        <w:spacing w:line="360" w:lineRule="auto"/>
        <w:rPr>
          <w:rFonts w:hint="default" w:ascii="Times New Roman" w:hAnsi="Times New Roman" w:eastAsia="Times New Roman" w:cs="Times New Roman"/>
          <w:b/>
          <w:bCs/>
          <w:color w:val="auto"/>
          <w:sz w:val="24"/>
          <w:szCs w:val="24"/>
          <w:u w:val="none" w:color="auto"/>
        </w:rPr>
      </w:pPr>
      <w:r>
        <w:rPr>
          <w:rFonts w:hint="default" w:ascii="Times New Roman" w:hAnsi="Times New Roman" w:eastAsia="Times New Roman" w:cs="Times New Roman"/>
          <w:b/>
          <w:bCs/>
          <w:color w:val="auto"/>
          <w:sz w:val="24"/>
          <w:szCs w:val="24"/>
          <w:u w:val="none" w:color="auto"/>
        </w:rPr>
        <w:t>4.3.2</w:t>
      </w:r>
      <w:r>
        <w:rPr>
          <w:rFonts w:hint="default" w:ascii="Times New Roman" w:hAnsi="Times New Roman" w:eastAsia="Times New Roman" w:cs="Times New Roman"/>
          <w:b/>
          <w:bCs/>
          <w:color w:val="auto"/>
          <w:sz w:val="24"/>
          <w:szCs w:val="24"/>
          <w:u w:val="none" w:color="auto"/>
          <w:lang w:eastAsia="zh-CN"/>
        </w:rPr>
        <w:t xml:space="preserve"> </w:t>
      </w:r>
      <w:r>
        <w:rPr>
          <w:rFonts w:hint="default" w:ascii="Times New Roman" w:hAnsi="Times New Roman" w:eastAsia="Times New Roman" w:cs="Times New Roman"/>
          <w:b w:val="0"/>
          <w:bCs w:val="0"/>
          <w:color w:val="auto"/>
          <w:sz w:val="24"/>
          <w:szCs w:val="24"/>
          <w:u w:val="none" w:color="auto"/>
        </w:rPr>
        <w:t>对基坑施工过程揭露或反馈的实际地层性状、</w:t>
      </w:r>
      <w:r>
        <w:rPr>
          <w:rFonts w:hint="default" w:ascii="Times New Roman" w:hAnsi="Times New Roman" w:eastAsia="Times New Roman" w:cs="Times New Roman"/>
          <w:b w:val="0"/>
          <w:bCs w:val="0"/>
          <w:color w:val="auto"/>
          <w:sz w:val="24"/>
          <w:szCs w:val="24"/>
          <w:u w:val="none" w:color="auto"/>
          <w:lang w:val="en-US" w:eastAsia="zh-CN"/>
        </w:rPr>
        <w:t>水文</w:t>
      </w:r>
      <w:r>
        <w:rPr>
          <w:rFonts w:hint="default" w:ascii="Times New Roman" w:hAnsi="Times New Roman" w:eastAsia="Times New Roman" w:cs="Times New Roman"/>
          <w:b w:val="0"/>
          <w:bCs w:val="0"/>
          <w:color w:val="auto"/>
          <w:sz w:val="24"/>
          <w:szCs w:val="24"/>
          <w:u w:val="none" w:color="auto"/>
        </w:rPr>
        <w:t>情况进行现场调查，核对地层条件、岩土参数等有关内容。当勘察资料不能满足</w:t>
      </w:r>
      <w:r>
        <w:rPr>
          <w:rFonts w:hint="default" w:ascii="Times New Roman" w:hAnsi="Times New Roman" w:eastAsia="Times New Roman" w:cs="Times New Roman"/>
          <w:b w:val="0"/>
          <w:bCs w:val="0"/>
          <w:color w:val="auto"/>
          <w:sz w:val="24"/>
          <w:szCs w:val="24"/>
          <w:u w:val="none" w:color="auto"/>
          <w:lang w:eastAsia="zh-CN"/>
        </w:rPr>
        <w:t>基坑工程安全性鉴定</w:t>
      </w:r>
      <w:r>
        <w:rPr>
          <w:rFonts w:hint="default" w:ascii="Times New Roman" w:hAnsi="Times New Roman" w:eastAsia="Times New Roman" w:cs="Times New Roman"/>
          <w:b w:val="0"/>
          <w:bCs w:val="0"/>
          <w:color w:val="auto"/>
          <w:sz w:val="24"/>
          <w:szCs w:val="24"/>
          <w:u w:val="none" w:color="auto"/>
        </w:rPr>
        <w:t>需要时，应进行补充勘察</w:t>
      </w:r>
      <w:r>
        <w:rPr>
          <w:rFonts w:hint="default" w:ascii="Times New Roman" w:hAnsi="Times New Roman" w:eastAsia="Times New Roman" w:cs="Times New Roman"/>
          <w:b w:val="0"/>
          <w:bCs w:val="0"/>
          <w:color w:val="auto"/>
          <w:sz w:val="24"/>
          <w:szCs w:val="24"/>
          <w:u w:val="none" w:color="auto"/>
          <w:lang w:eastAsia="zh-CN"/>
        </w:rPr>
        <w:t>，</w:t>
      </w:r>
      <w:r>
        <w:rPr>
          <w:rFonts w:hint="default" w:ascii="Times New Roman" w:hAnsi="Times New Roman" w:eastAsia="Times New Roman" w:cs="Times New Roman"/>
          <w:b w:val="0"/>
          <w:bCs w:val="0"/>
          <w:color w:val="auto"/>
          <w:sz w:val="24"/>
          <w:szCs w:val="24"/>
          <w:u w:val="none" w:color="auto"/>
          <w:lang w:val="en-US" w:eastAsia="zh-CN"/>
        </w:rPr>
        <w:t>补勘</w:t>
      </w:r>
      <w:r>
        <w:rPr>
          <w:rFonts w:hint="default" w:ascii="Times New Roman" w:hAnsi="Times New Roman" w:eastAsia="Times New Roman" w:cs="Times New Roman"/>
          <w:b w:val="0"/>
          <w:bCs w:val="0"/>
          <w:color w:val="auto"/>
          <w:sz w:val="24"/>
          <w:szCs w:val="24"/>
          <w:u w:val="none" w:color="auto"/>
          <w:lang w:eastAsia="zh-CN"/>
        </w:rPr>
        <w:t>孔数量、位置、深度的布置应能充分查明补勘区域工程地质水文地质条件</w:t>
      </w:r>
      <w:r>
        <w:rPr>
          <w:rFonts w:hint="default" w:ascii="Times New Roman" w:hAnsi="Times New Roman" w:eastAsia="Times New Roman" w:cs="Times New Roman"/>
          <w:b w:val="0"/>
          <w:bCs w:val="0"/>
          <w:color w:val="auto"/>
          <w:sz w:val="24"/>
          <w:szCs w:val="24"/>
          <w:u w:val="none" w:color="auto"/>
        </w:rPr>
        <w:t>。</w:t>
      </w:r>
    </w:p>
    <w:p w14:paraId="5DBA0413">
      <w:pPr>
        <w:spacing w:line="360" w:lineRule="auto"/>
        <w:rPr>
          <w:rFonts w:hint="default" w:ascii="Times New Roman" w:hAnsi="Times New Roman" w:eastAsia="Times New Roman" w:cs="Times New Roman"/>
          <w:b w:val="0"/>
          <w:bCs w:val="0"/>
          <w:color w:val="auto"/>
          <w:sz w:val="24"/>
          <w:szCs w:val="24"/>
          <w:u w:val="none" w:color="auto"/>
        </w:rPr>
      </w:pPr>
      <w:r>
        <w:rPr>
          <w:rFonts w:hint="default" w:ascii="Times New Roman" w:hAnsi="Times New Roman" w:eastAsia="Times New Roman" w:cs="Times New Roman"/>
          <w:b/>
          <w:bCs/>
          <w:color w:val="auto"/>
          <w:sz w:val="24"/>
          <w:szCs w:val="24"/>
          <w:u w:val="none" w:color="auto"/>
        </w:rPr>
        <w:t>4.3.3</w:t>
      </w:r>
      <w:r>
        <w:rPr>
          <w:rFonts w:hint="default" w:ascii="Times New Roman" w:hAnsi="Times New Roman" w:eastAsia="Times New Roman" w:cs="Times New Roman"/>
          <w:b/>
          <w:bCs/>
          <w:color w:val="auto"/>
          <w:sz w:val="24"/>
          <w:szCs w:val="24"/>
          <w:u w:val="none" w:color="auto"/>
          <w:lang w:eastAsia="zh-CN"/>
        </w:rPr>
        <w:t xml:space="preserve"> </w:t>
      </w:r>
      <w:r>
        <w:rPr>
          <w:rFonts w:hint="default" w:ascii="Times New Roman" w:hAnsi="Times New Roman" w:eastAsia="Times New Roman" w:cs="Times New Roman"/>
          <w:b w:val="0"/>
          <w:bCs w:val="0"/>
          <w:color w:val="auto"/>
          <w:sz w:val="24"/>
          <w:szCs w:val="24"/>
          <w:u w:val="none" w:color="auto"/>
          <w:lang w:val="en-US" w:eastAsia="zh-CN"/>
        </w:rPr>
        <w:t>对照基坑设计、施工等资料对</w:t>
      </w:r>
      <w:r>
        <w:rPr>
          <w:rFonts w:hint="default" w:ascii="Times New Roman" w:hAnsi="Times New Roman" w:eastAsia="Times New Roman" w:cs="Times New Roman"/>
          <w:b w:val="0"/>
          <w:bCs w:val="0"/>
          <w:color w:val="auto"/>
          <w:sz w:val="24"/>
          <w:szCs w:val="24"/>
          <w:u w:val="none" w:color="auto"/>
        </w:rPr>
        <w:t>基坑</w:t>
      </w:r>
      <w:r>
        <w:rPr>
          <w:rFonts w:hint="default" w:ascii="Times New Roman" w:hAnsi="Times New Roman" w:eastAsia="Times New Roman" w:cs="Times New Roman"/>
          <w:b w:val="0"/>
          <w:bCs w:val="0"/>
          <w:color w:val="auto"/>
          <w:sz w:val="24"/>
          <w:szCs w:val="24"/>
          <w:u w:val="none" w:color="auto"/>
          <w:lang w:val="en-US" w:eastAsia="zh-CN"/>
        </w:rPr>
        <w:t>支护情况进行现场勘查</w:t>
      </w:r>
      <w:r>
        <w:rPr>
          <w:rFonts w:hint="default" w:ascii="Times New Roman" w:hAnsi="Times New Roman" w:eastAsia="Times New Roman" w:cs="Times New Roman"/>
          <w:b w:val="0"/>
          <w:bCs w:val="0"/>
          <w:color w:val="auto"/>
          <w:sz w:val="24"/>
          <w:szCs w:val="24"/>
          <w:u w:val="none" w:color="auto"/>
          <w:lang w:eastAsia="zh-CN"/>
        </w:rPr>
        <w:t>，</w:t>
      </w:r>
      <w:r>
        <w:rPr>
          <w:rFonts w:hint="default" w:ascii="Times New Roman" w:hAnsi="Times New Roman" w:eastAsia="Times New Roman" w:cs="Times New Roman"/>
          <w:b w:val="0"/>
          <w:bCs w:val="0"/>
          <w:color w:val="auto"/>
          <w:sz w:val="24"/>
          <w:szCs w:val="24"/>
          <w:u w:val="none" w:color="auto"/>
          <w:lang w:val="en-US" w:eastAsia="zh-CN"/>
        </w:rPr>
        <w:t>并满足</w:t>
      </w:r>
      <w:r>
        <w:rPr>
          <w:rFonts w:hint="default" w:ascii="Times New Roman" w:hAnsi="Times New Roman" w:eastAsia="Times New Roman" w:cs="Times New Roman"/>
          <w:b w:val="0"/>
          <w:bCs w:val="0"/>
          <w:color w:val="auto"/>
          <w:sz w:val="24"/>
          <w:szCs w:val="24"/>
          <w:u w:val="none" w:color="auto"/>
        </w:rPr>
        <w:t>下列</w:t>
      </w:r>
      <w:r>
        <w:rPr>
          <w:rFonts w:hint="default" w:ascii="Times New Roman" w:hAnsi="Times New Roman" w:eastAsia="Times New Roman" w:cs="Times New Roman"/>
          <w:b w:val="0"/>
          <w:bCs w:val="0"/>
          <w:color w:val="auto"/>
          <w:sz w:val="24"/>
          <w:szCs w:val="24"/>
          <w:u w:val="none" w:color="auto"/>
          <w:lang w:val="en-US" w:eastAsia="zh-CN"/>
        </w:rPr>
        <w:t>要求</w:t>
      </w:r>
      <w:r>
        <w:rPr>
          <w:rFonts w:hint="default" w:ascii="Times New Roman" w:hAnsi="Times New Roman" w:eastAsia="Times New Roman" w:cs="Times New Roman"/>
          <w:b w:val="0"/>
          <w:bCs w:val="0"/>
          <w:color w:val="auto"/>
          <w:sz w:val="24"/>
          <w:szCs w:val="24"/>
          <w:u w:val="none" w:color="auto"/>
        </w:rPr>
        <w:t>：</w:t>
      </w:r>
    </w:p>
    <w:p w14:paraId="2421AB43">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default" w:ascii="Times New Roman" w:hAnsi="Times New Roman" w:cs="Times New Roman"/>
          <w:b w:val="0"/>
          <w:bCs w:val="0"/>
          <w:color w:val="auto"/>
          <w:spacing w:val="-4"/>
          <w:sz w:val="24"/>
          <w:szCs w:val="24"/>
          <w:lang w:val="en-US" w:eastAsia="zh-CN"/>
        </w:rPr>
      </w:pPr>
      <w:r>
        <w:rPr>
          <w:rFonts w:hint="default" w:ascii="Times New Roman" w:hAnsi="Times New Roman" w:cs="Times New Roman"/>
          <w:b w:val="0"/>
          <w:bCs w:val="0"/>
          <w:color w:val="auto"/>
          <w:spacing w:val="-4"/>
          <w:sz w:val="24"/>
          <w:szCs w:val="24"/>
          <w:lang w:val="en-US" w:eastAsia="zh-CN"/>
        </w:rPr>
        <w:t>1  调查场地及其周围的地形地貌、地表硬化情况、基坑地表水和地下水降排情况。查验设计文件和施工资料的有关内容，了解截水帷幕（如有）、地表水与地下水控制的具体方法、措施和完成情况；</w:t>
      </w:r>
    </w:p>
    <w:p w14:paraId="38CDC9E1">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default" w:ascii="Times New Roman" w:hAnsi="Times New Roman" w:cs="Times New Roman"/>
          <w:b w:val="0"/>
          <w:bCs w:val="0"/>
          <w:color w:val="auto"/>
          <w:spacing w:val="-4"/>
          <w:sz w:val="24"/>
          <w:szCs w:val="24"/>
          <w:lang w:val="en-US" w:eastAsia="zh-CN"/>
        </w:rPr>
      </w:pPr>
      <w:r>
        <w:rPr>
          <w:rFonts w:hint="default" w:ascii="Times New Roman" w:hAnsi="Times New Roman" w:cs="Times New Roman"/>
          <w:b w:val="0"/>
          <w:bCs w:val="0"/>
          <w:color w:val="auto"/>
          <w:spacing w:val="-4"/>
          <w:sz w:val="24"/>
          <w:szCs w:val="24"/>
          <w:lang w:val="en-US" w:eastAsia="zh-CN"/>
        </w:rPr>
        <w:t>2  调查基坑及支护结构的平面、竖向布置、基坑开挖深度。查验支护结构的具体形式、支护范围、施工方法、施工过程及施工完成情况，查验设计文件和施工资料的有关内容，了解主要工序采用的原材料、施工机械、施工工艺等情况；</w:t>
      </w:r>
    </w:p>
    <w:p w14:paraId="61F88AC2">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default" w:ascii="Times New Roman" w:hAnsi="Times New Roman" w:cs="Times New Roman"/>
          <w:b w:val="0"/>
          <w:bCs w:val="0"/>
          <w:color w:val="auto"/>
          <w:spacing w:val="-4"/>
          <w:sz w:val="24"/>
          <w:szCs w:val="24"/>
          <w:lang w:val="en-US" w:eastAsia="zh-CN"/>
        </w:rPr>
      </w:pPr>
      <w:r>
        <w:rPr>
          <w:rFonts w:hint="default" w:ascii="Times New Roman" w:hAnsi="Times New Roman" w:cs="Times New Roman"/>
          <w:b w:val="0"/>
          <w:bCs w:val="0"/>
          <w:color w:val="auto"/>
          <w:spacing w:val="-4"/>
          <w:sz w:val="24"/>
          <w:szCs w:val="24"/>
          <w:lang w:val="en-US" w:eastAsia="zh-CN"/>
        </w:rPr>
        <w:t>3  调查基坑支护结构外观质量，并应满足下列要求：</w:t>
      </w:r>
    </w:p>
    <w:p w14:paraId="22ACC095">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right="0" w:firstLine="696" w:firstLineChars="300"/>
        <w:textAlignment w:val="auto"/>
        <w:rPr>
          <w:rFonts w:hint="default" w:ascii="Times New Roman" w:hAnsi="Times New Roman" w:cs="Times New Roman"/>
          <w:b w:val="0"/>
          <w:bCs w:val="0"/>
          <w:color w:val="auto"/>
          <w:spacing w:val="-4"/>
          <w:sz w:val="24"/>
          <w:szCs w:val="24"/>
          <w:lang w:val="en-US" w:eastAsia="zh-CN"/>
        </w:rPr>
      </w:pPr>
      <w:r>
        <w:rPr>
          <w:rFonts w:hint="default" w:ascii="Times New Roman" w:hAnsi="Times New Roman" w:eastAsia="宋体" w:cs="Times New Roman"/>
          <w:b w:val="0"/>
          <w:bCs w:val="0"/>
          <w:snapToGrid w:val="0"/>
          <w:color w:val="auto"/>
          <w:spacing w:val="-4"/>
          <w:kern w:val="0"/>
          <w:sz w:val="24"/>
          <w:szCs w:val="24"/>
          <w:lang w:val="en-US" w:eastAsia="zh-CN" w:bidi="ar-SA"/>
        </w:rPr>
        <w:t>1）</w:t>
      </w:r>
      <w:r>
        <w:rPr>
          <w:rFonts w:hint="default" w:ascii="Times New Roman" w:hAnsi="Times New Roman" w:cs="Times New Roman"/>
          <w:color w:val="auto"/>
          <w:spacing w:val="-4"/>
          <w:sz w:val="24"/>
          <w:szCs w:val="24"/>
          <w:lang w:eastAsia="zh-CN"/>
        </w:rPr>
        <w:t>对支护结构构件、连接节点的外观质量、变形和开裂等情况进行检查；</w:t>
      </w:r>
    </w:p>
    <w:p w14:paraId="25A05360">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right="0" w:firstLine="696" w:firstLineChars="300"/>
        <w:textAlignment w:val="auto"/>
        <w:rPr>
          <w:rFonts w:hint="default" w:ascii="Times New Roman" w:hAnsi="Times New Roman" w:cs="Times New Roman"/>
          <w:b w:val="0"/>
          <w:bCs w:val="0"/>
          <w:color w:val="auto"/>
          <w:spacing w:val="-4"/>
          <w:sz w:val="24"/>
          <w:szCs w:val="24"/>
          <w:lang w:val="en-US" w:eastAsia="zh-CN"/>
        </w:rPr>
      </w:pPr>
      <w:r>
        <w:rPr>
          <w:rFonts w:hint="default" w:ascii="Times New Roman" w:hAnsi="Times New Roman" w:eastAsia="宋体" w:cs="Times New Roman"/>
          <w:b w:val="0"/>
          <w:bCs w:val="0"/>
          <w:snapToGrid w:val="0"/>
          <w:color w:val="auto"/>
          <w:spacing w:val="-4"/>
          <w:kern w:val="0"/>
          <w:sz w:val="24"/>
          <w:szCs w:val="24"/>
          <w:lang w:val="en-US" w:eastAsia="zh-CN" w:bidi="ar-SA"/>
        </w:rPr>
        <w:t>2）</w:t>
      </w:r>
      <w:r>
        <w:rPr>
          <w:rFonts w:hint="default" w:ascii="Times New Roman" w:hAnsi="Times New Roman" w:cs="Times New Roman"/>
          <w:color w:val="auto"/>
          <w:spacing w:val="-4"/>
          <w:sz w:val="24"/>
          <w:szCs w:val="24"/>
          <w:lang w:eastAsia="zh-CN"/>
        </w:rPr>
        <w:t>对基坑侧壁岩土体有无局部坍塌、沉陷、滑移、隆起、流土、渗水、管涌等情况进行检查；</w:t>
      </w:r>
    </w:p>
    <w:p w14:paraId="12422C54">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right="0" w:firstLine="696" w:firstLineChars="300"/>
        <w:textAlignment w:val="auto"/>
        <w:rPr>
          <w:rFonts w:hint="default" w:ascii="Times New Roman" w:hAnsi="Times New Roman" w:cs="Times New Roman"/>
          <w:color w:val="auto"/>
          <w:spacing w:val="-4"/>
          <w:sz w:val="24"/>
          <w:szCs w:val="24"/>
          <w:lang w:eastAsia="zh-CN"/>
        </w:rPr>
      </w:pPr>
      <w:r>
        <w:rPr>
          <w:rFonts w:hint="default" w:ascii="Times New Roman" w:hAnsi="Times New Roman" w:eastAsia="宋体" w:cs="Times New Roman"/>
          <w:snapToGrid w:val="0"/>
          <w:color w:val="auto"/>
          <w:spacing w:val="-4"/>
          <w:kern w:val="0"/>
          <w:sz w:val="24"/>
          <w:szCs w:val="24"/>
          <w:lang w:val="en-US" w:eastAsia="zh-CN" w:bidi="ar-SA"/>
        </w:rPr>
        <w:t>3）</w:t>
      </w:r>
      <w:r>
        <w:rPr>
          <w:rFonts w:hint="default" w:ascii="Times New Roman" w:hAnsi="Times New Roman" w:cs="Times New Roman"/>
          <w:color w:val="auto"/>
          <w:spacing w:val="-4"/>
          <w:sz w:val="24"/>
          <w:szCs w:val="24"/>
          <w:lang w:eastAsia="zh-CN"/>
        </w:rPr>
        <w:t>对止水帷幕有无开裂、渗漏水，是否存在降水井抽水异常，基坑排水不通畅等情况进行检查；</w:t>
      </w:r>
    </w:p>
    <w:p w14:paraId="25AE612F">
      <w:pPr>
        <w:pStyle w:val="6"/>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right="0" w:firstLine="696" w:firstLineChars="300"/>
        <w:textAlignment w:val="auto"/>
        <w:rPr>
          <w:rFonts w:hint="default" w:ascii="Times New Roman" w:hAnsi="Times New Roman" w:cs="Times New Roman"/>
          <w:color w:val="auto"/>
          <w:spacing w:val="-4"/>
          <w:sz w:val="24"/>
          <w:szCs w:val="24"/>
          <w:lang w:eastAsia="zh-CN"/>
        </w:rPr>
      </w:pPr>
      <w:r>
        <w:rPr>
          <w:rFonts w:hint="default" w:ascii="Times New Roman" w:hAnsi="Times New Roman" w:cs="Times New Roman"/>
          <w:color w:val="auto"/>
          <w:spacing w:val="-4"/>
          <w:sz w:val="24"/>
          <w:szCs w:val="24"/>
          <w:lang w:eastAsia="zh-CN"/>
        </w:rPr>
        <w:t>4）对基坑</w:t>
      </w:r>
      <w:r>
        <w:rPr>
          <w:rFonts w:hint="default" w:ascii="Times New Roman" w:hAnsi="Times New Roman" w:cs="Times New Roman"/>
          <w:color w:val="auto"/>
          <w:spacing w:val="-4"/>
          <w:sz w:val="24"/>
          <w:szCs w:val="24"/>
          <w:lang w:val="en-US" w:eastAsia="zh-CN"/>
        </w:rPr>
        <w:t>顶部</w:t>
      </w:r>
      <w:r>
        <w:rPr>
          <w:rFonts w:hint="default" w:ascii="Times New Roman" w:hAnsi="Times New Roman" w:cs="Times New Roman"/>
          <w:color w:val="auto"/>
          <w:spacing w:val="-4"/>
          <w:sz w:val="24"/>
          <w:szCs w:val="24"/>
          <w:lang w:eastAsia="zh-CN"/>
        </w:rPr>
        <w:t>地面和道路有无开裂、沉陷，基坑周边建（构）筑物有无开裂、倾斜，周边管线有无破损、泄漏等情况进行检查；</w:t>
      </w:r>
    </w:p>
    <w:p w14:paraId="014A8A3B">
      <w:pPr>
        <w:pStyle w:val="6"/>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right="0" w:firstLine="696" w:firstLineChars="300"/>
        <w:textAlignment w:val="auto"/>
        <w:rPr>
          <w:rFonts w:hint="default" w:ascii="Times New Roman" w:hAnsi="Times New Roman" w:cs="Times New Roman"/>
          <w:color w:val="auto"/>
          <w:spacing w:val="-4"/>
          <w:sz w:val="24"/>
          <w:szCs w:val="24"/>
          <w:lang w:eastAsia="zh-CN"/>
        </w:rPr>
      </w:pPr>
      <w:r>
        <w:rPr>
          <w:rFonts w:hint="default" w:ascii="Times New Roman" w:hAnsi="Times New Roman" w:cs="Times New Roman"/>
          <w:color w:val="auto"/>
          <w:spacing w:val="-4"/>
          <w:sz w:val="24"/>
          <w:szCs w:val="24"/>
          <w:lang w:eastAsia="zh-CN"/>
        </w:rPr>
        <w:t>5）对基坑顶部硬化隔水措施、</w:t>
      </w:r>
      <w:r>
        <w:rPr>
          <w:rFonts w:hint="default" w:ascii="Times New Roman" w:hAnsi="Times New Roman" w:cs="Times New Roman"/>
          <w:color w:val="auto"/>
          <w:spacing w:val="-4"/>
          <w:sz w:val="24"/>
          <w:szCs w:val="24"/>
          <w:lang w:val="en-US" w:eastAsia="zh-CN"/>
        </w:rPr>
        <w:t>基坑截排水措施</w:t>
      </w:r>
      <w:r>
        <w:rPr>
          <w:rFonts w:hint="default" w:ascii="Times New Roman" w:hAnsi="Times New Roman" w:cs="Times New Roman"/>
          <w:color w:val="auto"/>
          <w:spacing w:val="-4"/>
          <w:sz w:val="24"/>
          <w:szCs w:val="24"/>
          <w:lang w:eastAsia="zh-CN"/>
        </w:rPr>
        <w:t>进行检查。</w:t>
      </w:r>
    </w:p>
    <w:p w14:paraId="75DE220E">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default" w:ascii="Times New Roman" w:hAnsi="Times New Roman" w:eastAsia="Times New Roman" w:cs="Times New Roman"/>
          <w:b w:val="0"/>
          <w:bCs w:val="0"/>
          <w:color w:val="auto"/>
          <w:spacing w:val="-4"/>
          <w:sz w:val="24"/>
          <w:szCs w:val="24"/>
        </w:rPr>
      </w:pPr>
      <w:r>
        <w:rPr>
          <w:rFonts w:hint="default" w:ascii="Times New Roman" w:hAnsi="Times New Roman" w:cs="Times New Roman"/>
          <w:b w:val="0"/>
          <w:bCs w:val="0"/>
          <w:color w:val="auto"/>
          <w:spacing w:val="-4"/>
          <w:sz w:val="24"/>
          <w:szCs w:val="24"/>
          <w:lang w:val="en-US" w:eastAsia="zh-CN"/>
        </w:rPr>
        <w:t>4</w:t>
      </w:r>
      <w:r>
        <w:rPr>
          <w:rFonts w:hint="default" w:ascii="Times New Roman" w:hAnsi="Times New Roman" w:eastAsia="Times New Roman" w:cs="Times New Roman"/>
          <w:b w:val="0"/>
          <w:bCs w:val="0"/>
          <w:color w:val="auto"/>
          <w:spacing w:val="-4"/>
          <w:sz w:val="24"/>
          <w:szCs w:val="24"/>
        </w:rPr>
        <w:t xml:space="preserve">  调查施工现场布置进行，包括临建设施、道路、材料堆场、施工机械设备、出土坡道等位置以及行车路线</w:t>
      </w:r>
      <w:r>
        <w:rPr>
          <w:rFonts w:hint="default" w:ascii="Times New Roman" w:hAnsi="Times New Roman" w:cs="Times New Roman"/>
          <w:b w:val="0"/>
          <w:bCs w:val="0"/>
          <w:color w:val="auto"/>
          <w:spacing w:val="-4"/>
          <w:sz w:val="24"/>
          <w:szCs w:val="24"/>
          <w:lang w:val="en-US" w:eastAsia="zh-CN"/>
        </w:rPr>
        <w:t>等，</w:t>
      </w:r>
      <w:r>
        <w:rPr>
          <w:rFonts w:hint="default" w:ascii="Times New Roman" w:hAnsi="Times New Roman" w:eastAsia="Times New Roman" w:cs="Times New Roman"/>
          <w:b w:val="0"/>
          <w:bCs w:val="0"/>
          <w:color w:val="auto"/>
          <w:spacing w:val="-4"/>
          <w:sz w:val="24"/>
          <w:szCs w:val="24"/>
        </w:rPr>
        <w:t>明确基坑周边荷载限值；</w:t>
      </w:r>
    </w:p>
    <w:p w14:paraId="61250ECC">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default" w:ascii="Times New Roman" w:hAnsi="Times New Roman" w:eastAsia="Times New Roman" w:cs="Times New Roman"/>
          <w:b w:val="0"/>
          <w:bCs w:val="0"/>
          <w:color w:val="auto"/>
          <w:spacing w:val="-4"/>
          <w:sz w:val="24"/>
          <w:szCs w:val="24"/>
        </w:rPr>
      </w:pPr>
      <w:r>
        <w:rPr>
          <w:rFonts w:hint="default" w:ascii="Times New Roman" w:hAnsi="Times New Roman" w:cs="Times New Roman"/>
          <w:b w:val="0"/>
          <w:bCs w:val="0"/>
          <w:color w:val="auto"/>
          <w:spacing w:val="-4"/>
          <w:sz w:val="24"/>
          <w:szCs w:val="24"/>
          <w:lang w:val="en-US" w:eastAsia="zh-CN"/>
        </w:rPr>
        <w:t>5</w:t>
      </w:r>
      <w:r>
        <w:rPr>
          <w:rFonts w:hint="default" w:ascii="Times New Roman" w:hAnsi="Times New Roman" w:eastAsia="Times New Roman" w:cs="Times New Roman"/>
          <w:b w:val="0"/>
          <w:bCs w:val="0"/>
          <w:color w:val="auto"/>
          <w:spacing w:val="-4"/>
          <w:sz w:val="24"/>
          <w:szCs w:val="24"/>
        </w:rPr>
        <w:t xml:space="preserve">  调查基坑使用历史情况、主体地下结构施工工期，明确基坑工作年限。</w:t>
      </w:r>
    </w:p>
    <w:p w14:paraId="25BC01E0">
      <w:pPr>
        <w:spacing w:line="360" w:lineRule="auto"/>
        <w:rPr>
          <w:rFonts w:hint="default" w:ascii="Times New Roman" w:hAnsi="Times New Roman" w:eastAsia="Times New Roman" w:cs="Times New Roman"/>
          <w:b/>
          <w:bCs/>
          <w:color w:val="auto"/>
          <w:sz w:val="24"/>
          <w:szCs w:val="24"/>
          <w:u w:val="none" w:color="auto"/>
        </w:rPr>
      </w:pPr>
      <w:r>
        <w:rPr>
          <w:rFonts w:hint="default" w:ascii="Times New Roman" w:hAnsi="Times New Roman" w:eastAsia="Times New Roman" w:cs="Times New Roman"/>
          <w:b/>
          <w:bCs/>
          <w:color w:val="auto"/>
          <w:sz w:val="24"/>
          <w:szCs w:val="24"/>
          <w:u w:val="none" w:color="auto"/>
        </w:rPr>
        <w:t>4.3.</w:t>
      </w:r>
      <w:r>
        <w:rPr>
          <w:rFonts w:hint="default" w:ascii="Times New Roman" w:hAnsi="Times New Roman" w:eastAsia="Times New Roman" w:cs="Times New Roman"/>
          <w:b/>
          <w:bCs/>
          <w:color w:val="auto"/>
          <w:sz w:val="24"/>
          <w:szCs w:val="24"/>
          <w:u w:val="none" w:color="auto"/>
          <w:lang w:eastAsia="zh-CN"/>
        </w:rPr>
        <w:t>4</w:t>
      </w:r>
      <w:r>
        <w:rPr>
          <w:rFonts w:hint="default" w:ascii="Times New Roman" w:hAnsi="Times New Roman" w:eastAsia="Times New Roman" w:cs="Times New Roman"/>
          <w:b/>
          <w:bCs/>
          <w:color w:val="auto"/>
          <w:sz w:val="24"/>
          <w:szCs w:val="24"/>
          <w:u w:val="none" w:color="auto"/>
        </w:rPr>
        <w:t xml:space="preserve"> </w:t>
      </w:r>
      <w:r>
        <w:rPr>
          <w:rFonts w:hint="default" w:ascii="Times New Roman" w:hAnsi="Times New Roman" w:eastAsia="Times New Roman" w:cs="Times New Roman"/>
          <w:b w:val="0"/>
          <w:bCs w:val="0"/>
          <w:color w:val="auto"/>
          <w:sz w:val="24"/>
          <w:szCs w:val="24"/>
          <w:u w:val="none" w:color="auto"/>
        </w:rPr>
        <w:t>对基坑监测的实施情况</w:t>
      </w:r>
      <w:r>
        <w:rPr>
          <w:rFonts w:hint="default" w:ascii="Times New Roman" w:hAnsi="Times New Roman" w:eastAsia="Times New Roman" w:cs="Times New Roman"/>
          <w:b w:val="0"/>
          <w:bCs w:val="0"/>
          <w:color w:val="auto"/>
          <w:sz w:val="24"/>
          <w:szCs w:val="24"/>
          <w:u w:val="none" w:color="auto"/>
          <w:lang w:val="en-US" w:eastAsia="zh-CN"/>
        </w:rPr>
        <w:t>及监测成果</w:t>
      </w:r>
      <w:r>
        <w:rPr>
          <w:rFonts w:hint="default" w:ascii="Times New Roman" w:hAnsi="Times New Roman" w:eastAsia="Times New Roman" w:cs="Times New Roman"/>
          <w:b w:val="0"/>
          <w:bCs w:val="0"/>
          <w:color w:val="auto"/>
          <w:sz w:val="24"/>
          <w:szCs w:val="24"/>
          <w:u w:val="none" w:color="auto"/>
        </w:rPr>
        <w:t>进行现场</w:t>
      </w:r>
      <w:r>
        <w:rPr>
          <w:rFonts w:hint="default" w:ascii="Times New Roman" w:hAnsi="Times New Roman" w:eastAsia="Times New Roman" w:cs="Times New Roman"/>
          <w:b w:val="0"/>
          <w:bCs w:val="0"/>
          <w:color w:val="auto"/>
          <w:sz w:val="24"/>
          <w:szCs w:val="24"/>
          <w:u w:val="none" w:color="auto"/>
          <w:lang w:val="en-US" w:eastAsia="zh-CN"/>
        </w:rPr>
        <w:t>勘查</w:t>
      </w:r>
      <w:r>
        <w:rPr>
          <w:rFonts w:hint="default" w:ascii="Times New Roman" w:hAnsi="Times New Roman" w:eastAsia="Times New Roman" w:cs="Times New Roman"/>
          <w:b w:val="0"/>
          <w:bCs w:val="0"/>
          <w:color w:val="auto"/>
          <w:sz w:val="24"/>
          <w:szCs w:val="24"/>
          <w:u w:val="none" w:color="auto"/>
        </w:rPr>
        <w:t>，核对设计文件和监测方案的有关内容，明确鉴定范围内监测项目、</w:t>
      </w:r>
      <w:r>
        <w:rPr>
          <w:rFonts w:hint="default" w:ascii="Times New Roman" w:hAnsi="Times New Roman" w:eastAsia="Times New Roman" w:cs="Times New Roman"/>
          <w:b w:val="0"/>
          <w:bCs w:val="0"/>
          <w:color w:val="auto"/>
          <w:sz w:val="24"/>
          <w:szCs w:val="24"/>
          <w:u w:val="none" w:color="auto"/>
          <w:lang w:val="en-US" w:eastAsia="zh-CN"/>
        </w:rPr>
        <w:t>方法、仪器、频率、</w:t>
      </w:r>
      <w:r>
        <w:rPr>
          <w:rFonts w:hint="default" w:ascii="Times New Roman" w:hAnsi="Times New Roman" w:eastAsia="Times New Roman" w:cs="Times New Roman"/>
          <w:b w:val="0"/>
          <w:bCs w:val="0"/>
          <w:color w:val="auto"/>
          <w:sz w:val="24"/>
          <w:szCs w:val="24"/>
          <w:u w:val="none" w:color="auto"/>
        </w:rPr>
        <w:t>预警值</w:t>
      </w:r>
      <w:r>
        <w:rPr>
          <w:rFonts w:hint="default" w:ascii="Times New Roman" w:hAnsi="Times New Roman" w:eastAsia="Times New Roman" w:cs="Times New Roman"/>
          <w:b w:val="0"/>
          <w:bCs w:val="0"/>
          <w:color w:val="auto"/>
          <w:sz w:val="24"/>
          <w:szCs w:val="24"/>
          <w:u w:val="none" w:color="auto"/>
          <w:lang w:val="en-US" w:eastAsia="zh-CN"/>
        </w:rPr>
        <w:t>等</w:t>
      </w:r>
      <w:r>
        <w:rPr>
          <w:rFonts w:hint="default" w:ascii="Times New Roman" w:hAnsi="Times New Roman" w:eastAsia="Times New Roman" w:cs="Times New Roman"/>
          <w:b w:val="0"/>
          <w:bCs w:val="0"/>
          <w:color w:val="auto"/>
          <w:sz w:val="24"/>
          <w:szCs w:val="24"/>
          <w:u w:val="none" w:color="auto"/>
        </w:rPr>
        <w:t>。</w:t>
      </w:r>
      <w:r>
        <w:rPr>
          <w:rFonts w:hint="default" w:ascii="Times New Roman" w:hAnsi="Times New Roman" w:eastAsia="Times New Roman" w:cs="Times New Roman"/>
          <w:b w:val="0"/>
          <w:bCs w:val="0"/>
          <w:color w:val="auto"/>
          <w:sz w:val="24"/>
          <w:szCs w:val="24"/>
          <w:u w:val="none" w:color="auto"/>
          <w:lang w:val="en-US" w:eastAsia="zh-CN"/>
        </w:rPr>
        <w:t>查阅监测报告，了解基坑变形情况。</w:t>
      </w:r>
      <w:r>
        <w:rPr>
          <w:rFonts w:hint="default" w:ascii="Times New Roman" w:hAnsi="Times New Roman" w:eastAsia="Times New Roman" w:cs="Times New Roman"/>
          <w:b w:val="0"/>
          <w:bCs w:val="0"/>
          <w:color w:val="auto"/>
          <w:sz w:val="24"/>
          <w:szCs w:val="24"/>
          <w:u w:val="none" w:color="auto"/>
        </w:rPr>
        <w:t>当监测资料不能满足</w:t>
      </w:r>
      <w:r>
        <w:rPr>
          <w:rFonts w:hint="default" w:ascii="Times New Roman" w:hAnsi="Times New Roman" w:eastAsia="Times New Roman" w:cs="Times New Roman"/>
          <w:b w:val="0"/>
          <w:bCs w:val="0"/>
          <w:color w:val="auto"/>
          <w:sz w:val="24"/>
          <w:szCs w:val="24"/>
          <w:u w:val="none" w:color="auto"/>
          <w:lang w:eastAsia="zh-CN"/>
        </w:rPr>
        <w:t>基坑工程安全性鉴定</w:t>
      </w:r>
      <w:r>
        <w:rPr>
          <w:rFonts w:hint="default" w:ascii="Times New Roman" w:hAnsi="Times New Roman" w:eastAsia="Times New Roman" w:cs="Times New Roman"/>
          <w:b w:val="0"/>
          <w:bCs w:val="0"/>
          <w:color w:val="auto"/>
          <w:sz w:val="24"/>
          <w:szCs w:val="24"/>
          <w:u w:val="none" w:color="auto"/>
        </w:rPr>
        <w:t>需要时，应补充监测内容和技术要求，并组织实施。</w:t>
      </w:r>
    </w:p>
    <w:p w14:paraId="32EB01BE">
      <w:pPr>
        <w:pStyle w:val="3"/>
        <w:suppressLineNumbers w:val="0"/>
        <w:spacing w:before="0" w:beforeLines="-2147483648" w:beforeAutospacing="0" w:after="0" w:afterLines="-2147483648" w:afterAutospacing="0" w:line="360" w:lineRule="auto"/>
        <w:ind w:left="0" w:firstLine="0"/>
        <w:rPr>
          <w:rFonts w:hint="default" w:ascii="Times New Roman" w:hAnsi="Times New Roman" w:cs="Times New Roman" w:eastAsiaTheme="minorEastAsia"/>
          <w:bCs w:val="0"/>
          <w:sz w:val="28"/>
          <w:szCs w:val="28"/>
          <w:lang w:val="en-US" w:eastAsia="zh-CN" w:bidi="ar-SA"/>
        </w:rPr>
      </w:pPr>
      <w:bookmarkStart w:id="26" w:name="_Toc23995"/>
      <w:r>
        <w:rPr>
          <w:rFonts w:hint="default" w:ascii="Times New Roman" w:hAnsi="Times New Roman" w:cs="Times New Roman" w:eastAsiaTheme="minorEastAsia"/>
          <w:bCs w:val="0"/>
          <w:sz w:val="28"/>
          <w:szCs w:val="28"/>
          <w:lang w:val="en-US" w:eastAsia="zh-CN" w:bidi="ar-SA"/>
        </w:rPr>
        <w:t>4.4基坑支护结构检验检测</w:t>
      </w:r>
      <w:bookmarkEnd w:id="26"/>
    </w:p>
    <w:p w14:paraId="7DB40E55">
      <w:pPr>
        <w:pStyle w:val="6"/>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default" w:ascii="Times New Roman" w:hAnsi="Times New Roman" w:eastAsia="Times New Roman" w:cs="Times New Roman"/>
          <w:color w:val="auto"/>
          <w:spacing w:val="-3"/>
          <w:sz w:val="24"/>
          <w:szCs w:val="24"/>
        </w:rPr>
      </w:pPr>
      <w:r>
        <w:rPr>
          <w:rFonts w:hint="default" w:ascii="Times New Roman" w:hAnsi="Times New Roman" w:eastAsia="Times New Roman" w:cs="Times New Roman"/>
          <w:color w:val="auto"/>
          <w:spacing w:val="-3"/>
          <w:sz w:val="24"/>
          <w:szCs w:val="24"/>
        </w:rPr>
        <w:t>I  放坡</w:t>
      </w:r>
    </w:p>
    <w:p w14:paraId="26DAE127">
      <w:pPr>
        <w:pStyle w:val="6"/>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Times New Roman" w:cs="Times New Roman"/>
          <w:b/>
          <w:bCs/>
          <w:color w:val="auto"/>
          <w:spacing w:val="1"/>
          <w:sz w:val="24"/>
          <w:szCs w:val="24"/>
          <w:u w:val="none" w:color="auto"/>
          <w:lang w:val="en-US" w:eastAsia="zh-CN"/>
        </w:rPr>
      </w:pPr>
      <w:r>
        <w:rPr>
          <w:rFonts w:hint="default" w:ascii="Times New Roman" w:hAnsi="Times New Roman" w:eastAsia="Times New Roman" w:cs="Times New Roman"/>
          <w:b/>
          <w:bCs/>
          <w:color w:val="auto"/>
          <w:spacing w:val="1"/>
          <w:sz w:val="24"/>
          <w:szCs w:val="24"/>
          <w:u w:val="none" w:color="auto"/>
          <w:lang w:val="en-US" w:eastAsia="zh-CN"/>
        </w:rPr>
        <w:t xml:space="preserve">4.4.1 </w:t>
      </w:r>
      <w:r>
        <w:rPr>
          <w:rFonts w:hint="default" w:ascii="Times New Roman" w:hAnsi="Times New Roman" w:eastAsia="Times New Roman" w:cs="Times New Roman"/>
          <w:b w:val="0"/>
          <w:bCs w:val="0"/>
          <w:color w:val="auto"/>
          <w:spacing w:val="1"/>
          <w:sz w:val="24"/>
          <w:szCs w:val="24"/>
          <w:u w:val="none" w:color="auto"/>
          <w:lang w:val="en-US" w:eastAsia="zh-CN"/>
        </w:rPr>
        <w:t>采用放坡支护的基坑检验检测项目应包括坡率、过渡平台的位置（如有）、宽度、坡面配筋（如有）、喷射混凝土厚度、泄水孔设置、坡面破损和渗水等情况。</w:t>
      </w:r>
    </w:p>
    <w:p w14:paraId="54A01E79">
      <w:pPr>
        <w:spacing w:line="360" w:lineRule="auto"/>
        <w:rPr>
          <w:rFonts w:hint="default" w:ascii="Times New Roman" w:hAnsi="Times New Roman" w:eastAsia="楷体" w:cs="Times New Roman"/>
          <w:color w:val="auto"/>
          <w:sz w:val="24"/>
          <w:szCs w:val="28"/>
          <w:highlight w:val="none"/>
          <w:u w:val="single"/>
          <w:lang w:val="zh-CN" w:eastAsia="zh-CN"/>
        </w:rPr>
      </w:pPr>
      <w:r>
        <w:rPr>
          <w:rFonts w:hint="default" w:ascii="Times New Roman" w:hAnsi="Times New Roman" w:eastAsia="楷体" w:cs="Times New Roman"/>
          <w:color w:val="auto"/>
          <w:sz w:val="24"/>
          <w:szCs w:val="28"/>
          <w:highlight w:val="none"/>
          <w:u w:val="single"/>
          <w:lang w:val="zh-CN" w:eastAsia="zh-CN"/>
        </w:rPr>
        <w:t>【条文说明】本条规定放坡支护基坑的质量检验项目。本条中的放坡系数为基坑侧壁的高宽比-坡率。放坡支护的基坑，放坡系数是决定基坑稳定的关键因素，而在工程实践中，多数垮塌基坑放坡系数均不满足设计要求。因此放坡支护基坑应重点对放坡系数进行检验。现场可采用数字倾角水平尺、坡度测量仪等仪器设备进行测量。</w:t>
      </w:r>
    </w:p>
    <w:p w14:paraId="458FDAD4">
      <w:pPr>
        <w:pStyle w:val="6"/>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default" w:ascii="Times New Roman" w:hAnsi="Times New Roman" w:cs="Times New Roman"/>
          <w:color w:val="auto"/>
          <w:sz w:val="24"/>
          <w:szCs w:val="24"/>
        </w:rPr>
      </w:pPr>
      <w:r>
        <w:rPr>
          <w:rFonts w:hint="default" w:ascii="Times New Roman" w:hAnsi="Times New Roman" w:eastAsia="Times New Roman" w:cs="Times New Roman"/>
          <w:color w:val="auto"/>
          <w:spacing w:val="-3"/>
          <w:sz w:val="24"/>
          <w:szCs w:val="24"/>
        </w:rPr>
        <w:t>Ⅱ</w:t>
      </w:r>
      <w:r>
        <w:rPr>
          <w:rFonts w:hint="default" w:ascii="Times New Roman" w:hAnsi="Times New Roman" w:eastAsia="Times New Roman" w:cs="Times New Roman"/>
          <w:color w:val="auto"/>
          <w:spacing w:val="5"/>
          <w:sz w:val="24"/>
          <w:szCs w:val="24"/>
        </w:rPr>
        <w:t xml:space="preserve">  </w:t>
      </w:r>
      <w:r>
        <w:rPr>
          <w:rFonts w:hint="default" w:ascii="Times New Roman" w:hAnsi="Times New Roman" w:cs="Times New Roman"/>
          <w:color w:val="auto"/>
          <w:spacing w:val="-3"/>
          <w:sz w:val="24"/>
          <w:szCs w:val="24"/>
        </w:rPr>
        <w:t>支护结构</w:t>
      </w:r>
    </w:p>
    <w:p w14:paraId="70371511">
      <w:pPr>
        <w:pStyle w:val="6"/>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Times New Roman" w:cs="Times New Roman"/>
          <w:b/>
          <w:bCs/>
          <w:color w:val="auto"/>
          <w:spacing w:val="1"/>
          <w:sz w:val="24"/>
          <w:szCs w:val="24"/>
          <w:u w:val="none" w:color="auto"/>
          <w:lang w:val="en-US" w:eastAsia="zh-CN"/>
        </w:rPr>
      </w:pPr>
      <w:r>
        <w:rPr>
          <w:rFonts w:hint="default" w:ascii="Times New Roman" w:hAnsi="Times New Roman" w:eastAsia="Times New Roman" w:cs="Times New Roman"/>
          <w:b/>
          <w:bCs/>
          <w:color w:val="auto"/>
          <w:spacing w:val="1"/>
          <w:sz w:val="24"/>
          <w:szCs w:val="24"/>
          <w:u w:val="none" w:color="auto"/>
          <w:lang w:val="en-US" w:eastAsia="zh-CN"/>
        </w:rPr>
        <w:t xml:space="preserve">4.4.2 </w:t>
      </w:r>
      <w:r>
        <w:rPr>
          <w:rFonts w:hint="default" w:ascii="Times New Roman" w:hAnsi="Times New Roman" w:eastAsia="Times New Roman" w:cs="Times New Roman"/>
          <w:b w:val="0"/>
          <w:bCs w:val="0"/>
          <w:color w:val="auto"/>
          <w:spacing w:val="1"/>
          <w:sz w:val="24"/>
          <w:szCs w:val="24"/>
          <w:u w:val="none" w:color="auto"/>
          <w:lang w:val="en-US" w:eastAsia="zh-CN"/>
        </w:rPr>
        <w:t>基坑采用混凝土灌注桩（含双排桩、咬合桩）支护时，检验检测应符合下列规定：</w:t>
      </w:r>
    </w:p>
    <w:p w14:paraId="128EFCD6">
      <w:pPr>
        <w:pStyle w:val="6"/>
        <w:keepNext w:val="0"/>
        <w:keepLines w:val="0"/>
        <w:pageBreakBefore w:val="0"/>
        <w:widowControl w:val="0"/>
        <w:kinsoku/>
        <w:wordWrap/>
        <w:overflowPunct/>
        <w:topLinePunct w:val="0"/>
        <w:autoSpaceDE/>
        <w:autoSpaceDN/>
        <w:bidi w:val="0"/>
        <w:adjustRightInd/>
        <w:snapToGrid/>
        <w:spacing w:line="360" w:lineRule="auto"/>
        <w:ind w:left="0" w:right="0" w:firstLine="484" w:firstLineChars="200"/>
        <w:textAlignment w:val="auto"/>
        <w:rPr>
          <w:rFonts w:hint="default" w:ascii="Times New Roman" w:hAnsi="Times New Roman" w:cs="Times New Roman"/>
          <w:color w:val="auto"/>
          <w:sz w:val="24"/>
          <w:szCs w:val="24"/>
          <w:u w:val="none" w:color="auto"/>
        </w:rPr>
      </w:pPr>
      <w:r>
        <w:rPr>
          <w:rFonts w:hint="default" w:ascii="Times New Roman" w:hAnsi="Times New Roman" w:eastAsia="Times New Roman" w:cs="Times New Roman"/>
          <w:color w:val="auto"/>
          <w:spacing w:val="1"/>
          <w:sz w:val="24"/>
          <w:szCs w:val="24"/>
          <w:u w:val="none" w:color="auto"/>
        </w:rPr>
        <w:t xml:space="preserve">1  </w:t>
      </w:r>
      <w:r>
        <w:rPr>
          <w:rFonts w:hint="default" w:ascii="Times New Roman" w:hAnsi="Times New Roman" w:cs="Times New Roman"/>
          <w:color w:val="auto"/>
          <w:spacing w:val="1"/>
          <w:sz w:val="24"/>
          <w:szCs w:val="24"/>
          <w:u w:val="none" w:color="auto"/>
        </w:rPr>
        <w:t>混凝土灌注桩可通过核查施工资料结合现场量测对混凝土</w:t>
      </w:r>
      <w:r>
        <w:rPr>
          <w:rFonts w:hint="default" w:ascii="Times New Roman" w:hAnsi="Times New Roman" w:cs="Times New Roman"/>
          <w:color w:val="auto"/>
          <w:spacing w:val="-1"/>
          <w:sz w:val="24"/>
          <w:szCs w:val="24"/>
          <w:u w:val="none" w:color="auto"/>
        </w:rPr>
        <w:t>灌注桩的桩数、桩径、间距、桩长，冠梁、连梁尺寸等进行检验，对桩</w:t>
      </w:r>
      <w:r>
        <w:rPr>
          <w:rFonts w:hint="default" w:ascii="Times New Roman" w:hAnsi="Times New Roman" w:cs="Times New Roman"/>
          <w:color w:val="auto"/>
          <w:spacing w:val="-2"/>
          <w:sz w:val="24"/>
          <w:szCs w:val="24"/>
          <w:u w:val="none" w:color="auto"/>
        </w:rPr>
        <w:t>长、桩身混</w:t>
      </w:r>
      <w:r>
        <w:rPr>
          <w:rFonts w:hint="default" w:ascii="Times New Roman" w:hAnsi="Times New Roman" w:cs="Times New Roman"/>
          <w:color w:val="auto"/>
          <w:sz w:val="24"/>
          <w:szCs w:val="24"/>
          <w:u w:val="none" w:color="auto"/>
        </w:rPr>
        <w:t>凝土强度有怀疑时宜采用钻芯法进</w:t>
      </w:r>
      <w:r>
        <w:rPr>
          <w:rFonts w:hint="default" w:ascii="Times New Roman" w:hAnsi="Times New Roman" w:cs="Times New Roman"/>
          <w:color w:val="auto"/>
          <w:spacing w:val="-1"/>
          <w:sz w:val="24"/>
          <w:szCs w:val="24"/>
          <w:u w:val="none" w:color="auto"/>
        </w:rPr>
        <w:t>行验证。</w:t>
      </w:r>
    </w:p>
    <w:p w14:paraId="66A584E1">
      <w:pPr>
        <w:pStyle w:val="6"/>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Times New Roman" w:hAnsi="Times New Roman" w:cs="Times New Roman"/>
          <w:color w:val="auto"/>
          <w:sz w:val="24"/>
          <w:szCs w:val="24"/>
          <w:u w:val="none" w:color="auto"/>
        </w:rPr>
      </w:pPr>
      <w:r>
        <w:rPr>
          <w:rFonts w:hint="default" w:ascii="Times New Roman" w:hAnsi="Times New Roman" w:eastAsia="Times New Roman" w:cs="Times New Roman"/>
          <w:color w:val="auto"/>
          <w:spacing w:val="-1"/>
          <w:sz w:val="24"/>
          <w:szCs w:val="24"/>
          <w:u w:val="none" w:color="auto"/>
        </w:rPr>
        <w:t xml:space="preserve">2  </w:t>
      </w:r>
      <w:r>
        <w:rPr>
          <w:rFonts w:hint="default" w:ascii="Times New Roman" w:hAnsi="Times New Roman" w:cs="Times New Roman"/>
          <w:color w:val="auto"/>
          <w:spacing w:val="-1"/>
          <w:sz w:val="24"/>
          <w:szCs w:val="24"/>
          <w:u w:val="none" w:color="auto"/>
        </w:rPr>
        <w:t>桩身完整性检测宜符合下列规定：</w:t>
      </w:r>
    </w:p>
    <w:p w14:paraId="0B8A7ECD">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720" w:firstLineChars="300"/>
        <w:textAlignment w:val="auto"/>
        <w:rPr>
          <w:rFonts w:hint="default" w:ascii="Times New Roman" w:hAnsi="Times New Roman" w:cs="Times New Roman"/>
          <w:color w:val="auto"/>
          <w:sz w:val="24"/>
          <w:szCs w:val="24"/>
          <w:u w:val="none" w:color="auto"/>
        </w:rPr>
      </w:pPr>
      <w:r>
        <w:rPr>
          <w:rFonts w:hint="default" w:ascii="Times New Roman" w:hAnsi="Times New Roman" w:eastAsia="宋体" w:cs="Times New Roman"/>
          <w:color w:val="auto"/>
          <w:kern w:val="2"/>
          <w:sz w:val="24"/>
          <w:szCs w:val="24"/>
          <w:u w:color="auto"/>
          <w:lang w:val="en-US" w:eastAsia="en-US" w:bidi="ar-SA"/>
        </w:rPr>
        <w:t>1）</w:t>
      </w:r>
      <w:r>
        <w:rPr>
          <w:rFonts w:hint="default" w:ascii="Times New Roman" w:hAnsi="Times New Roman" w:cs="Times New Roman"/>
          <w:color w:val="auto"/>
          <w:spacing w:val="-1"/>
          <w:sz w:val="24"/>
          <w:szCs w:val="24"/>
          <w:u w:val="none" w:color="auto"/>
        </w:rPr>
        <w:t>可通过核查第三方检测机构出具的检测报告</w:t>
      </w:r>
      <w:r>
        <w:rPr>
          <w:rFonts w:hint="default" w:ascii="Times New Roman" w:hAnsi="Times New Roman" w:cs="Times New Roman"/>
          <w:color w:val="auto"/>
          <w:spacing w:val="-2"/>
          <w:sz w:val="24"/>
          <w:szCs w:val="24"/>
          <w:u w:val="none" w:color="auto"/>
        </w:rPr>
        <w:t>进行判断</w:t>
      </w:r>
      <w:r>
        <w:rPr>
          <w:rFonts w:hint="default" w:ascii="Times New Roman" w:hAnsi="Times New Roman" w:cs="Times New Roman"/>
          <w:color w:val="auto"/>
          <w:spacing w:val="-45"/>
          <w:sz w:val="24"/>
          <w:szCs w:val="24"/>
          <w:u w:val="none" w:color="auto"/>
        </w:rPr>
        <w:t>；</w:t>
      </w:r>
    </w:p>
    <w:p w14:paraId="62A90A01">
      <w:pPr>
        <w:pStyle w:val="6"/>
        <w:keepNext w:val="0"/>
        <w:keepLines w:val="0"/>
        <w:pageBreakBefore w:val="0"/>
        <w:widowControl w:val="0"/>
        <w:kinsoku/>
        <w:wordWrap/>
        <w:overflowPunct/>
        <w:topLinePunct w:val="0"/>
        <w:autoSpaceDE/>
        <w:autoSpaceDN/>
        <w:bidi w:val="0"/>
        <w:adjustRightInd/>
        <w:snapToGrid/>
        <w:spacing w:line="360" w:lineRule="auto"/>
        <w:ind w:left="0" w:right="0" w:firstLine="732" w:firstLineChars="300"/>
        <w:textAlignment w:val="auto"/>
        <w:rPr>
          <w:rFonts w:hint="default" w:ascii="Times New Roman" w:hAnsi="Times New Roman" w:cs="Times New Roman"/>
          <w:color w:val="auto"/>
          <w:sz w:val="24"/>
          <w:szCs w:val="24"/>
          <w:u w:val="none" w:color="auto"/>
        </w:rPr>
      </w:pPr>
      <w:r>
        <w:rPr>
          <w:rFonts w:hint="default" w:ascii="Times New Roman" w:hAnsi="Times New Roman" w:eastAsia="Times New Roman" w:cs="Times New Roman"/>
          <w:color w:val="auto"/>
          <w:spacing w:val="2"/>
          <w:sz w:val="24"/>
          <w:szCs w:val="24"/>
          <w:u w:val="none" w:color="auto"/>
        </w:rPr>
        <w:t>2</w:t>
      </w:r>
      <w:r>
        <w:rPr>
          <w:rFonts w:hint="default" w:ascii="Times New Roman" w:hAnsi="Times New Roman" w:cs="Times New Roman"/>
          <w:color w:val="auto"/>
          <w:spacing w:val="2"/>
          <w:sz w:val="24"/>
          <w:szCs w:val="24"/>
          <w:u w:val="none" w:color="auto"/>
        </w:rPr>
        <w:t>）对桩身质量有怀疑时可对冠梁进行局部破除，露出桩顶进</w:t>
      </w:r>
      <w:r>
        <w:rPr>
          <w:rFonts w:hint="default" w:ascii="Times New Roman" w:hAnsi="Times New Roman" w:cs="Times New Roman"/>
          <w:color w:val="auto"/>
          <w:spacing w:val="-2"/>
          <w:sz w:val="24"/>
          <w:szCs w:val="24"/>
          <w:u w:val="none" w:color="auto"/>
        </w:rPr>
        <w:t>行低应变检测，当冠梁无法破除时可依据</w:t>
      </w:r>
      <w:r>
        <w:rPr>
          <w:rFonts w:hint="default" w:ascii="Times New Roman" w:hAnsi="Times New Roman" w:cs="Times New Roman"/>
          <w:color w:val="auto"/>
          <w:spacing w:val="-2"/>
          <w:sz w:val="24"/>
          <w:szCs w:val="24"/>
          <w:u w:val="none" w:color="auto"/>
          <w:lang w:val="en-US" w:eastAsia="zh-CN"/>
        </w:rPr>
        <w:t>现行行业标准</w:t>
      </w:r>
      <w:r>
        <w:rPr>
          <w:rFonts w:hint="default" w:ascii="Times New Roman" w:hAnsi="Times New Roman" w:cs="Times New Roman"/>
          <w:color w:val="auto"/>
          <w:spacing w:val="-2"/>
          <w:sz w:val="24"/>
          <w:szCs w:val="24"/>
          <w:u w:val="none" w:color="auto"/>
        </w:rPr>
        <w:t>《既有建筑地基基础检测技</w:t>
      </w:r>
      <w:r>
        <w:rPr>
          <w:rFonts w:hint="default" w:ascii="Times New Roman" w:hAnsi="Times New Roman" w:cs="Times New Roman"/>
          <w:color w:val="auto"/>
          <w:spacing w:val="-5"/>
          <w:sz w:val="24"/>
          <w:szCs w:val="24"/>
          <w:u w:val="none" w:color="auto"/>
        </w:rPr>
        <w:t>术标准》</w:t>
      </w:r>
      <w:r>
        <w:rPr>
          <w:rFonts w:hint="default" w:ascii="Times New Roman" w:hAnsi="Times New Roman" w:eastAsia="Times New Roman" w:cs="Times New Roman"/>
          <w:color w:val="auto"/>
          <w:spacing w:val="-5"/>
          <w:sz w:val="24"/>
          <w:szCs w:val="24"/>
          <w:u w:val="none" w:color="auto"/>
        </w:rPr>
        <w:t>JGJ/T422</w:t>
      </w:r>
      <w:r>
        <w:rPr>
          <w:rFonts w:hint="default" w:ascii="Times New Roman" w:hAnsi="Times New Roman" w:cs="Times New Roman"/>
          <w:color w:val="auto"/>
          <w:spacing w:val="-5"/>
          <w:sz w:val="24"/>
          <w:szCs w:val="24"/>
          <w:u w:val="none" w:color="auto"/>
        </w:rPr>
        <w:t>对桩身进行完整性检测；</w:t>
      </w:r>
    </w:p>
    <w:p w14:paraId="7ACD608F">
      <w:pPr>
        <w:pStyle w:val="6"/>
        <w:keepNext w:val="0"/>
        <w:keepLines w:val="0"/>
        <w:pageBreakBefore w:val="0"/>
        <w:widowControl w:val="0"/>
        <w:kinsoku/>
        <w:wordWrap/>
        <w:overflowPunct/>
        <w:topLinePunct w:val="0"/>
        <w:autoSpaceDE/>
        <w:autoSpaceDN/>
        <w:bidi w:val="0"/>
        <w:adjustRightInd/>
        <w:snapToGrid/>
        <w:spacing w:line="360" w:lineRule="auto"/>
        <w:ind w:left="0" w:right="0" w:firstLine="732" w:firstLineChars="300"/>
        <w:jc w:val="left"/>
        <w:textAlignment w:val="auto"/>
        <w:rPr>
          <w:rFonts w:hint="default" w:ascii="Times New Roman" w:hAnsi="Times New Roman" w:cs="Times New Roman"/>
          <w:color w:val="auto"/>
          <w:sz w:val="24"/>
          <w:szCs w:val="24"/>
          <w:u w:val="none" w:color="auto"/>
        </w:rPr>
      </w:pPr>
      <w:r>
        <w:rPr>
          <w:rFonts w:hint="default" w:ascii="Times New Roman" w:hAnsi="Times New Roman" w:eastAsia="Times New Roman" w:cs="Times New Roman"/>
          <w:color w:val="auto"/>
          <w:spacing w:val="2"/>
          <w:sz w:val="24"/>
          <w:szCs w:val="24"/>
          <w:u w:val="none" w:color="auto"/>
        </w:rPr>
        <w:t>3）桩身完整性检测桩数不宜少于鉴定范围内总桩数的20%，且不得少于5根；</w:t>
      </w:r>
    </w:p>
    <w:p w14:paraId="311F0CCA">
      <w:pPr>
        <w:keepNext w:val="0"/>
        <w:keepLines w:val="0"/>
        <w:pageBreakBefore w:val="0"/>
        <w:widowControl w:val="0"/>
        <w:kinsoku/>
        <w:wordWrap/>
        <w:overflowPunct/>
        <w:topLinePunct w:val="0"/>
        <w:autoSpaceDE/>
        <w:autoSpaceDN/>
        <w:bidi w:val="0"/>
        <w:adjustRightInd/>
        <w:snapToGrid/>
        <w:spacing w:line="360" w:lineRule="auto"/>
        <w:ind w:left="0" w:right="0" w:firstLine="732" w:firstLineChars="300"/>
        <w:textAlignment w:val="auto"/>
        <w:rPr>
          <w:rFonts w:hint="default" w:ascii="Times New Roman" w:hAnsi="Times New Roman" w:cs="Times New Roman"/>
          <w:color w:val="auto"/>
          <w:u w:val="none" w:color="auto"/>
        </w:rPr>
      </w:pPr>
      <w:r>
        <w:rPr>
          <w:rFonts w:hint="default" w:ascii="Times New Roman" w:hAnsi="Times New Roman" w:eastAsia="Times New Roman" w:cs="Times New Roman"/>
          <w:color w:val="auto"/>
          <w:spacing w:val="2"/>
          <w:sz w:val="24"/>
          <w:szCs w:val="24"/>
          <w:u w:val="none" w:color="auto"/>
        </w:rPr>
        <w:t>4）支护桩作为永久支护结构时，应全数进行低应变法检测；</w:t>
      </w:r>
    </w:p>
    <w:p w14:paraId="08413710">
      <w:pPr>
        <w:pStyle w:val="6"/>
        <w:keepNext w:val="0"/>
        <w:keepLines w:val="0"/>
        <w:pageBreakBefore w:val="0"/>
        <w:widowControl w:val="0"/>
        <w:kinsoku/>
        <w:wordWrap/>
        <w:overflowPunct/>
        <w:topLinePunct w:val="0"/>
        <w:autoSpaceDE/>
        <w:autoSpaceDN/>
        <w:bidi w:val="0"/>
        <w:adjustRightInd/>
        <w:snapToGrid/>
        <w:spacing w:line="360" w:lineRule="auto"/>
        <w:ind w:left="0" w:right="0" w:firstLine="732" w:firstLineChars="300"/>
        <w:textAlignment w:val="auto"/>
        <w:rPr>
          <w:rFonts w:hint="default" w:ascii="Times New Roman" w:hAnsi="Times New Roman" w:eastAsia="Times New Roman" w:cs="Times New Roman"/>
          <w:color w:val="auto"/>
          <w:spacing w:val="2"/>
          <w:sz w:val="24"/>
          <w:szCs w:val="24"/>
          <w:u w:val="none" w:color="auto"/>
        </w:rPr>
      </w:pPr>
      <w:r>
        <w:rPr>
          <w:rFonts w:hint="default" w:ascii="Times New Roman" w:hAnsi="Times New Roman" w:eastAsia="Times New Roman" w:cs="Times New Roman"/>
          <w:color w:val="auto"/>
          <w:spacing w:val="2"/>
          <w:sz w:val="24"/>
          <w:szCs w:val="24"/>
          <w:u w:val="none" w:color="auto"/>
        </w:rPr>
        <w:t>5）当判定的桩身完整性为Ⅲ类或Ⅳ类时，宜采用钻芯法进行验证。</w:t>
      </w:r>
    </w:p>
    <w:p w14:paraId="659992F2">
      <w:pPr>
        <w:pStyle w:val="6"/>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textAlignment w:val="auto"/>
        <w:rPr>
          <w:rFonts w:hint="default" w:ascii="Times New Roman" w:hAnsi="Times New Roman" w:cs="Times New Roman"/>
          <w:color w:val="auto"/>
          <w:sz w:val="24"/>
          <w:szCs w:val="24"/>
        </w:rPr>
      </w:pPr>
      <w:r>
        <w:rPr>
          <w:rFonts w:hint="default" w:ascii="Times New Roman" w:hAnsi="Times New Roman" w:eastAsia="Times New Roman" w:cs="Times New Roman"/>
          <w:color w:val="auto"/>
          <w:spacing w:val="2"/>
          <w:sz w:val="24"/>
          <w:szCs w:val="24"/>
        </w:rPr>
        <w:t xml:space="preserve">3  </w:t>
      </w:r>
      <w:r>
        <w:rPr>
          <w:rFonts w:hint="default" w:ascii="Times New Roman" w:hAnsi="Times New Roman" w:cs="Times New Roman"/>
          <w:color w:val="auto"/>
          <w:spacing w:val="2"/>
          <w:sz w:val="24"/>
          <w:szCs w:val="24"/>
        </w:rPr>
        <w:t>桩身、冠梁、连梁配筋检测可通过施工隐蔽资料进行核查，对</w:t>
      </w:r>
      <w:r>
        <w:rPr>
          <w:rFonts w:hint="default" w:ascii="Times New Roman" w:hAnsi="Times New Roman" w:cs="Times New Roman"/>
          <w:color w:val="auto"/>
          <w:spacing w:val="1"/>
          <w:sz w:val="24"/>
          <w:szCs w:val="24"/>
        </w:rPr>
        <w:t>配筋有怀</w:t>
      </w:r>
      <w:r>
        <w:rPr>
          <w:rFonts w:hint="default" w:ascii="Times New Roman" w:hAnsi="Times New Roman" w:cs="Times New Roman"/>
          <w:color w:val="auto"/>
          <w:spacing w:val="-2"/>
          <w:sz w:val="24"/>
          <w:szCs w:val="24"/>
        </w:rPr>
        <w:t>疑时，应采用仪器设备检测，必要时可剔除混凝土进行检测。</w:t>
      </w:r>
    </w:p>
    <w:p w14:paraId="01FE14F1">
      <w:pPr>
        <w:pStyle w:val="6"/>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textAlignment w:val="auto"/>
        <w:rPr>
          <w:rFonts w:hint="default" w:ascii="Times New Roman" w:hAnsi="Times New Roman" w:cs="Times New Roman"/>
          <w:color w:val="auto"/>
          <w:sz w:val="24"/>
          <w:szCs w:val="24"/>
        </w:rPr>
      </w:pPr>
      <w:r>
        <w:rPr>
          <w:rFonts w:hint="default" w:ascii="Times New Roman" w:hAnsi="Times New Roman" w:eastAsia="Times New Roman" w:cs="Times New Roman"/>
          <w:color w:val="auto"/>
          <w:spacing w:val="2"/>
          <w:sz w:val="24"/>
          <w:szCs w:val="24"/>
        </w:rPr>
        <w:t xml:space="preserve">4  </w:t>
      </w:r>
      <w:r>
        <w:rPr>
          <w:rFonts w:hint="default" w:ascii="Times New Roman" w:hAnsi="Times New Roman" w:cs="Times New Roman"/>
          <w:color w:val="auto"/>
          <w:spacing w:val="2"/>
          <w:sz w:val="24"/>
          <w:szCs w:val="24"/>
        </w:rPr>
        <w:t>对支护桩、冠梁、连梁的裂缝情况、桩间护壁质量、桩间渗水情况及泄水管</w:t>
      </w:r>
      <w:r>
        <w:rPr>
          <w:rFonts w:hint="default" w:ascii="Times New Roman" w:hAnsi="Times New Roman" w:cs="Times New Roman"/>
          <w:color w:val="auto"/>
          <w:spacing w:val="-5"/>
          <w:sz w:val="24"/>
          <w:szCs w:val="24"/>
        </w:rPr>
        <w:t>设置进行检查和检测。</w:t>
      </w:r>
    </w:p>
    <w:p w14:paraId="68D6BA0B">
      <w:pPr>
        <w:spacing w:line="360" w:lineRule="auto"/>
        <w:rPr>
          <w:rFonts w:hint="default" w:ascii="Times New Roman" w:hAnsi="Times New Roman" w:eastAsia="楷体" w:cs="Times New Roman"/>
          <w:color w:val="auto"/>
          <w:sz w:val="24"/>
          <w:szCs w:val="28"/>
          <w:highlight w:val="none"/>
          <w:u w:val="single"/>
          <w:lang w:val="zh-CN" w:eastAsia="zh-CN"/>
        </w:rPr>
      </w:pPr>
      <w:r>
        <w:rPr>
          <w:rFonts w:hint="default" w:ascii="Times New Roman" w:hAnsi="Times New Roman" w:eastAsia="楷体" w:cs="Times New Roman"/>
          <w:color w:val="auto"/>
          <w:sz w:val="24"/>
          <w:szCs w:val="28"/>
          <w:highlight w:val="none"/>
          <w:u w:val="single"/>
          <w:lang w:val="zh-CN" w:eastAsia="zh-CN"/>
        </w:rPr>
        <w:t>【条文说明】采用混凝土灌注桩支护的基坑，因支护结构大部分参数均处于隐蔽状态，如果能够证明基坑支护结构处于稳定状态，可以采用查阅相关施工资料的形式进行检查，当对灌注桩桩身质量存疑时应采取破坏检测。</w:t>
      </w:r>
    </w:p>
    <w:p w14:paraId="2069E21E">
      <w:pPr>
        <w:spacing w:line="360" w:lineRule="auto"/>
        <w:rPr>
          <w:rFonts w:hint="default" w:ascii="Times New Roman" w:hAnsi="Times New Roman" w:eastAsia="楷体" w:cs="Times New Roman"/>
          <w:color w:val="auto"/>
          <w:sz w:val="24"/>
          <w:szCs w:val="28"/>
          <w:highlight w:val="none"/>
          <w:u w:val="single"/>
          <w:lang w:val="zh-CN" w:eastAsia="zh-CN"/>
        </w:rPr>
      </w:pPr>
      <w:r>
        <w:rPr>
          <w:rFonts w:hint="default" w:ascii="Times New Roman" w:hAnsi="Times New Roman" w:eastAsia="楷体" w:cs="Times New Roman"/>
          <w:color w:val="auto"/>
          <w:sz w:val="24"/>
          <w:szCs w:val="28"/>
          <w:highlight w:val="none"/>
          <w:u w:val="single"/>
          <w:lang w:val="zh-CN" w:eastAsia="zh-CN"/>
        </w:rPr>
        <w:t>采用钻芯法对桩长、桩身混凝土强度进行现场验证时，应符合现行行业标准《建筑基桩检测技术规范》JGJ106的有关规定。</w:t>
      </w:r>
    </w:p>
    <w:p w14:paraId="09E514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楷体" w:cs="Times New Roman"/>
          <w:color w:val="auto"/>
          <w:sz w:val="24"/>
          <w:szCs w:val="28"/>
          <w:highlight w:val="none"/>
          <w:u w:val="single"/>
          <w:lang w:val="zh-CN" w:eastAsia="zh-CN"/>
        </w:rPr>
      </w:pPr>
      <w:r>
        <w:rPr>
          <w:rFonts w:hint="default" w:ascii="Times New Roman" w:hAnsi="Times New Roman" w:eastAsia="楷体" w:cs="Times New Roman"/>
          <w:color w:val="auto"/>
          <w:sz w:val="24"/>
          <w:szCs w:val="28"/>
          <w:highlight w:val="none"/>
          <w:u w:val="single"/>
          <w:lang w:val="zh-CN" w:eastAsia="zh-CN"/>
        </w:rPr>
        <w:t>混凝土灌注桩的桩身完整性检测应根据基坑现场条件选取合适的检测标准及检测方法。当支护桩上冠梁未施工时，应按现行行业标准《建筑基桩检测技术规范》JGJ106的有关规定进行低应变法检测；若支护桩上冠梁已施工完毕，可破除冠梁进行检测或按现行行业标准《既有建筑地基基础检测技术标准》JGJ/T422的有关规定执行（如双速度低应变法、旁孔法等）。</w:t>
      </w:r>
    </w:p>
    <w:p w14:paraId="2C781F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楷体" w:cs="Times New Roman"/>
          <w:color w:val="auto"/>
          <w:sz w:val="24"/>
          <w:szCs w:val="28"/>
          <w:highlight w:val="none"/>
          <w:u w:val="single"/>
          <w:lang w:val="zh-CN" w:eastAsia="zh-CN"/>
        </w:rPr>
      </w:pPr>
      <w:r>
        <w:rPr>
          <w:rFonts w:hint="default" w:ascii="Times New Roman" w:hAnsi="Times New Roman" w:eastAsia="楷体" w:cs="Times New Roman"/>
          <w:color w:val="auto"/>
          <w:sz w:val="24"/>
          <w:szCs w:val="28"/>
          <w:highlight w:val="none"/>
          <w:u w:val="single"/>
          <w:lang w:val="zh-CN" w:eastAsia="zh-CN"/>
        </w:rPr>
        <w:t>混凝土灌注桩中的钢筋可通过检查钢筋笼制作与安装的隐蔽验收记录，钢筋原材、焊接材料和连接件的检测报告等资料进行检验；现场具备条件时，可采用现场量测现场检测等方式。</w:t>
      </w:r>
    </w:p>
    <w:p w14:paraId="63D95420">
      <w:pPr>
        <w:pStyle w:val="6"/>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Times New Roman" w:cs="Times New Roman"/>
          <w:b w:val="0"/>
          <w:bCs w:val="0"/>
          <w:color w:val="auto"/>
          <w:spacing w:val="1"/>
          <w:sz w:val="24"/>
          <w:szCs w:val="24"/>
          <w:u w:val="none" w:color="auto"/>
          <w:lang w:val="en-US" w:eastAsia="zh-CN"/>
        </w:rPr>
      </w:pPr>
      <w:r>
        <w:rPr>
          <w:rFonts w:hint="default" w:ascii="Times New Roman" w:hAnsi="Times New Roman" w:eastAsia="Times New Roman" w:cs="Times New Roman"/>
          <w:b/>
          <w:bCs/>
          <w:color w:val="auto"/>
          <w:spacing w:val="1"/>
          <w:sz w:val="24"/>
          <w:szCs w:val="24"/>
          <w:u w:val="none" w:color="auto"/>
          <w:lang w:val="en-US" w:eastAsia="zh-CN"/>
        </w:rPr>
        <w:t xml:space="preserve">4.4.3 </w:t>
      </w:r>
      <w:r>
        <w:rPr>
          <w:rFonts w:hint="default" w:ascii="Times New Roman" w:hAnsi="Times New Roman" w:eastAsia="Times New Roman" w:cs="Times New Roman"/>
          <w:b w:val="0"/>
          <w:bCs w:val="0"/>
          <w:color w:val="auto"/>
          <w:spacing w:val="1"/>
          <w:sz w:val="24"/>
          <w:szCs w:val="24"/>
          <w:u w:val="none" w:color="auto"/>
          <w:lang w:val="en-US" w:eastAsia="zh-CN"/>
        </w:rPr>
        <w:t>基坑采用钢板桩支护时，应对现场采用钢板桩的型号（宽度、厚度、长度）、硬度、钢板桩锈蚀变形情况、轴线位置、沉桩垂直度、齿槽咬合程度、板缝间隙、桩身弯曲度、防锈涂层（如有）、内支撑设置（如有）等技术指标进行检验。</w:t>
      </w:r>
    </w:p>
    <w:p w14:paraId="5084788E">
      <w:pPr>
        <w:pStyle w:val="6"/>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Times New Roman" w:cs="Times New Roman"/>
          <w:b w:val="0"/>
          <w:bCs w:val="0"/>
          <w:color w:val="auto"/>
          <w:spacing w:val="1"/>
          <w:sz w:val="24"/>
          <w:szCs w:val="24"/>
          <w:u w:val="none" w:color="auto"/>
          <w:lang w:val="en-US" w:eastAsia="zh-CN"/>
        </w:rPr>
      </w:pPr>
      <w:r>
        <w:rPr>
          <w:rFonts w:hint="default" w:ascii="Times New Roman" w:hAnsi="Times New Roman" w:eastAsia="Times New Roman" w:cs="Times New Roman"/>
          <w:b/>
          <w:bCs/>
          <w:color w:val="auto"/>
          <w:spacing w:val="1"/>
          <w:sz w:val="24"/>
          <w:szCs w:val="24"/>
          <w:u w:val="none" w:color="auto"/>
          <w:lang w:val="en-US" w:eastAsia="zh-CN"/>
        </w:rPr>
        <w:t xml:space="preserve">4.4.4 </w:t>
      </w:r>
      <w:r>
        <w:rPr>
          <w:rFonts w:hint="default" w:ascii="Times New Roman" w:hAnsi="Times New Roman" w:eastAsia="Times New Roman" w:cs="Times New Roman"/>
          <w:b w:val="0"/>
          <w:bCs w:val="0"/>
          <w:color w:val="auto"/>
          <w:spacing w:val="1"/>
          <w:sz w:val="24"/>
          <w:szCs w:val="24"/>
          <w:u w:val="none" w:color="auto"/>
          <w:lang w:val="en-US" w:eastAsia="zh-CN"/>
        </w:rPr>
        <w:t>基坑采用内支撑支护时，检验检测应符合下列规定：</w:t>
      </w:r>
    </w:p>
    <w:p w14:paraId="428206A7">
      <w:pPr>
        <w:pStyle w:val="6"/>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hint="default" w:ascii="Times New Roman" w:hAnsi="Times New Roman" w:cs="Times New Roman"/>
          <w:color w:val="auto"/>
          <w:sz w:val="24"/>
          <w:szCs w:val="24"/>
          <w:u w:val="none" w:color="auto"/>
        </w:rPr>
      </w:pPr>
      <w:r>
        <w:rPr>
          <w:rFonts w:hint="default" w:ascii="Times New Roman" w:hAnsi="Times New Roman" w:eastAsia="Times New Roman" w:cs="Times New Roman"/>
          <w:color w:val="auto"/>
          <w:spacing w:val="-6"/>
          <w:sz w:val="24"/>
          <w:szCs w:val="24"/>
          <w:u w:val="none" w:color="auto"/>
        </w:rPr>
        <w:t xml:space="preserve">1  </w:t>
      </w:r>
      <w:r>
        <w:rPr>
          <w:rFonts w:hint="default" w:ascii="Times New Roman" w:hAnsi="Times New Roman" w:cs="Times New Roman"/>
          <w:color w:val="auto"/>
          <w:spacing w:val="-6"/>
          <w:sz w:val="24"/>
          <w:szCs w:val="24"/>
          <w:u w:val="none" w:color="auto"/>
        </w:rPr>
        <w:t>采用混凝土支撑时，应对支撑的截面尺寸、轴线平面位置、标高、钢筋配置、</w:t>
      </w:r>
      <w:r>
        <w:rPr>
          <w:rFonts w:hint="default" w:ascii="Times New Roman" w:hAnsi="Times New Roman" w:cs="Times New Roman"/>
          <w:color w:val="auto"/>
          <w:spacing w:val="-5"/>
          <w:sz w:val="24"/>
          <w:szCs w:val="24"/>
          <w:u w:val="none" w:color="auto"/>
        </w:rPr>
        <w:t>混凝土强度，支撑与围护结构的连接节点进行检验；</w:t>
      </w:r>
    </w:p>
    <w:p w14:paraId="668454A5">
      <w:pPr>
        <w:pStyle w:val="6"/>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textAlignment w:val="auto"/>
        <w:rPr>
          <w:rFonts w:hint="default" w:ascii="Times New Roman" w:hAnsi="Times New Roman" w:cs="Times New Roman"/>
          <w:color w:val="auto"/>
          <w:sz w:val="24"/>
          <w:szCs w:val="24"/>
          <w:u w:val="none" w:color="auto"/>
        </w:rPr>
      </w:pPr>
      <w:r>
        <w:rPr>
          <w:rFonts w:hint="default" w:ascii="Times New Roman" w:hAnsi="Times New Roman" w:eastAsia="Times New Roman" w:cs="Times New Roman"/>
          <w:color w:val="auto"/>
          <w:spacing w:val="2"/>
          <w:sz w:val="24"/>
          <w:szCs w:val="24"/>
          <w:u w:val="none" w:color="auto"/>
        </w:rPr>
        <w:t xml:space="preserve">2  </w:t>
      </w:r>
      <w:r>
        <w:rPr>
          <w:rFonts w:hint="default" w:ascii="Times New Roman" w:hAnsi="Times New Roman" w:cs="Times New Roman"/>
          <w:color w:val="auto"/>
          <w:spacing w:val="2"/>
          <w:sz w:val="24"/>
          <w:szCs w:val="24"/>
          <w:u w:val="none" w:color="auto"/>
        </w:rPr>
        <w:t>采用钢支撑时，应对钢支撑产品构件和连接构件的制作质量、支撑的外轮廓</w:t>
      </w:r>
      <w:r>
        <w:rPr>
          <w:rFonts w:hint="default" w:ascii="Times New Roman" w:hAnsi="Times New Roman" w:cs="Times New Roman"/>
          <w:color w:val="auto"/>
          <w:spacing w:val="-3"/>
          <w:sz w:val="24"/>
          <w:szCs w:val="24"/>
          <w:u w:val="none" w:color="auto"/>
        </w:rPr>
        <w:t>尺寸、轴线平面位置、标高、连接质量</w:t>
      </w:r>
      <w:r>
        <w:rPr>
          <w:rFonts w:hint="default" w:ascii="Times New Roman" w:hAnsi="Times New Roman" w:cs="Times New Roman"/>
          <w:color w:val="auto"/>
          <w:spacing w:val="-3"/>
          <w:sz w:val="24"/>
          <w:szCs w:val="24"/>
          <w:u w:val="none" w:color="auto"/>
          <w:lang w:eastAsia="zh-CN"/>
        </w:rPr>
        <w:t>、</w:t>
      </w:r>
      <w:r>
        <w:rPr>
          <w:rFonts w:hint="default" w:ascii="Times New Roman" w:hAnsi="Times New Roman" w:cs="Times New Roman"/>
          <w:color w:val="auto"/>
          <w:spacing w:val="-3"/>
          <w:sz w:val="24"/>
          <w:szCs w:val="24"/>
          <w:u w:val="none" w:color="auto"/>
          <w:lang w:val="en-US" w:eastAsia="zh-CN"/>
        </w:rPr>
        <w:t>锈蚀情况</w:t>
      </w:r>
      <w:r>
        <w:rPr>
          <w:rFonts w:hint="default" w:ascii="Times New Roman" w:hAnsi="Times New Roman" w:cs="Times New Roman"/>
          <w:color w:val="auto"/>
          <w:spacing w:val="-3"/>
          <w:sz w:val="24"/>
          <w:szCs w:val="24"/>
          <w:u w:val="none" w:color="auto"/>
        </w:rPr>
        <w:t>，支撑与围护结构的连接节点进行检验；</w:t>
      </w:r>
    </w:p>
    <w:p w14:paraId="40F95EF4">
      <w:pPr>
        <w:pStyle w:val="6"/>
        <w:keepNext w:val="0"/>
        <w:keepLines w:val="0"/>
        <w:pageBreakBefore w:val="0"/>
        <w:widowControl w:val="0"/>
        <w:kinsoku/>
        <w:wordWrap/>
        <w:overflowPunct/>
        <w:topLinePunct w:val="0"/>
        <w:autoSpaceDE/>
        <w:autoSpaceDN/>
        <w:bidi w:val="0"/>
        <w:adjustRightInd/>
        <w:snapToGrid/>
        <w:spacing w:line="360" w:lineRule="auto"/>
        <w:ind w:left="0" w:right="0" w:firstLine="484" w:firstLineChars="200"/>
        <w:textAlignment w:val="auto"/>
        <w:rPr>
          <w:rFonts w:hint="default" w:ascii="Times New Roman" w:hAnsi="Times New Roman" w:cs="Times New Roman"/>
          <w:color w:val="auto"/>
          <w:sz w:val="24"/>
          <w:szCs w:val="24"/>
          <w:u w:val="none" w:color="auto"/>
        </w:rPr>
      </w:pPr>
      <w:r>
        <w:rPr>
          <w:rFonts w:hint="default" w:ascii="Times New Roman" w:hAnsi="Times New Roman" w:eastAsia="Times New Roman" w:cs="Times New Roman"/>
          <w:color w:val="auto"/>
          <w:spacing w:val="1"/>
          <w:sz w:val="24"/>
          <w:szCs w:val="24"/>
          <w:u w:val="none" w:color="auto"/>
        </w:rPr>
        <w:t xml:space="preserve">3  </w:t>
      </w:r>
      <w:r>
        <w:rPr>
          <w:rFonts w:hint="default" w:ascii="Times New Roman" w:hAnsi="Times New Roman" w:cs="Times New Roman"/>
          <w:color w:val="auto"/>
          <w:spacing w:val="1"/>
          <w:sz w:val="24"/>
          <w:szCs w:val="24"/>
          <w:u w:val="none" w:color="auto"/>
        </w:rPr>
        <w:t>应对型钢立柱的截面尺寸、垂直度、变形、平面位置，型钢的尺寸</w:t>
      </w:r>
      <w:r>
        <w:rPr>
          <w:rFonts w:hint="default" w:ascii="Times New Roman" w:hAnsi="Times New Roman" w:cs="Times New Roman"/>
          <w:color w:val="auto"/>
          <w:spacing w:val="1"/>
          <w:sz w:val="24"/>
          <w:szCs w:val="24"/>
          <w:u w:val="none" w:color="auto"/>
          <w:lang w:eastAsia="zh-CN"/>
        </w:rPr>
        <w:t>、</w:t>
      </w:r>
      <w:r>
        <w:rPr>
          <w:rFonts w:hint="default" w:ascii="Times New Roman" w:hAnsi="Times New Roman" w:cs="Times New Roman"/>
          <w:color w:val="auto"/>
          <w:spacing w:val="1"/>
          <w:sz w:val="24"/>
          <w:szCs w:val="24"/>
          <w:u w:val="none" w:color="auto"/>
        </w:rPr>
        <w:t>厚</w:t>
      </w:r>
      <w:r>
        <w:rPr>
          <w:rFonts w:hint="default" w:ascii="Times New Roman" w:hAnsi="Times New Roman" w:cs="Times New Roman"/>
          <w:color w:val="auto"/>
          <w:sz w:val="24"/>
          <w:szCs w:val="24"/>
          <w:u w:val="none" w:color="auto"/>
        </w:rPr>
        <w:t>度、</w:t>
      </w:r>
      <w:r>
        <w:rPr>
          <w:rFonts w:hint="default" w:ascii="Times New Roman" w:hAnsi="Times New Roman" w:cs="Times New Roman"/>
          <w:color w:val="auto"/>
          <w:spacing w:val="-2"/>
          <w:sz w:val="24"/>
          <w:szCs w:val="24"/>
          <w:u w:val="none" w:color="auto"/>
        </w:rPr>
        <w:t>强度</w:t>
      </w:r>
      <w:r>
        <w:rPr>
          <w:rFonts w:hint="default" w:ascii="Times New Roman" w:hAnsi="Times New Roman" w:cs="Times New Roman"/>
          <w:color w:val="auto"/>
          <w:spacing w:val="-2"/>
          <w:sz w:val="24"/>
          <w:szCs w:val="24"/>
          <w:u w:val="none" w:color="auto"/>
          <w:lang w:eastAsia="zh-CN"/>
        </w:rPr>
        <w:t>、</w:t>
      </w:r>
      <w:r>
        <w:rPr>
          <w:rFonts w:hint="default" w:ascii="Times New Roman" w:hAnsi="Times New Roman" w:cs="Times New Roman"/>
          <w:color w:val="auto"/>
          <w:spacing w:val="-2"/>
          <w:sz w:val="24"/>
          <w:szCs w:val="24"/>
          <w:u w:val="none" w:color="auto"/>
          <w:lang w:val="en-US" w:eastAsia="zh-CN"/>
        </w:rPr>
        <w:t>锈蚀情况</w:t>
      </w:r>
      <w:r>
        <w:rPr>
          <w:rFonts w:hint="default" w:ascii="Times New Roman" w:hAnsi="Times New Roman" w:cs="Times New Roman"/>
          <w:color w:val="auto"/>
          <w:spacing w:val="-2"/>
          <w:sz w:val="24"/>
          <w:szCs w:val="24"/>
          <w:u w:val="none" w:color="auto"/>
        </w:rPr>
        <w:t>，缀板的截面尺寸、间距、焊接质量</w:t>
      </w:r>
      <w:r>
        <w:rPr>
          <w:rFonts w:hint="default" w:ascii="Times New Roman" w:hAnsi="Times New Roman" w:cs="Times New Roman"/>
          <w:color w:val="auto"/>
          <w:spacing w:val="-2"/>
          <w:sz w:val="24"/>
          <w:szCs w:val="24"/>
          <w:u w:val="none" w:color="auto"/>
          <w:lang w:eastAsia="zh-CN"/>
        </w:rPr>
        <w:t>、</w:t>
      </w:r>
      <w:r>
        <w:rPr>
          <w:rFonts w:hint="default" w:ascii="Times New Roman" w:hAnsi="Times New Roman" w:cs="Times New Roman"/>
          <w:color w:val="auto"/>
          <w:spacing w:val="-2"/>
          <w:sz w:val="24"/>
          <w:szCs w:val="24"/>
          <w:u w:val="none" w:color="auto"/>
          <w:lang w:val="en-US" w:eastAsia="zh-CN"/>
        </w:rPr>
        <w:t>锈蚀情况</w:t>
      </w:r>
      <w:r>
        <w:rPr>
          <w:rFonts w:hint="default" w:ascii="Times New Roman" w:hAnsi="Times New Roman" w:cs="Times New Roman"/>
          <w:color w:val="auto"/>
          <w:spacing w:val="-2"/>
          <w:sz w:val="24"/>
          <w:szCs w:val="24"/>
          <w:u w:val="none" w:color="auto"/>
        </w:rPr>
        <w:t>等进行检验。</w:t>
      </w:r>
    </w:p>
    <w:p w14:paraId="4E48CE4E">
      <w:pPr>
        <w:pStyle w:val="6"/>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Times New Roman" w:cs="Times New Roman"/>
          <w:b/>
          <w:bCs/>
          <w:color w:val="auto"/>
          <w:spacing w:val="1"/>
          <w:sz w:val="24"/>
          <w:szCs w:val="24"/>
          <w:u w:val="none" w:color="auto"/>
          <w:lang w:val="en-US" w:eastAsia="zh-CN"/>
        </w:rPr>
      </w:pPr>
      <w:r>
        <w:rPr>
          <w:rFonts w:hint="default" w:ascii="Times New Roman" w:hAnsi="Times New Roman" w:eastAsia="Times New Roman" w:cs="Times New Roman"/>
          <w:b/>
          <w:bCs/>
          <w:color w:val="auto"/>
          <w:spacing w:val="1"/>
          <w:sz w:val="24"/>
          <w:szCs w:val="24"/>
          <w:u w:val="none" w:color="auto"/>
          <w:lang w:val="en-US" w:eastAsia="zh-CN"/>
        </w:rPr>
        <w:t xml:space="preserve">4.4.5 </w:t>
      </w:r>
      <w:r>
        <w:rPr>
          <w:rFonts w:hint="default" w:ascii="Times New Roman" w:hAnsi="Times New Roman" w:eastAsia="Times New Roman" w:cs="Times New Roman"/>
          <w:b w:val="0"/>
          <w:bCs w:val="0"/>
          <w:color w:val="auto"/>
          <w:spacing w:val="1"/>
          <w:sz w:val="24"/>
          <w:szCs w:val="24"/>
          <w:u w:val="none" w:color="auto"/>
          <w:lang w:val="en-US" w:eastAsia="zh-CN"/>
        </w:rPr>
        <w:t>支护结构采用锚杆（索）时，检验检测应符合下列规定：</w:t>
      </w:r>
    </w:p>
    <w:p w14:paraId="3BD0A944">
      <w:pPr>
        <w:pStyle w:val="6"/>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hint="default" w:ascii="Times New Roman" w:hAnsi="Times New Roman" w:eastAsia="Times New Roman" w:cs="Times New Roman"/>
          <w:color w:val="auto"/>
          <w:spacing w:val="-6"/>
          <w:sz w:val="24"/>
          <w:szCs w:val="24"/>
          <w:u w:val="none" w:color="auto"/>
        </w:rPr>
      </w:pPr>
      <w:r>
        <w:rPr>
          <w:rFonts w:hint="default" w:ascii="Times New Roman" w:hAnsi="Times New Roman" w:eastAsia="Times New Roman" w:cs="Times New Roman"/>
          <w:color w:val="auto"/>
          <w:spacing w:val="-6"/>
          <w:sz w:val="24"/>
          <w:szCs w:val="24"/>
          <w:u w:val="none" w:color="auto"/>
        </w:rPr>
        <w:t>1  应对锚杆（索）的排数、位置、间距，规格、原材力学及抗拔承载力进行检</w:t>
      </w:r>
    </w:p>
    <w:p w14:paraId="6685D579">
      <w:pPr>
        <w:pStyle w:val="6"/>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hint="default" w:ascii="Times New Roman" w:hAnsi="Times New Roman" w:eastAsia="Times New Roman" w:cs="Times New Roman"/>
          <w:color w:val="auto"/>
          <w:spacing w:val="-6"/>
          <w:sz w:val="24"/>
          <w:szCs w:val="24"/>
          <w:u w:val="none" w:color="auto"/>
        </w:rPr>
      </w:pPr>
      <w:r>
        <w:rPr>
          <w:rFonts w:hint="default" w:ascii="Times New Roman" w:hAnsi="Times New Roman" w:eastAsia="Times New Roman" w:cs="Times New Roman"/>
          <w:color w:val="auto"/>
          <w:spacing w:val="-6"/>
          <w:sz w:val="24"/>
          <w:szCs w:val="24"/>
          <w:u w:val="none" w:color="auto"/>
        </w:rPr>
        <w:t>验，对锚杆（索）角度、自由段长度、锚固段长度、注浆体强度等隐蔽参数通过查阅施工资料的形式检查；</w:t>
      </w:r>
    </w:p>
    <w:p w14:paraId="032FEE0F">
      <w:pPr>
        <w:pStyle w:val="6"/>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hint="default" w:ascii="Times New Roman" w:hAnsi="Times New Roman" w:eastAsia="Times New Roman" w:cs="Times New Roman"/>
          <w:color w:val="auto"/>
          <w:spacing w:val="-6"/>
          <w:sz w:val="24"/>
          <w:szCs w:val="24"/>
          <w:u w:val="none" w:color="auto"/>
          <w:lang w:eastAsia="zh-CN"/>
        </w:rPr>
      </w:pPr>
      <w:r>
        <w:rPr>
          <w:rFonts w:hint="default" w:ascii="Times New Roman" w:hAnsi="Times New Roman" w:eastAsia="Times New Roman" w:cs="Times New Roman"/>
          <w:color w:val="auto"/>
          <w:spacing w:val="-6"/>
          <w:sz w:val="24"/>
          <w:szCs w:val="24"/>
          <w:u w:val="none" w:color="auto"/>
        </w:rPr>
        <w:t>2  锚杆（索）抗拔承载力检测数量</w:t>
      </w:r>
      <w:r>
        <w:rPr>
          <w:rFonts w:hint="default" w:ascii="Times New Roman" w:hAnsi="Times New Roman" w:eastAsia="Times New Roman" w:cs="Times New Roman"/>
          <w:color w:val="auto"/>
          <w:spacing w:val="-6"/>
          <w:sz w:val="24"/>
          <w:szCs w:val="24"/>
          <w:u w:val="none" w:color="auto"/>
          <w:lang w:val="en-US" w:eastAsia="zh-CN"/>
        </w:rPr>
        <w:t>在</w:t>
      </w:r>
      <w:r>
        <w:rPr>
          <w:rFonts w:hint="default" w:ascii="Times New Roman" w:hAnsi="Times New Roman" w:eastAsia="Times New Roman" w:cs="Times New Roman"/>
          <w:color w:val="auto"/>
          <w:spacing w:val="-6"/>
          <w:sz w:val="24"/>
          <w:szCs w:val="24"/>
          <w:u w:val="none" w:color="auto"/>
        </w:rPr>
        <w:t>同一</w:t>
      </w:r>
      <w:r>
        <w:rPr>
          <w:rFonts w:hint="default" w:ascii="Times New Roman" w:hAnsi="Times New Roman" w:eastAsia="Times New Roman" w:cs="Times New Roman"/>
          <w:color w:val="auto"/>
          <w:spacing w:val="-6"/>
          <w:sz w:val="24"/>
          <w:szCs w:val="24"/>
          <w:u w:val="none" w:color="auto"/>
          <w:lang w:val="en-US" w:eastAsia="zh-CN"/>
        </w:rPr>
        <w:t>土层</w:t>
      </w:r>
      <w:r>
        <w:rPr>
          <w:rFonts w:hint="default" w:ascii="Times New Roman" w:hAnsi="Times New Roman" w:eastAsia="Times New Roman" w:cs="Times New Roman"/>
          <w:color w:val="auto"/>
          <w:spacing w:val="-6"/>
          <w:sz w:val="24"/>
          <w:szCs w:val="24"/>
          <w:u w:val="none" w:color="auto"/>
        </w:rPr>
        <w:t>锚杆（索）检测数量不应少于3根；检测锚杆（索）应采用随机抽样的方法选取；当检测的锚杆（索）不合格时，应扩大检测数量，扩大抽检的数量应为不合格锚杆（索）数量的2倍</w:t>
      </w:r>
      <w:r>
        <w:rPr>
          <w:rFonts w:hint="default" w:ascii="Times New Roman" w:hAnsi="Times New Roman" w:eastAsia="Times New Roman" w:cs="Times New Roman"/>
          <w:color w:val="auto"/>
          <w:spacing w:val="-6"/>
          <w:sz w:val="24"/>
          <w:szCs w:val="24"/>
          <w:u w:val="none" w:color="auto"/>
          <w:lang w:eastAsia="zh-CN"/>
        </w:rPr>
        <w:t>。</w:t>
      </w:r>
      <w:r>
        <w:rPr>
          <w:rFonts w:hint="default" w:ascii="Times New Roman" w:hAnsi="Times New Roman" w:eastAsia="Times New Roman" w:cs="Times New Roman"/>
          <w:color w:val="auto"/>
          <w:spacing w:val="-6"/>
          <w:sz w:val="24"/>
          <w:szCs w:val="24"/>
          <w:u w:val="none" w:color="auto"/>
        </w:rPr>
        <w:t>对锚杆（索）、土钉检测应</w:t>
      </w:r>
      <w:r>
        <w:rPr>
          <w:rFonts w:hint="default" w:ascii="Times New Roman" w:hAnsi="Times New Roman" w:eastAsia="Times New Roman" w:cs="Times New Roman"/>
          <w:color w:val="auto"/>
          <w:spacing w:val="-6"/>
          <w:sz w:val="24"/>
          <w:szCs w:val="24"/>
          <w:u w:val="none" w:color="auto"/>
          <w:lang w:val="en-US" w:eastAsia="zh-CN"/>
        </w:rPr>
        <w:t>满足</w:t>
      </w:r>
      <w:r>
        <w:rPr>
          <w:rFonts w:hint="default" w:ascii="Times New Roman" w:hAnsi="Times New Roman" w:eastAsia="Times New Roman" w:cs="Times New Roman"/>
          <w:color w:val="auto"/>
          <w:spacing w:val="-6"/>
          <w:sz w:val="24"/>
          <w:szCs w:val="24"/>
          <w:u w:val="none" w:color="auto"/>
        </w:rPr>
        <w:t>下列</w:t>
      </w:r>
      <w:r>
        <w:rPr>
          <w:rFonts w:hint="default" w:ascii="Times New Roman" w:hAnsi="Times New Roman" w:eastAsia="Times New Roman" w:cs="Times New Roman"/>
          <w:color w:val="auto"/>
          <w:spacing w:val="-6"/>
          <w:sz w:val="24"/>
          <w:szCs w:val="24"/>
          <w:u w:val="none" w:color="auto"/>
          <w:lang w:val="en-US" w:eastAsia="zh-CN"/>
        </w:rPr>
        <w:t>要求</w:t>
      </w:r>
      <w:r>
        <w:rPr>
          <w:rFonts w:hint="default" w:ascii="Times New Roman" w:hAnsi="Times New Roman" w:eastAsia="Times New Roman" w:cs="Times New Roman"/>
          <w:color w:val="auto"/>
          <w:spacing w:val="-6"/>
          <w:sz w:val="24"/>
          <w:szCs w:val="24"/>
          <w:u w:val="none" w:color="auto"/>
        </w:rPr>
        <w:t>：</w:t>
      </w:r>
    </w:p>
    <w:p w14:paraId="19630217">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720" w:firstLineChars="300"/>
        <w:textAlignment w:val="auto"/>
        <w:rPr>
          <w:rFonts w:hint="default" w:ascii="Times New Roman" w:hAnsi="Times New Roman" w:eastAsia="宋体" w:cs="Times New Roman"/>
          <w:color w:val="auto"/>
          <w:kern w:val="2"/>
          <w:sz w:val="24"/>
          <w:szCs w:val="24"/>
          <w:u w:color="auto"/>
          <w:lang w:val="en-US" w:eastAsia="en-US" w:bidi="ar-SA"/>
        </w:rPr>
      </w:pPr>
      <w:r>
        <w:rPr>
          <w:rFonts w:hint="default" w:ascii="Times New Roman" w:hAnsi="Times New Roman" w:eastAsia="宋体" w:cs="Times New Roman"/>
          <w:color w:val="auto"/>
          <w:kern w:val="2"/>
          <w:sz w:val="24"/>
          <w:szCs w:val="24"/>
          <w:u w:color="auto"/>
          <w:lang w:val="en-US" w:eastAsia="en-US" w:bidi="ar-SA"/>
        </w:rPr>
        <w:t>1）进行拉拔试验检测时，不宜采取破坏试验，宜按验收试验要求进行检测；检验方法应符合国家、地区现行标准的有关规定及设计要求；</w:t>
      </w:r>
    </w:p>
    <w:p w14:paraId="6A93DFC3">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720" w:firstLineChars="300"/>
        <w:textAlignment w:val="auto"/>
        <w:rPr>
          <w:rFonts w:hint="default" w:ascii="Times New Roman" w:hAnsi="Times New Roman" w:eastAsia="宋体" w:cs="Times New Roman"/>
          <w:color w:val="auto"/>
          <w:kern w:val="2"/>
          <w:sz w:val="24"/>
          <w:szCs w:val="24"/>
          <w:u w:color="auto"/>
          <w:lang w:val="en-US" w:eastAsia="en-US" w:bidi="ar-SA"/>
        </w:rPr>
      </w:pPr>
      <w:r>
        <w:rPr>
          <w:rFonts w:hint="default" w:ascii="Times New Roman" w:hAnsi="Times New Roman" w:eastAsia="宋体" w:cs="Times New Roman"/>
          <w:color w:val="auto"/>
          <w:kern w:val="2"/>
          <w:sz w:val="24"/>
          <w:szCs w:val="24"/>
          <w:u w:color="auto"/>
          <w:lang w:val="en-US" w:eastAsia="en-US" w:bidi="ar-SA"/>
        </w:rPr>
        <w:t>2）当第三方检测机构出具的质量检测资料可作为鉴定依据时，检测数量可适当减少，但应满足鉴定分析与评价的需要；</w:t>
      </w:r>
    </w:p>
    <w:p w14:paraId="5668E5AA">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720" w:firstLineChars="300"/>
        <w:textAlignment w:val="auto"/>
        <w:rPr>
          <w:rFonts w:hint="default" w:ascii="Times New Roman" w:hAnsi="Times New Roman" w:eastAsia="宋体" w:cs="Times New Roman"/>
          <w:color w:val="auto"/>
          <w:kern w:val="2"/>
          <w:sz w:val="24"/>
          <w:szCs w:val="24"/>
          <w:u w:color="auto"/>
          <w:lang w:val="en-US" w:eastAsia="en-US" w:bidi="ar-SA"/>
        </w:rPr>
      </w:pPr>
      <w:r>
        <w:rPr>
          <w:rFonts w:hint="default" w:ascii="Times New Roman" w:hAnsi="Times New Roman" w:eastAsia="宋体" w:cs="Times New Roman"/>
          <w:color w:val="auto"/>
          <w:kern w:val="2"/>
          <w:sz w:val="24"/>
          <w:szCs w:val="24"/>
          <w:u w:color="auto"/>
          <w:lang w:val="en-US" w:eastAsia="en-US" w:bidi="ar-SA"/>
        </w:rPr>
        <w:t>3）检测位置应遵循均匀分布、随机选择的原则，并宜重点选择对施工质量有怀疑、地层条件及周边环境条件复杂、支护结构受力最不利的部位。</w:t>
      </w:r>
    </w:p>
    <w:p w14:paraId="6F11D17B">
      <w:pPr>
        <w:pStyle w:val="6"/>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hint="default" w:ascii="Times New Roman" w:hAnsi="Times New Roman" w:eastAsia="Times New Roman" w:cs="Times New Roman"/>
          <w:color w:val="auto"/>
          <w:spacing w:val="-6"/>
          <w:sz w:val="24"/>
          <w:szCs w:val="24"/>
          <w:u w:val="none" w:color="auto"/>
        </w:rPr>
      </w:pPr>
      <w:r>
        <w:rPr>
          <w:rFonts w:hint="default" w:ascii="Times New Roman" w:hAnsi="Times New Roman" w:eastAsia="Times New Roman" w:cs="Times New Roman"/>
          <w:color w:val="auto"/>
          <w:spacing w:val="-6"/>
          <w:sz w:val="24"/>
          <w:szCs w:val="24"/>
          <w:u w:val="none" w:color="auto"/>
          <w:lang w:val="en-US" w:eastAsia="zh-CN"/>
        </w:rPr>
        <w:t>3</w:t>
      </w:r>
      <w:r>
        <w:rPr>
          <w:rFonts w:hint="default" w:ascii="Times New Roman" w:hAnsi="Times New Roman" w:eastAsia="Times New Roman" w:cs="Times New Roman"/>
          <w:color w:val="auto"/>
          <w:spacing w:val="-6"/>
          <w:sz w:val="24"/>
          <w:szCs w:val="24"/>
          <w:u w:val="none" w:color="auto"/>
        </w:rPr>
        <w:t xml:space="preserve">  除对锚杆（索）的检测还应对锚头的材料、规格、松弛、脱落、锚具失效情况，腰梁的材料、规格、连接情况、变形、锈蚀、与支护桩或混凝土面层的密贴情况进行检查。</w:t>
      </w:r>
    </w:p>
    <w:p w14:paraId="64820363">
      <w:pPr>
        <w:spacing w:line="360" w:lineRule="auto"/>
        <w:rPr>
          <w:rFonts w:hint="default" w:ascii="Times New Roman" w:hAnsi="Times New Roman" w:eastAsia="楷体" w:cs="Times New Roman"/>
          <w:color w:val="auto"/>
          <w:sz w:val="24"/>
          <w:szCs w:val="28"/>
          <w:highlight w:val="none"/>
          <w:u w:val="single"/>
          <w:lang w:val="zh-CN" w:eastAsia="zh-CN"/>
        </w:rPr>
      </w:pPr>
      <w:r>
        <w:rPr>
          <w:rFonts w:hint="default" w:ascii="Times New Roman" w:hAnsi="Times New Roman" w:eastAsia="楷体" w:cs="Times New Roman"/>
          <w:color w:val="auto"/>
          <w:sz w:val="24"/>
          <w:szCs w:val="28"/>
          <w:highlight w:val="none"/>
          <w:u w:val="single"/>
          <w:lang w:val="zh-CN" w:eastAsia="zh-CN"/>
        </w:rPr>
        <w:t>【条文说明】锚杆（索）作为隐蔽工程，通常不能仅从外观检测及施工过程资料查询对其施工质量进行判断，重点应放在抗拔承载力试验上。</w:t>
      </w:r>
    </w:p>
    <w:p w14:paraId="51ACA6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楷体" w:cs="Times New Roman"/>
          <w:color w:val="auto"/>
          <w:sz w:val="24"/>
          <w:szCs w:val="28"/>
          <w:highlight w:val="none"/>
          <w:u w:val="single"/>
          <w:lang w:val="zh-CN" w:eastAsia="zh-CN"/>
        </w:rPr>
      </w:pPr>
      <w:r>
        <w:rPr>
          <w:rFonts w:hint="default" w:ascii="Times New Roman" w:hAnsi="Times New Roman" w:eastAsia="楷体" w:cs="Times New Roman"/>
          <w:color w:val="auto"/>
          <w:sz w:val="24"/>
          <w:szCs w:val="28"/>
          <w:highlight w:val="none"/>
          <w:u w:val="single"/>
          <w:lang w:val="zh-CN" w:eastAsia="zh-CN"/>
        </w:rPr>
        <w:t>锚杆（索）拔承载力是基坑鉴定重要依据。当第三方锚杆抗拔承载力检测报告可作为鉴定依据时，可以引用检测报告结果。实践中可根据基坑现场条件和设计要求，抽样应能代表不同支护段的土层和不同抗拔力的要求，对施工质量有疑义的锚杆应进行抽检。锚杆抗拔承载力检测值应按设计要求确定，试验方法应符合国家现行有关标准要求，如现行行业标准《建筑基坑支护技术规程》JGJ120的有关规定。</w:t>
      </w:r>
    </w:p>
    <w:p w14:paraId="2A849B0D">
      <w:pPr>
        <w:pStyle w:val="6"/>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Times New Roman" w:cs="Times New Roman"/>
          <w:b/>
          <w:bCs/>
          <w:color w:val="auto"/>
          <w:spacing w:val="1"/>
          <w:sz w:val="24"/>
          <w:szCs w:val="24"/>
          <w:u w:val="none" w:color="auto"/>
          <w:lang w:val="en-US" w:eastAsia="zh-CN"/>
        </w:rPr>
      </w:pPr>
      <w:r>
        <w:rPr>
          <w:rFonts w:hint="default" w:ascii="Times New Roman" w:hAnsi="Times New Roman" w:eastAsia="Times New Roman" w:cs="Times New Roman"/>
          <w:b/>
          <w:bCs/>
          <w:color w:val="auto"/>
          <w:spacing w:val="1"/>
          <w:sz w:val="24"/>
          <w:szCs w:val="24"/>
          <w:u w:val="none" w:color="auto"/>
          <w:lang w:val="en-US" w:eastAsia="zh-CN"/>
        </w:rPr>
        <w:t xml:space="preserve">4.4.6 </w:t>
      </w:r>
      <w:r>
        <w:rPr>
          <w:rFonts w:hint="default" w:ascii="Times New Roman" w:hAnsi="Times New Roman" w:eastAsia="Times New Roman" w:cs="Times New Roman"/>
          <w:b w:val="0"/>
          <w:bCs w:val="0"/>
          <w:color w:val="auto"/>
          <w:spacing w:val="1"/>
          <w:sz w:val="24"/>
          <w:szCs w:val="24"/>
          <w:u w:val="none" w:color="auto"/>
          <w:lang w:val="en-US" w:eastAsia="zh-CN"/>
        </w:rPr>
        <w:t>采用微型桩支护时，应对其桩位、垂直度、截面尺寸、桩长、桩距进行检验。</w:t>
      </w:r>
    </w:p>
    <w:p w14:paraId="17D3602A">
      <w:pPr>
        <w:pStyle w:val="6"/>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Times New Roman" w:cs="Times New Roman"/>
          <w:b/>
          <w:bCs/>
          <w:color w:val="auto"/>
          <w:spacing w:val="1"/>
          <w:sz w:val="24"/>
          <w:szCs w:val="24"/>
          <w:u w:val="none" w:color="auto"/>
          <w:lang w:val="en-US" w:eastAsia="zh-CN"/>
        </w:rPr>
      </w:pPr>
      <w:r>
        <w:rPr>
          <w:rFonts w:hint="default" w:ascii="Times New Roman" w:hAnsi="Times New Roman" w:eastAsia="Times New Roman" w:cs="Times New Roman"/>
          <w:b/>
          <w:bCs/>
          <w:color w:val="auto"/>
          <w:spacing w:val="1"/>
          <w:sz w:val="24"/>
          <w:szCs w:val="24"/>
          <w:u w:val="none" w:color="auto"/>
          <w:lang w:val="en-US" w:eastAsia="zh-CN"/>
        </w:rPr>
        <w:t xml:space="preserve">4.4.7 </w:t>
      </w:r>
      <w:r>
        <w:rPr>
          <w:rFonts w:hint="default" w:ascii="Times New Roman" w:hAnsi="Times New Roman" w:eastAsia="Times New Roman" w:cs="Times New Roman"/>
          <w:b w:val="0"/>
          <w:bCs w:val="0"/>
          <w:color w:val="auto"/>
          <w:spacing w:val="1"/>
          <w:sz w:val="24"/>
          <w:szCs w:val="24"/>
          <w:u w:val="none" w:color="auto"/>
          <w:lang w:val="en-US" w:eastAsia="zh-CN"/>
        </w:rPr>
        <w:t>采用（复合）土钉墙支护时，检验检测应符合下列规定：</w:t>
      </w:r>
    </w:p>
    <w:p w14:paraId="7A68F93A">
      <w:pPr>
        <w:pStyle w:val="6"/>
        <w:keepNext w:val="0"/>
        <w:keepLines w:val="0"/>
        <w:pageBreakBefore w:val="0"/>
        <w:widowControl w:val="0"/>
        <w:kinsoku/>
        <w:wordWrap/>
        <w:overflowPunct/>
        <w:topLinePunct w:val="0"/>
        <w:autoSpaceDE/>
        <w:autoSpaceDN/>
        <w:bidi w:val="0"/>
        <w:adjustRightInd/>
        <w:snapToGrid/>
        <w:spacing w:line="360" w:lineRule="auto"/>
        <w:ind w:left="0" w:right="0" w:firstLine="484" w:firstLineChars="200"/>
        <w:textAlignment w:val="auto"/>
        <w:rPr>
          <w:rFonts w:hint="default" w:ascii="Times New Roman" w:hAnsi="Times New Roman" w:cs="Times New Roman"/>
          <w:color w:val="auto"/>
          <w:sz w:val="24"/>
          <w:szCs w:val="24"/>
          <w:u w:val="none" w:color="auto"/>
        </w:rPr>
      </w:pPr>
      <w:r>
        <w:rPr>
          <w:rFonts w:hint="default" w:ascii="Times New Roman" w:hAnsi="Times New Roman" w:eastAsia="Times New Roman" w:cs="Times New Roman"/>
          <w:color w:val="auto"/>
          <w:spacing w:val="1"/>
          <w:sz w:val="24"/>
          <w:szCs w:val="24"/>
          <w:u w:val="none" w:color="auto"/>
        </w:rPr>
        <w:t xml:space="preserve">1  </w:t>
      </w:r>
      <w:r>
        <w:rPr>
          <w:rFonts w:hint="default" w:ascii="Times New Roman" w:hAnsi="Times New Roman" w:cs="Times New Roman"/>
          <w:color w:val="auto"/>
          <w:spacing w:val="1"/>
          <w:sz w:val="24"/>
          <w:szCs w:val="24"/>
          <w:u w:val="none" w:color="auto"/>
        </w:rPr>
        <w:t>应对土钉（锚杆）的位置、排数、间距，杆体的直径、原材力学性能，土钉</w:t>
      </w:r>
      <w:r>
        <w:rPr>
          <w:rFonts w:hint="default" w:ascii="Times New Roman" w:hAnsi="Times New Roman" w:cs="Times New Roman"/>
          <w:color w:val="auto"/>
          <w:spacing w:val="-1"/>
          <w:sz w:val="24"/>
          <w:szCs w:val="24"/>
          <w:u w:val="none" w:color="auto"/>
        </w:rPr>
        <w:t>与喷射混凝土面层连接节点、土钉墙的放坡系数、基坑深度</w:t>
      </w:r>
      <w:r>
        <w:rPr>
          <w:rFonts w:hint="default" w:ascii="Times New Roman" w:hAnsi="Times New Roman" w:cs="Times New Roman"/>
          <w:color w:val="auto"/>
          <w:spacing w:val="-2"/>
          <w:sz w:val="24"/>
          <w:szCs w:val="24"/>
          <w:u w:val="none" w:color="auto"/>
        </w:rPr>
        <w:t>进行检验，对打入式钢</w:t>
      </w:r>
      <w:r>
        <w:rPr>
          <w:rFonts w:hint="default" w:ascii="Times New Roman" w:hAnsi="Times New Roman" w:cs="Times New Roman"/>
          <w:color w:val="auto"/>
          <w:spacing w:val="-5"/>
          <w:sz w:val="24"/>
          <w:szCs w:val="24"/>
          <w:u w:val="none" w:color="auto"/>
        </w:rPr>
        <w:t>管土钉尚应对钢管的外径、壁厚等进行检验；</w:t>
      </w:r>
    </w:p>
    <w:p w14:paraId="79C8A78D">
      <w:pPr>
        <w:pStyle w:val="6"/>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cs="Times New Roman"/>
          <w:color w:val="auto"/>
          <w:sz w:val="24"/>
          <w:szCs w:val="24"/>
          <w:u w:val="none" w:color="auto"/>
        </w:rPr>
      </w:pPr>
      <w:r>
        <w:rPr>
          <w:rFonts w:hint="default" w:ascii="Times New Roman" w:hAnsi="Times New Roman" w:eastAsia="Times New Roman" w:cs="Times New Roman"/>
          <w:color w:val="auto"/>
          <w:sz w:val="24"/>
          <w:szCs w:val="24"/>
          <w:u w:val="none" w:color="auto"/>
        </w:rPr>
        <w:t xml:space="preserve">2  </w:t>
      </w:r>
      <w:r>
        <w:rPr>
          <w:rFonts w:hint="default" w:ascii="Times New Roman" w:hAnsi="Times New Roman" w:cs="Times New Roman"/>
          <w:color w:val="auto"/>
          <w:sz w:val="24"/>
          <w:szCs w:val="24"/>
          <w:u w:val="none" w:color="auto"/>
        </w:rPr>
        <w:t>土钉抗拔承载力检测数量</w:t>
      </w:r>
      <w:r>
        <w:rPr>
          <w:rFonts w:hint="default" w:ascii="Times New Roman" w:hAnsi="Times New Roman" w:cs="Times New Roman"/>
          <w:color w:val="auto"/>
          <w:sz w:val="24"/>
          <w:szCs w:val="24"/>
          <w:u w:val="none" w:color="auto"/>
          <w:lang w:val="en-US" w:eastAsia="zh-CN"/>
        </w:rPr>
        <w:t>在</w:t>
      </w:r>
      <w:r>
        <w:rPr>
          <w:rFonts w:hint="default" w:ascii="Times New Roman" w:hAnsi="Times New Roman" w:cs="Times New Roman"/>
          <w:color w:val="auto"/>
          <w:sz w:val="24"/>
          <w:szCs w:val="24"/>
          <w:u w:val="none" w:color="auto"/>
        </w:rPr>
        <w:t>同一土层中</w:t>
      </w:r>
      <w:r>
        <w:rPr>
          <w:rFonts w:hint="default" w:ascii="Times New Roman" w:hAnsi="Times New Roman" w:cs="Times New Roman"/>
          <w:color w:val="auto"/>
          <w:spacing w:val="2"/>
          <w:sz w:val="24"/>
          <w:szCs w:val="24"/>
          <w:u w:val="none" w:color="auto"/>
        </w:rPr>
        <w:t>的土钉检测数量不应少于</w:t>
      </w:r>
      <w:r>
        <w:rPr>
          <w:rFonts w:hint="default" w:ascii="Times New Roman" w:hAnsi="Times New Roman" w:cs="Times New Roman"/>
          <w:color w:val="auto"/>
          <w:spacing w:val="2"/>
          <w:sz w:val="24"/>
          <w:szCs w:val="24"/>
          <w:u w:val="none" w:color="auto"/>
          <w:lang w:val="en-US" w:eastAsia="zh-CN"/>
        </w:rPr>
        <w:t>3</w:t>
      </w:r>
      <w:r>
        <w:rPr>
          <w:rFonts w:hint="default" w:ascii="Times New Roman" w:hAnsi="Times New Roman" w:cs="Times New Roman"/>
          <w:color w:val="auto"/>
          <w:spacing w:val="2"/>
          <w:sz w:val="24"/>
          <w:szCs w:val="24"/>
          <w:u w:val="none" w:color="auto"/>
        </w:rPr>
        <w:t>根；检测土钉应采用随机抽样的方法选取；当检测的</w:t>
      </w:r>
      <w:r>
        <w:rPr>
          <w:rFonts w:hint="default" w:ascii="Times New Roman" w:hAnsi="Times New Roman" w:cs="Times New Roman"/>
          <w:color w:val="auto"/>
          <w:spacing w:val="1"/>
          <w:sz w:val="24"/>
          <w:szCs w:val="24"/>
          <w:u w:val="none" w:color="auto"/>
        </w:rPr>
        <w:t>土钉</w:t>
      </w:r>
      <w:r>
        <w:rPr>
          <w:rFonts w:hint="default" w:ascii="Times New Roman" w:hAnsi="Times New Roman" w:cs="Times New Roman"/>
          <w:color w:val="auto"/>
          <w:spacing w:val="-6"/>
          <w:sz w:val="24"/>
          <w:szCs w:val="24"/>
          <w:u w:val="none" w:color="auto"/>
        </w:rPr>
        <w:t>不合格时，应扩大检测数量；锚杆检测比例按本标准第</w:t>
      </w:r>
      <w:r>
        <w:rPr>
          <w:rFonts w:hint="default" w:ascii="Times New Roman" w:hAnsi="Times New Roman" w:eastAsia="Times New Roman" w:cs="Times New Roman"/>
          <w:color w:val="auto"/>
          <w:spacing w:val="-6"/>
          <w:sz w:val="24"/>
          <w:szCs w:val="24"/>
          <w:u w:val="none" w:color="auto"/>
        </w:rPr>
        <w:t>4.4</w:t>
      </w:r>
      <w:r>
        <w:rPr>
          <w:rFonts w:hint="default" w:ascii="Times New Roman" w:hAnsi="Times New Roman" w:eastAsia="Times New Roman" w:cs="Times New Roman"/>
          <w:color w:val="auto"/>
          <w:spacing w:val="-7"/>
          <w:sz w:val="24"/>
          <w:szCs w:val="24"/>
          <w:u w:val="none" w:color="auto"/>
        </w:rPr>
        <w:t>.5</w:t>
      </w:r>
      <w:r>
        <w:rPr>
          <w:rFonts w:hint="default" w:ascii="Times New Roman" w:hAnsi="Times New Roman" w:cs="Times New Roman"/>
          <w:color w:val="auto"/>
          <w:spacing w:val="-7"/>
          <w:sz w:val="24"/>
          <w:szCs w:val="24"/>
          <w:u w:val="none" w:color="auto"/>
        </w:rPr>
        <w:t>条要求；</w:t>
      </w:r>
    </w:p>
    <w:p w14:paraId="16545752">
      <w:pPr>
        <w:pStyle w:val="6"/>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Times New Roman" w:cs="Times New Roman"/>
          <w:color w:val="auto"/>
          <w:sz w:val="24"/>
          <w:szCs w:val="24"/>
          <w:u w:val="none" w:color="auto"/>
        </w:rPr>
      </w:pPr>
      <w:r>
        <w:rPr>
          <w:rFonts w:hint="default" w:ascii="Times New Roman" w:hAnsi="Times New Roman" w:eastAsia="Times New Roman" w:cs="Times New Roman"/>
          <w:color w:val="auto"/>
          <w:sz w:val="24"/>
          <w:szCs w:val="24"/>
          <w:u w:val="none" w:color="auto"/>
        </w:rPr>
        <w:t>3  喷射混凝土面层应进行厚度检测，每</w:t>
      </w:r>
      <w:r>
        <w:rPr>
          <w:rFonts w:hint="default" w:ascii="Times New Roman" w:hAnsi="Times New Roman" w:eastAsia="Times New Roman" w:cs="Times New Roman"/>
          <w:color w:val="auto"/>
          <w:sz w:val="24"/>
          <w:szCs w:val="24"/>
          <w:u w:val="none" w:color="auto"/>
          <w:lang w:val="en-US" w:eastAsia="zh-CN"/>
        </w:rPr>
        <w:t>5</w:t>
      </w:r>
      <w:r>
        <w:rPr>
          <w:rFonts w:hint="default" w:ascii="Times New Roman" w:hAnsi="Times New Roman" w:eastAsia="Times New Roman" w:cs="Times New Roman"/>
          <w:color w:val="auto"/>
          <w:sz w:val="24"/>
          <w:szCs w:val="24"/>
          <w:u w:val="none" w:color="auto"/>
        </w:rPr>
        <w:t>00m</w:t>
      </w:r>
      <w:r>
        <w:rPr>
          <w:rFonts w:hint="default" w:ascii="Times New Roman" w:hAnsi="Times New Roman" w:eastAsia="Times New Roman" w:cs="Times New Roman"/>
          <w:color w:val="auto"/>
          <w:sz w:val="24"/>
          <w:szCs w:val="24"/>
          <w:u w:val="none" w:color="auto"/>
          <w:vertAlign w:val="superscript"/>
        </w:rPr>
        <w:t>2</w:t>
      </w:r>
      <w:r>
        <w:rPr>
          <w:rFonts w:hint="default" w:ascii="Times New Roman" w:hAnsi="Times New Roman" w:eastAsia="Times New Roman" w:cs="Times New Roman"/>
          <w:color w:val="auto"/>
          <w:sz w:val="24"/>
          <w:szCs w:val="24"/>
          <w:u w:val="none" w:color="auto"/>
        </w:rPr>
        <w:t>喷射混凝土面积</w:t>
      </w:r>
      <w:r>
        <w:rPr>
          <w:rFonts w:hint="default" w:ascii="Times New Roman" w:hAnsi="Times New Roman" w:eastAsia="Times New Roman" w:cs="Times New Roman"/>
          <w:color w:val="auto"/>
          <w:sz w:val="24"/>
          <w:szCs w:val="24"/>
          <w:u w:val="none" w:color="auto"/>
          <w:lang w:eastAsia="zh-CN"/>
        </w:rPr>
        <w:t>的</w:t>
      </w:r>
      <w:r>
        <w:rPr>
          <w:rFonts w:hint="default" w:ascii="Times New Roman" w:hAnsi="Times New Roman" w:eastAsia="Times New Roman" w:cs="Times New Roman"/>
          <w:color w:val="auto"/>
          <w:sz w:val="24"/>
          <w:szCs w:val="24"/>
          <w:u w:val="none" w:color="auto"/>
          <w:lang w:val="en-US" w:eastAsia="zh-CN"/>
        </w:rPr>
        <w:t>检测数量不少于一组，每组的检测点不应少于3</w:t>
      </w:r>
      <w:r>
        <w:rPr>
          <w:rFonts w:hint="default" w:ascii="Times New Roman" w:hAnsi="Times New Roman" w:eastAsia="Times New Roman" w:cs="Times New Roman"/>
          <w:color w:val="auto"/>
          <w:sz w:val="24"/>
          <w:szCs w:val="24"/>
          <w:u w:val="none" w:color="auto"/>
        </w:rPr>
        <w:t>个；可通过凿开面层进行测量，强度可通过检查施工现场留置试块的强度检测报告进行检验；钢筋网通过剥离表面混凝土进行现场检测；应对面层的局部破损、空鼓、不连续、渗漏水等情况进行现场检查。</w:t>
      </w:r>
    </w:p>
    <w:p w14:paraId="6B852FEB">
      <w:pPr>
        <w:pStyle w:val="6"/>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Times New Roman" w:cs="Times New Roman"/>
          <w:color w:val="auto"/>
          <w:sz w:val="24"/>
          <w:szCs w:val="24"/>
          <w:u w:val="none" w:color="auto"/>
        </w:rPr>
      </w:pPr>
      <w:r>
        <w:rPr>
          <w:rFonts w:hint="default" w:ascii="Times New Roman" w:hAnsi="Times New Roman" w:eastAsia="Times New Roman" w:cs="Times New Roman"/>
          <w:color w:val="auto"/>
          <w:sz w:val="24"/>
          <w:szCs w:val="24"/>
          <w:u w:val="none" w:color="auto"/>
        </w:rPr>
        <w:t>4  复合土钉墙中的微型桩</w:t>
      </w:r>
      <w:r>
        <w:rPr>
          <w:rFonts w:hint="default" w:ascii="Times New Roman" w:hAnsi="Times New Roman" w:eastAsia="Times New Roman" w:cs="Times New Roman"/>
          <w:color w:val="auto"/>
          <w:sz w:val="24"/>
          <w:szCs w:val="24"/>
          <w:u w:val="none" w:color="auto"/>
          <w:lang w:eastAsia="zh-CN"/>
        </w:rPr>
        <w:t>（</w:t>
      </w:r>
      <w:r>
        <w:rPr>
          <w:rFonts w:hint="default" w:ascii="Times New Roman" w:hAnsi="Times New Roman" w:eastAsia="Times New Roman" w:cs="Times New Roman"/>
          <w:color w:val="auto"/>
          <w:sz w:val="24"/>
          <w:szCs w:val="24"/>
          <w:u w:val="none" w:color="auto"/>
          <w:lang w:val="en-US" w:eastAsia="zh-CN"/>
        </w:rPr>
        <w:t>如有</w:t>
      </w:r>
      <w:r>
        <w:rPr>
          <w:rFonts w:hint="default" w:ascii="Times New Roman" w:hAnsi="Times New Roman" w:eastAsia="Times New Roman" w:cs="Times New Roman"/>
          <w:color w:val="auto"/>
          <w:sz w:val="24"/>
          <w:szCs w:val="24"/>
          <w:u w:val="none" w:color="auto"/>
          <w:lang w:eastAsia="zh-CN"/>
        </w:rPr>
        <w:t>）</w:t>
      </w:r>
      <w:r>
        <w:rPr>
          <w:rFonts w:hint="default" w:ascii="Times New Roman" w:hAnsi="Times New Roman" w:eastAsia="Times New Roman" w:cs="Times New Roman"/>
          <w:color w:val="auto"/>
          <w:sz w:val="24"/>
          <w:szCs w:val="24"/>
          <w:u w:val="none" w:color="auto"/>
        </w:rPr>
        <w:t>应</w:t>
      </w:r>
      <w:r>
        <w:rPr>
          <w:rFonts w:hint="default" w:ascii="Times New Roman" w:hAnsi="Times New Roman" w:eastAsia="Times New Roman" w:cs="Times New Roman"/>
          <w:color w:val="auto"/>
          <w:sz w:val="24"/>
          <w:szCs w:val="24"/>
          <w:u w:val="none" w:color="auto"/>
          <w:lang w:val="en-US" w:eastAsia="zh-CN"/>
        </w:rPr>
        <w:t>满足本标准4.4.6条要求</w:t>
      </w:r>
      <w:r>
        <w:rPr>
          <w:rFonts w:hint="default" w:ascii="Times New Roman" w:hAnsi="Times New Roman" w:eastAsia="Times New Roman" w:cs="Times New Roman"/>
          <w:color w:val="auto"/>
          <w:sz w:val="24"/>
          <w:szCs w:val="24"/>
          <w:u w:val="none" w:color="auto"/>
        </w:rPr>
        <w:t>。</w:t>
      </w:r>
    </w:p>
    <w:p w14:paraId="2E5F5C6E">
      <w:pPr>
        <w:spacing w:line="360" w:lineRule="auto"/>
        <w:rPr>
          <w:rFonts w:hint="default" w:ascii="Times New Roman" w:hAnsi="Times New Roman" w:eastAsia="楷体" w:cs="Times New Roman"/>
          <w:color w:val="auto"/>
          <w:sz w:val="24"/>
          <w:szCs w:val="28"/>
          <w:highlight w:val="none"/>
          <w:u w:val="single"/>
          <w:lang w:val="zh-CN" w:eastAsia="zh-CN"/>
        </w:rPr>
      </w:pPr>
      <w:r>
        <w:rPr>
          <w:rFonts w:hint="default" w:ascii="Times New Roman" w:hAnsi="Times New Roman" w:eastAsia="楷体" w:cs="Times New Roman"/>
          <w:color w:val="auto"/>
          <w:sz w:val="24"/>
          <w:szCs w:val="28"/>
          <w:highlight w:val="none"/>
          <w:u w:val="single"/>
          <w:lang w:val="zh-CN" w:eastAsia="zh-CN"/>
        </w:rPr>
        <w:t>【条文说明】复合土钉墙隐蔽部分可通过核查施工资料进行检验；对于土钉墙的放坡系数，土钉的位置、排数、间距、杆体直径，可通过现场量测结果进行检验。土钉力抗拔承载力则通过拉拔试验确定。</w:t>
      </w:r>
    </w:p>
    <w:p w14:paraId="1EBEB0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楷体" w:cs="Times New Roman"/>
          <w:color w:val="auto"/>
          <w:sz w:val="24"/>
          <w:szCs w:val="28"/>
          <w:highlight w:val="none"/>
          <w:u w:val="single"/>
          <w:lang w:val="zh-CN" w:eastAsia="zh-CN"/>
        </w:rPr>
      </w:pPr>
      <w:r>
        <w:rPr>
          <w:rFonts w:hint="default" w:ascii="Times New Roman" w:hAnsi="Times New Roman" w:eastAsia="楷体" w:cs="Times New Roman"/>
          <w:color w:val="auto"/>
          <w:sz w:val="24"/>
          <w:szCs w:val="28"/>
          <w:highlight w:val="none"/>
          <w:u w:val="single"/>
          <w:lang w:val="zh-CN" w:eastAsia="zh-CN"/>
        </w:rPr>
        <w:t>土钉抗拔承载力是基坑鉴定重要依据。当第三方土钉抗拔承载力检测报告可作为鉴定依据时，可以引用检测报告结果。土钉检测位置遵循随机抽样原则，实践中可根据基坑现场条件和设计要求，抽样应能代表不同地段的土层和不同抗拔力的要求，对施工质量有疑义的土钉应进行抽检。土钉抗拔承载力检测值应按设计要求确定，试验方法应符合国家现行有关标准要求，如现行行业标准《建筑基坑支护技术规程》JGJ120的有关规定。</w:t>
      </w:r>
    </w:p>
    <w:p w14:paraId="25F718B0">
      <w:pPr>
        <w:pStyle w:val="6"/>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default" w:ascii="Times New Roman" w:hAnsi="Times New Roman" w:eastAsia="Times New Roman" w:cs="Times New Roman"/>
          <w:color w:val="auto"/>
          <w:spacing w:val="-3"/>
          <w:sz w:val="24"/>
          <w:szCs w:val="24"/>
        </w:rPr>
      </w:pPr>
      <w:r>
        <w:rPr>
          <w:rFonts w:hint="default" w:ascii="Times New Roman" w:hAnsi="Times New Roman" w:eastAsia="Times New Roman" w:cs="Times New Roman"/>
          <w:color w:val="auto"/>
          <w:spacing w:val="-3"/>
          <w:sz w:val="24"/>
          <w:szCs w:val="24"/>
        </w:rPr>
        <w:t>Ⅲ  地表水与地下水控制</w:t>
      </w:r>
    </w:p>
    <w:p w14:paraId="06D8DD5B">
      <w:pPr>
        <w:pStyle w:val="6"/>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Times New Roman" w:cs="Times New Roman"/>
          <w:b/>
          <w:bCs/>
          <w:color w:val="auto"/>
          <w:spacing w:val="1"/>
          <w:sz w:val="24"/>
          <w:szCs w:val="24"/>
          <w:u w:val="none" w:color="auto"/>
          <w:lang w:val="en-US" w:eastAsia="zh-CN"/>
        </w:rPr>
      </w:pPr>
      <w:r>
        <w:rPr>
          <w:rFonts w:hint="default" w:ascii="Times New Roman" w:hAnsi="Times New Roman" w:eastAsia="Times New Roman" w:cs="Times New Roman"/>
          <w:b/>
          <w:bCs/>
          <w:color w:val="auto"/>
          <w:spacing w:val="1"/>
          <w:sz w:val="24"/>
          <w:szCs w:val="24"/>
          <w:u w:val="none" w:color="auto"/>
          <w:lang w:val="en-US" w:eastAsia="zh-CN"/>
        </w:rPr>
        <w:t xml:space="preserve">4.4.8 </w:t>
      </w:r>
      <w:r>
        <w:rPr>
          <w:rFonts w:hint="default" w:ascii="Times New Roman" w:hAnsi="Times New Roman" w:eastAsia="Times New Roman" w:cs="Times New Roman"/>
          <w:b w:val="0"/>
          <w:bCs w:val="0"/>
          <w:color w:val="auto"/>
          <w:spacing w:val="1"/>
          <w:sz w:val="24"/>
          <w:szCs w:val="24"/>
          <w:u w:val="none" w:color="auto"/>
          <w:lang w:val="en-US" w:eastAsia="zh-CN"/>
        </w:rPr>
        <w:t>应对基坑深度影响范围内地表硬化封闭情况、基坑顶部截水沟、底部排水沟、集水井、沉砂池等进行检查。对于特殊性岩土区域的基坑应着重检查基坑顶部封闭情况。</w:t>
      </w:r>
    </w:p>
    <w:p w14:paraId="2F26D6A0">
      <w:pPr>
        <w:pStyle w:val="6"/>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Times New Roman" w:cs="Times New Roman"/>
          <w:b/>
          <w:bCs/>
          <w:color w:val="auto"/>
          <w:spacing w:val="1"/>
          <w:sz w:val="24"/>
          <w:szCs w:val="24"/>
          <w:u w:val="none" w:color="auto"/>
          <w:lang w:val="en-US" w:eastAsia="zh-CN"/>
        </w:rPr>
      </w:pPr>
      <w:r>
        <w:rPr>
          <w:rFonts w:hint="default" w:ascii="Times New Roman" w:hAnsi="Times New Roman" w:eastAsia="Times New Roman" w:cs="Times New Roman"/>
          <w:b/>
          <w:bCs/>
          <w:color w:val="auto"/>
          <w:spacing w:val="1"/>
          <w:sz w:val="24"/>
          <w:szCs w:val="24"/>
          <w:u w:val="none" w:color="auto"/>
          <w:lang w:val="en-US" w:eastAsia="zh-CN"/>
        </w:rPr>
        <w:t xml:space="preserve">4.4.9 </w:t>
      </w:r>
      <w:r>
        <w:rPr>
          <w:rFonts w:hint="default" w:ascii="Times New Roman" w:hAnsi="Times New Roman" w:eastAsia="Times New Roman" w:cs="Times New Roman"/>
          <w:b w:val="0"/>
          <w:bCs w:val="0"/>
          <w:color w:val="auto"/>
          <w:spacing w:val="1"/>
          <w:sz w:val="24"/>
          <w:szCs w:val="24"/>
          <w:u w:val="none" w:color="auto"/>
          <w:lang w:val="en-US" w:eastAsia="zh-CN"/>
        </w:rPr>
        <w:t>基坑采用集水明排时，应对排水沟、集水井、排水管道、沉淀池、坡面泄水孔的设置情况及排水效果进行检验。</w:t>
      </w:r>
    </w:p>
    <w:p w14:paraId="12591D1D">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楷体" w:cs="Times New Roman"/>
          <w:color w:val="auto"/>
          <w:kern w:val="2"/>
          <w:sz w:val="24"/>
          <w:szCs w:val="24"/>
          <w:highlight w:val="none"/>
          <w:u w:val="single"/>
          <w:lang w:val="en-US" w:eastAsia="zh-CN" w:bidi="ar"/>
        </w:rPr>
      </w:pPr>
      <w:r>
        <w:rPr>
          <w:rFonts w:hint="default" w:ascii="Times New Roman" w:hAnsi="Times New Roman" w:eastAsia="楷体" w:cs="Times New Roman"/>
          <w:color w:val="auto"/>
          <w:kern w:val="2"/>
          <w:sz w:val="24"/>
          <w:szCs w:val="24"/>
          <w:highlight w:val="none"/>
          <w:u w:val="single"/>
          <w:lang w:val="en-US" w:eastAsia="zh-CN" w:bidi="ar"/>
        </w:rPr>
        <w:t>【条文说明】本条规定集水明排的检验要求。排水沟、集水井、排水管道、沉淀池、坡面泄水孔的设置情况包括各自的位置以及排水沟的截面、坡度，集水井的尺寸、数量，排水管道的直径、坡度、清淤孔位置。</w:t>
      </w:r>
    </w:p>
    <w:p w14:paraId="652ACA3D">
      <w:pPr>
        <w:pStyle w:val="6"/>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Times New Roman" w:cs="Times New Roman"/>
          <w:b/>
          <w:bCs/>
          <w:color w:val="auto"/>
          <w:spacing w:val="1"/>
          <w:sz w:val="24"/>
          <w:szCs w:val="24"/>
          <w:u w:val="none" w:color="auto"/>
          <w:lang w:val="en-US" w:eastAsia="zh-CN"/>
        </w:rPr>
      </w:pPr>
      <w:r>
        <w:rPr>
          <w:rFonts w:hint="default" w:ascii="Times New Roman" w:hAnsi="Times New Roman" w:eastAsia="Times New Roman" w:cs="Times New Roman"/>
          <w:b/>
          <w:bCs/>
          <w:color w:val="auto"/>
          <w:spacing w:val="1"/>
          <w:sz w:val="24"/>
          <w:szCs w:val="24"/>
          <w:u w:val="none" w:color="auto"/>
          <w:lang w:val="en-US" w:eastAsia="zh-CN"/>
        </w:rPr>
        <w:t xml:space="preserve">4.4.10 </w:t>
      </w:r>
      <w:r>
        <w:rPr>
          <w:rFonts w:hint="default" w:ascii="Times New Roman" w:hAnsi="Times New Roman" w:eastAsia="Times New Roman" w:cs="Times New Roman"/>
          <w:b w:val="0"/>
          <w:bCs w:val="0"/>
          <w:color w:val="auto"/>
          <w:spacing w:val="1"/>
          <w:sz w:val="24"/>
          <w:szCs w:val="24"/>
          <w:u w:val="none" w:color="auto"/>
          <w:lang w:val="en-US" w:eastAsia="zh-CN"/>
        </w:rPr>
        <w:t>基坑采用管井降水时，应根据现行国家标准《建筑地基基础工程施工质量验收标准》GB50202的有关规定及设计要求进行检验。</w:t>
      </w:r>
    </w:p>
    <w:p w14:paraId="43757803">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楷体" w:cs="Times New Roman"/>
          <w:color w:val="auto"/>
          <w:kern w:val="2"/>
          <w:sz w:val="24"/>
          <w:szCs w:val="24"/>
          <w:highlight w:val="none"/>
          <w:u w:val="single"/>
          <w:lang w:val="en-US" w:eastAsia="zh-CN" w:bidi="ar"/>
        </w:rPr>
      </w:pPr>
      <w:r>
        <w:rPr>
          <w:rFonts w:hint="default" w:ascii="Times New Roman" w:hAnsi="Times New Roman" w:eastAsia="楷体" w:cs="Times New Roman"/>
          <w:color w:val="auto"/>
          <w:kern w:val="2"/>
          <w:sz w:val="24"/>
          <w:szCs w:val="24"/>
          <w:highlight w:val="none"/>
          <w:u w:val="single"/>
          <w:lang w:val="en-US" w:eastAsia="zh-CN" w:bidi="ar"/>
        </w:rPr>
        <w:t>【条文说明】对于已经隐蔽的参数可通过调查施工记录进行检测。重点关注降水井水位、含砂率等参数。</w:t>
      </w:r>
    </w:p>
    <w:p w14:paraId="339B053E">
      <w:pPr>
        <w:pStyle w:val="6"/>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Times New Roman" w:cs="Times New Roman"/>
          <w:b/>
          <w:bCs/>
          <w:color w:val="auto"/>
          <w:spacing w:val="1"/>
          <w:sz w:val="24"/>
          <w:szCs w:val="24"/>
          <w:u w:val="none" w:color="auto"/>
          <w:lang w:val="en-US" w:eastAsia="zh-CN"/>
        </w:rPr>
      </w:pPr>
      <w:r>
        <w:rPr>
          <w:rFonts w:hint="default" w:ascii="Times New Roman" w:hAnsi="Times New Roman" w:eastAsia="Times New Roman" w:cs="Times New Roman"/>
          <w:b/>
          <w:bCs/>
          <w:color w:val="auto"/>
          <w:spacing w:val="1"/>
          <w:sz w:val="24"/>
          <w:szCs w:val="24"/>
          <w:u w:val="none" w:color="auto"/>
          <w:lang w:val="en-US" w:eastAsia="zh-CN"/>
        </w:rPr>
        <w:t xml:space="preserve">4.4.11 </w:t>
      </w:r>
      <w:r>
        <w:rPr>
          <w:rFonts w:hint="default" w:ascii="Times New Roman" w:hAnsi="Times New Roman" w:eastAsia="Times New Roman" w:cs="Times New Roman"/>
          <w:b w:val="0"/>
          <w:bCs w:val="0"/>
          <w:color w:val="auto"/>
          <w:spacing w:val="1"/>
          <w:sz w:val="24"/>
          <w:szCs w:val="24"/>
          <w:u w:val="none" w:color="auto"/>
          <w:lang w:val="en-US" w:eastAsia="zh-CN"/>
        </w:rPr>
        <w:t>基坑设有截水帷幕时，可通过地表水及地下水控制过程中的坑内外水位变化情况或采用渗流试验等方法对帷幕截水效果进行检验。</w:t>
      </w:r>
    </w:p>
    <w:p w14:paraId="25D257CB">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楷体" w:cs="Times New Roman"/>
          <w:color w:val="auto"/>
          <w:kern w:val="2"/>
          <w:sz w:val="24"/>
          <w:szCs w:val="24"/>
          <w:highlight w:val="none"/>
          <w:u w:val="single"/>
          <w:lang w:val="en-US" w:eastAsia="zh-CN" w:bidi="ar"/>
        </w:rPr>
      </w:pPr>
      <w:r>
        <w:rPr>
          <w:rFonts w:hint="default" w:ascii="Times New Roman" w:hAnsi="Times New Roman" w:eastAsia="楷体" w:cs="Times New Roman"/>
          <w:color w:val="auto"/>
          <w:kern w:val="2"/>
          <w:sz w:val="24"/>
          <w:szCs w:val="24"/>
          <w:highlight w:val="none"/>
          <w:u w:val="single"/>
          <w:lang w:val="en-US" w:eastAsia="zh-CN" w:bidi="ar"/>
        </w:rPr>
        <w:t>【条文说明】四川地区截水帷幕多采用旋喷注浆工艺，截水帷幕为隐蔽工程，不宜采用破坏性试验进行检测，避免影响截水效果。</w:t>
      </w:r>
    </w:p>
    <w:p w14:paraId="2EEB8EFE">
      <w:pPr>
        <w:pStyle w:val="3"/>
        <w:suppressLineNumbers w:val="0"/>
        <w:spacing w:before="0" w:beforeLines="-2147483648" w:beforeAutospacing="0" w:after="0" w:afterLines="-2147483648" w:afterAutospacing="0" w:line="360" w:lineRule="auto"/>
        <w:ind w:left="0" w:firstLine="0"/>
        <w:rPr>
          <w:rFonts w:hint="default" w:ascii="Times New Roman" w:hAnsi="Times New Roman" w:cs="Times New Roman" w:eastAsiaTheme="minorEastAsia"/>
          <w:bCs w:val="0"/>
          <w:sz w:val="28"/>
          <w:szCs w:val="28"/>
          <w:lang w:val="en-US" w:eastAsia="zh-CN" w:bidi="ar-SA"/>
        </w:rPr>
      </w:pPr>
      <w:bookmarkStart w:id="27" w:name="_Toc20481"/>
      <w:bookmarkStart w:id="28" w:name="_Toc4319"/>
      <w:r>
        <w:rPr>
          <w:rFonts w:hint="default" w:ascii="Times New Roman" w:hAnsi="Times New Roman" w:cs="Times New Roman" w:eastAsiaTheme="minorEastAsia"/>
          <w:bCs w:val="0"/>
          <w:sz w:val="28"/>
          <w:szCs w:val="28"/>
          <w:lang w:val="en-US" w:eastAsia="zh-CN" w:bidi="ar-SA"/>
        </w:rPr>
        <w:t>4.5</w:t>
      </w:r>
      <w:bookmarkEnd w:id="27"/>
      <w:r>
        <w:rPr>
          <w:rFonts w:hint="default" w:ascii="Times New Roman" w:hAnsi="Times New Roman" w:cs="Times New Roman" w:eastAsiaTheme="minorEastAsia"/>
          <w:bCs w:val="0"/>
          <w:sz w:val="28"/>
          <w:szCs w:val="28"/>
          <w:lang w:val="en-US" w:eastAsia="zh-CN" w:bidi="ar-SA"/>
        </w:rPr>
        <w:t>鉴定分析</w:t>
      </w:r>
      <w:bookmarkEnd w:id="28"/>
    </w:p>
    <w:p w14:paraId="609428D3">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I </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鉴定工作要求</w:t>
      </w:r>
    </w:p>
    <w:p w14:paraId="3E851920">
      <w:pPr>
        <w:pStyle w:val="6"/>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Times New Roman" w:cs="Times New Roman"/>
          <w:b/>
          <w:bCs/>
          <w:color w:val="auto"/>
          <w:spacing w:val="1"/>
          <w:sz w:val="24"/>
          <w:szCs w:val="24"/>
          <w:u w:val="none" w:color="auto"/>
          <w:lang w:val="en-US" w:eastAsia="zh-CN"/>
        </w:rPr>
      </w:pPr>
      <w:r>
        <w:rPr>
          <w:rFonts w:hint="default" w:ascii="Times New Roman" w:hAnsi="Times New Roman" w:eastAsia="Times New Roman" w:cs="Times New Roman"/>
          <w:b/>
          <w:bCs/>
          <w:color w:val="auto"/>
          <w:spacing w:val="1"/>
          <w:sz w:val="24"/>
          <w:szCs w:val="24"/>
          <w:u w:val="none" w:color="auto"/>
          <w:lang w:val="en-US" w:eastAsia="zh-CN"/>
        </w:rPr>
        <w:t xml:space="preserve">4.5.1 </w:t>
      </w:r>
      <w:r>
        <w:rPr>
          <w:rFonts w:hint="default" w:ascii="Times New Roman" w:hAnsi="Times New Roman" w:eastAsia="Times New Roman" w:cs="Times New Roman"/>
          <w:b w:val="0"/>
          <w:bCs w:val="0"/>
          <w:color w:val="auto"/>
          <w:spacing w:val="1"/>
          <w:sz w:val="24"/>
          <w:szCs w:val="24"/>
          <w:u w:val="none" w:color="auto"/>
          <w:lang w:val="en-US" w:eastAsia="zh-CN"/>
        </w:rPr>
        <w:t>基坑工程安全性鉴定除应按现行国家标准《建筑地基基础工程施工质量验收标准》GB 50202及其他鉴定依据标准的有关规定外，尚应符合下列要求：</w:t>
      </w:r>
    </w:p>
    <w:p w14:paraId="18671C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cs="Times New Roman"/>
          <w:color w:val="auto"/>
          <w:kern w:val="2"/>
          <w:sz w:val="24"/>
          <w:szCs w:val="24"/>
          <w:highlight w:val="none"/>
          <w:lang w:val="en-US" w:eastAsia="zh-CN" w:bidi="ar"/>
        </w:rPr>
        <w:t xml:space="preserve">1  </w:t>
      </w:r>
      <w:r>
        <w:rPr>
          <w:rFonts w:hint="default" w:ascii="Times New Roman" w:hAnsi="Times New Roman" w:eastAsia="宋体" w:cs="Times New Roman"/>
          <w:color w:val="auto"/>
          <w:kern w:val="2"/>
          <w:sz w:val="24"/>
          <w:szCs w:val="24"/>
          <w:highlight w:val="none"/>
          <w:lang w:val="en-US" w:eastAsia="zh-CN" w:bidi="ar"/>
        </w:rPr>
        <w:t>基坑</w:t>
      </w:r>
      <w:r>
        <w:rPr>
          <w:rFonts w:hint="default" w:ascii="Times New Roman" w:hAnsi="Times New Roman" w:cs="Times New Roman"/>
          <w:color w:val="auto"/>
          <w:kern w:val="2"/>
          <w:sz w:val="24"/>
          <w:szCs w:val="24"/>
          <w:highlight w:val="none"/>
          <w:lang w:val="en-US" w:eastAsia="zh-CN" w:bidi="ar"/>
        </w:rPr>
        <w:t>工程</w:t>
      </w:r>
      <w:r>
        <w:rPr>
          <w:rFonts w:hint="default" w:ascii="Times New Roman" w:hAnsi="Times New Roman" w:eastAsia="宋体" w:cs="Times New Roman"/>
          <w:color w:val="auto"/>
          <w:kern w:val="2"/>
          <w:sz w:val="24"/>
          <w:szCs w:val="24"/>
          <w:highlight w:val="none"/>
          <w:lang w:val="en-US" w:eastAsia="zh-CN" w:bidi="ar"/>
        </w:rPr>
        <w:t>安全性分析应基于勘察、</w:t>
      </w:r>
      <w:r>
        <w:rPr>
          <w:rFonts w:hint="default" w:ascii="Times New Roman" w:hAnsi="Times New Roman" w:cs="Times New Roman"/>
          <w:color w:val="auto"/>
          <w:kern w:val="2"/>
          <w:sz w:val="24"/>
          <w:szCs w:val="24"/>
          <w:highlight w:val="none"/>
          <w:lang w:val="en-US" w:eastAsia="zh-CN" w:bidi="ar"/>
        </w:rPr>
        <w:t>基坑</w:t>
      </w:r>
      <w:r>
        <w:rPr>
          <w:rFonts w:hint="default" w:ascii="Times New Roman" w:hAnsi="Times New Roman" w:eastAsia="宋体" w:cs="Times New Roman"/>
          <w:color w:val="auto"/>
          <w:kern w:val="2"/>
          <w:sz w:val="24"/>
          <w:szCs w:val="24"/>
          <w:highlight w:val="none"/>
          <w:lang w:val="en-US" w:eastAsia="zh-CN" w:bidi="ar"/>
        </w:rPr>
        <w:t>设计、施工</w:t>
      </w:r>
      <w:r>
        <w:rPr>
          <w:rFonts w:hint="default" w:ascii="Times New Roman" w:hAnsi="Times New Roman" w:cs="Times New Roman"/>
          <w:color w:val="auto"/>
          <w:kern w:val="2"/>
          <w:sz w:val="24"/>
          <w:szCs w:val="24"/>
          <w:highlight w:val="none"/>
          <w:lang w:val="en-US" w:eastAsia="zh-CN" w:bidi="ar"/>
        </w:rPr>
        <w:t>资料</w:t>
      </w:r>
      <w:r>
        <w:rPr>
          <w:rFonts w:hint="default" w:ascii="Times New Roman" w:hAnsi="Times New Roman" w:eastAsia="宋体" w:cs="Times New Roman"/>
          <w:color w:val="auto"/>
          <w:kern w:val="2"/>
          <w:sz w:val="24"/>
          <w:szCs w:val="24"/>
          <w:highlight w:val="none"/>
          <w:lang w:val="en-US" w:eastAsia="zh-CN" w:bidi="ar"/>
        </w:rPr>
        <w:t>及环境调查资料，结合现场检测与监测数据，综合评估基坑支护结构、周边环境及基坑侧壁岩土体的稳定性</w:t>
      </w:r>
      <w:r>
        <w:rPr>
          <w:rFonts w:hint="default" w:ascii="Times New Roman" w:hAnsi="Times New Roman" w:cs="Times New Roman"/>
          <w:color w:val="auto"/>
          <w:kern w:val="2"/>
          <w:sz w:val="24"/>
          <w:szCs w:val="24"/>
          <w:highlight w:val="none"/>
          <w:lang w:val="en-US" w:eastAsia="zh-CN" w:bidi="ar"/>
        </w:rPr>
        <w:t>；</w:t>
      </w:r>
    </w:p>
    <w:p w14:paraId="0739C0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cs="Times New Roman"/>
          <w:b w:val="0"/>
          <w:bCs w:val="0"/>
          <w:color w:val="auto"/>
          <w:kern w:val="2"/>
          <w:sz w:val="24"/>
          <w:szCs w:val="24"/>
          <w:highlight w:val="none"/>
          <w:lang w:val="en-US" w:eastAsia="zh-CN" w:bidi="ar"/>
        </w:rPr>
        <w:t>2</w:t>
      </w:r>
      <w:r>
        <w:rPr>
          <w:rFonts w:hint="default" w:ascii="Times New Roman" w:hAnsi="Times New Roman" w:eastAsia="宋体" w:cs="Times New Roman"/>
          <w:color w:val="auto"/>
          <w:kern w:val="2"/>
          <w:sz w:val="24"/>
          <w:szCs w:val="24"/>
          <w:highlight w:val="none"/>
          <w:lang w:val="en-US" w:eastAsia="zh-CN" w:bidi="ar"/>
        </w:rPr>
        <w:t xml:space="preserve"> </w:t>
      </w:r>
      <w:r>
        <w:rPr>
          <w:rFonts w:hint="default" w:ascii="Times New Roman" w:hAnsi="Times New Roman" w:cs="Times New Roman"/>
          <w:color w:val="auto"/>
          <w:kern w:val="2"/>
          <w:sz w:val="24"/>
          <w:szCs w:val="24"/>
          <w:highlight w:val="non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基坑</w:t>
      </w:r>
      <w:r>
        <w:rPr>
          <w:rFonts w:hint="default" w:ascii="Times New Roman" w:hAnsi="Times New Roman" w:cs="Times New Roman"/>
          <w:color w:val="auto"/>
          <w:kern w:val="2"/>
          <w:sz w:val="24"/>
          <w:szCs w:val="24"/>
          <w:highlight w:val="none"/>
          <w:lang w:val="en-US" w:eastAsia="zh-CN" w:bidi="ar"/>
        </w:rPr>
        <w:t>工程</w:t>
      </w:r>
      <w:r>
        <w:rPr>
          <w:rFonts w:hint="default" w:ascii="Times New Roman" w:hAnsi="Times New Roman" w:eastAsia="宋体" w:cs="Times New Roman"/>
          <w:color w:val="auto"/>
          <w:kern w:val="2"/>
          <w:sz w:val="24"/>
          <w:szCs w:val="24"/>
          <w:highlight w:val="none"/>
          <w:lang w:val="en-US" w:eastAsia="zh-CN" w:bidi="ar"/>
        </w:rPr>
        <w:t>安全性分析应考虑特殊性岩土地质条件的影响</w:t>
      </w:r>
      <w:r>
        <w:rPr>
          <w:rFonts w:hint="default" w:ascii="Times New Roman" w:hAnsi="Times New Roman" w:cs="Times New Roman"/>
          <w:color w:val="auto"/>
          <w:kern w:val="2"/>
          <w:sz w:val="24"/>
          <w:szCs w:val="24"/>
          <w:highlight w:val="none"/>
          <w:lang w:val="en-US" w:eastAsia="zh-CN" w:bidi="ar"/>
        </w:rPr>
        <w:t>；</w:t>
      </w:r>
    </w:p>
    <w:p w14:paraId="6D9F37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bCs/>
          <w:color w:val="auto"/>
          <w:kern w:val="2"/>
          <w:sz w:val="28"/>
          <w:szCs w:val="28"/>
          <w:highlight w:val="none"/>
        </w:rPr>
      </w:pPr>
      <w:r>
        <w:rPr>
          <w:rFonts w:hint="default" w:ascii="Times New Roman" w:hAnsi="Times New Roman" w:cs="Times New Roman"/>
          <w:b w:val="0"/>
          <w:bCs w:val="0"/>
          <w:color w:val="auto"/>
          <w:kern w:val="2"/>
          <w:sz w:val="24"/>
          <w:szCs w:val="24"/>
          <w:highlight w:val="none"/>
          <w:lang w:val="en-US" w:eastAsia="zh-CN" w:bidi="ar"/>
        </w:rPr>
        <w:t>3</w:t>
      </w:r>
      <w:r>
        <w:rPr>
          <w:rFonts w:hint="default" w:ascii="Times New Roman" w:hAnsi="Times New Roman" w:eastAsia="宋体" w:cs="Times New Roman"/>
          <w:color w:val="auto"/>
          <w:kern w:val="2"/>
          <w:sz w:val="24"/>
          <w:szCs w:val="24"/>
          <w:highlight w:val="none"/>
          <w:lang w:val="en-US" w:eastAsia="zh-CN" w:bidi="ar"/>
        </w:rPr>
        <w:t xml:space="preserve"> </w:t>
      </w:r>
      <w:r>
        <w:rPr>
          <w:rFonts w:hint="default" w:ascii="Times New Roman" w:hAnsi="Times New Roman" w:cs="Times New Roman"/>
          <w:color w:val="auto"/>
          <w:kern w:val="2"/>
          <w:sz w:val="24"/>
          <w:szCs w:val="24"/>
          <w:highlight w:val="none"/>
          <w:lang w:val="en-US" w:eastAsia="zh-CN" w:bidi="ar"/>
        </w:rPr>
        <w:t xml:space="preserve"> 基坑工程</w:t>
      </w:r>
      <w:r>
        <w:rPr>
          <w:rFonts w:hint="default" w:ascii="Times New Roman" w:hAnsi="Times New Roman" w:eastAsia="宋体" w:cs="Times New Roman"/>
          <w:color w:val="auto"/>
          <w:kern w:val="2"/>
          <w:sz w:val="24"/>
          <w:szCs w:val="24"/>
          <w:highlight w:val="none"/>
          <w:lang w:val="en-US" w:eastAsia="zh-CN" w:bidi="ar"/>
        </w:rPr>
        <w:t>安全性分析</w:t>
      </w:r>
      <w:r>
        <w:rPr>
          <w:rFonts w:hint="default" w:ascii="Times New Roman" w:hAnsi="Times New Roman" w:cs="Times New Roman"/>
          <w:color w:val="auto"/>
          <w:kern w:val="2"/>
          <w:sz w:val="24"/>
          <w:szCs w:val="24"/>
          <w:highlight w:val="none"/>
          <w:lang w:val="en-US" w:eastAsia="zh-CN" w:bidi="ar"/>
        </w:rPr>
        <w:t>可</w:t>
      </w:r>
      <w:r>
        <w:rPr>
          <w:rFonts w:hint="default" w:ascii="Times New Roman" w:hAnsi="Times New Roman" w:eastAsia="宋体" w:cs="Times New Roman"/>
          <w:color w:val="auto"/>
          <w:kern w:val="2"/>
          <w:sz w:val="24"/>
          <w:szCs w:val="24"/>
          <w:highlight w:val="none"/>
          <w:lang w:val="en-US" w:eastAsia="zh-CN" w:bidi="ar"/>
        </w:rPr>
        <w:t>采用定性与定量相结合的方法，包括稳定性分析验算及经验类比法。</w:t>
      </w:r>
    </w:p>
    <w:p w14:paraId="5462C458">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楷体" w:cs="Times New Roman"/>
          <w:color w:val="auto"/>
          <w:kern w:val="2"/>
          <w:sz w:val="24"/>
          <w:szCs w:val="24"/>
          <w:highlight w:val="none"/>
          <w:u w:val="single"/>
        </w:rPr>
      </w:pPr>
      <w:r>
        <w:rPr>
          <w:rFonts w:hint="default" w:ascii="Times New Roman" w:hAnsi="Times New Roman" w:eastAsia="楷体" w:cs="Times New Roman"/>
          <w:color w:val="auto"/>
          <w:kern w:val="2"/>
          <w:sz w:val="24"/>
          <w:szCs w:val="24"/>
          <w:highlight w:val="none"/>
          <w:u w:val="single"/>
          <w:lang w:val="en-US" w:eastAsia="zh-CN" w:bidi="ar"/>
        </w:rPr>
        <w:t>【条文说明】（1）基坑工程安全性分析需综合勘察、支护设计、施工及使用期环境变化等信息。（2）四川特殊性岩土的影响：①膨胀岩土：胀缩变形具有“延迟性”，需重点分析随着土体含水率变化导致土的力学参数改变对支护结构的侧向压力影响；②昔格达地层：砂泥岩互层，强度低、易风化，开挖后易产生顺层滑动；③岩溶区：溶洞顶板厚度与跨度比直接影响其稳定性，需核查溶洞充填物性质对突涌风险的影响；（3）定性分析（如工程经验类比）用于快速判断风险点，定量分析（数值模拟、极限平衡法）用于精确计算安全储备，二者互补提升结论可靠性。</w:t>
      </w:r>
    </w:p>
    <w:p w14:paraId="7D7C571B">
      <w:pPr>
        <w:pStyle w:val="6"/>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Times New Roman" w:cs="Times New Roman"/>
          <w:b/>
          <w:bCs/>
          <w:color w:val="auto"/>
          <w:spacing w:val="1"/>
          <w:sz w:val="24"/>
          <w:szCs w:val="24"/>
          <w:u w:val="none" w:color="auto"/>
          <w:lang w:val="en-US" w:eastAsia="zh-CN"/>
        </w:rPr>
      </w:pPr>
      <w:r>
        <w:rPr>
          <w:rFonts w:hint="default" w:ascii="Times New Roman" w:hAnsi="Times New Roman" w:eastAsia="Times New Roman" w:cs="Times New Roman"/>
          <w:b/>
          <w:bCs/>
          <w:color w:val="auto"/>
          <w:spacing w:val="1"/>
          <w:sz w:val="24"/>
          <w:szCs w:val="24"/>
          <w:u w:val="none" w:color="auto"/>
          <w:lang w:val="en-US" w:eastAsia="zh-CN"/>
        </w:rPr>
        <w:t xml:space="preserve">4.5.2 </w:t>
      </w:r>
      <w:r>
        <w:rPr>
          <w:rFonts w:hint="default" w:ascii="Times New Roman" w:hAnsi="Times New Roman" w:eastAsia="Times New Roman" w:cs="Times New Roman"/>
          <w:b w:val="0"/>
          <w:bCs w:val="0"/>
          <w:color w:val="auto"/>
          <w:spacing w:val="1"/>
          <w:sz w:val="24"/>
          <w:szCs w:val="24"/>
          <w:u w:val="none" w:color="auto"/>
          <w:lang w:val="en-US" w:eastAsia="zh-CN"/>
        </w:rPr>
        <w:t>基坑工程安全性分析内容应符合下列规定：</w:t>
      </w:r>
    </w:p>
    <w:p w14:paraId="5DD571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b w:val="0"/>
          <w:bCs w:val="0"/>
          <w:color w:val="auto"/>
          <w:kern w:val="2"/>
          <w:sz w:val="24"/>
          <w:szCs w:val="24"/>
          <w:highlight w:val="none"/>
          <w:lang w:val="en-US" w:eastAsia="zh-CN" w:bidi="ar"/>
        </w:rPr>
      </w:pPr>
      <w:r>
        <w:rPr>
          <w:rFonts w:hint="default" w:ascii="Times New Roman" w:hAnsi="Times New Roman" w:cs="Times New Roman"/>
          <w:b w:val="0"/>
          <w:bCs w:val="0"/>
          <w:color w:val="auto"/>
          <w:kern w:val="2"/>
          <w:sz w:val="24"/>
          <w:szCs w:val="24"/>
          <w:highlight w:val="none"/>
          <w:lang w:val="en-US" w:eastAsia="zh-CN" w:bidi="ar"/>
        </w:rPr>
        <w:t>1  放坡开挖、土钉墙与复合土钉墙应分析土钉抗拔承载力及整体稳定性；排桩、双排桩、钢板桩、地下连续墙、锚杆（索）、内支撑等支护结构应分析承载力、变形及整体稳定性；同时分析支护结构受力情况及安全度；</w:t>
      </w:r>
    </w:p>
    <w:p w14:paraId="10B44C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b w:val="0"/>
          <w:bCs w:val="0"/>
          <w:color w:val="auto"/>
          <w:kern w:val="2"/>
          <w:sz w:val="24"/>
          <w:szCs w:val="24"/>
          <w:highlight w:val="none"/>
          <w:lang w:val="en-US" w:eastAsia="zh-CN" w:bidi="ar"/>
        </w:rPr>
      </w:pPr>
      <w:r>
        <w:rPr>
          <w:rFonts w:hint="default" w:ascii="Times New Roman" w:hAnsi="Times New Roman" w:cs="Times New Roman"/>
          <w:b w:val="0"/>
          <w:bCs w:val="0"/>
          <w:color w:val="auto"/>
          <w:kern w:val="2"/>
          <w:sz w:val="24"/>
          <w:szCs w:val="24"/>
          <w:highlight w:val="none"/>
          <w:lang w:val="en-US" w:eastAsia="zh-CN" w:bidi="ar"/>
        </w:rPr>
        <w:t>2  应分析基坑开挖对邻近建（构）筑物、道路、管线的附加变形影响，考虑空间效应分析量化影响范围；特殊岩土地区，应预测开挖后土体胀缩变形对周边设施的危害程度；</w:t>
      </w:r>
    </w:p>
    <w:p w14:paraId="399154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b w:val="0"/>
          <w:bCs w:val="0"/>
          <w:color w:val="auto"/>
          <w:kern w:val="2"/>
          <w:sz w:val="24"/>
          <w:szCs w:val="24"/>
          <w:highlight w:val="none"/>
          <w:lang w:val="en-US" w:eastAsia="zh-CN" w:bidi="ar"/>
        </w:rPr>
      </w:pPr>
      <w:r>
        <w:rPr>
          <w:rFonts w:hint="default" w:ascii="Times New Roman" w:hAnsi="Times New Roman" w:cs="Times New Roman"/>
          <w:b w:val="0"/>
          <w:bCs w:val="0"/>
          <w:color w:val="auto"/>
          <w:kern w:val="2"/>
          <w:sz w:val="24"/>
          <w:szCs w:val="24"/>
          <w:highlight w:val="none"/>
          <w:lang w:val="en-US" w:eastAsia="zh-CN" w:bidi="ar"/>
        </w:rPr>
        <w:t>3  应分析不利结构面、软弱夹层等对基坑安全稳定性的影响；</w:t>
      </w:r>
    </w:p>
    <w:p w14:paraId="1AA67F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b w:val="0"/>
          <w:bCs w:val="0"/>
          <w:color w:val="auto"/>
          <w:kern w:val="2"/>
          <w:sz w:val="24"/>
          <w:szCs w:val="24"/>
          <w:highlight w:val="none"/>
          <w:lang w:val="en-US" w:eastAsia="zh-CN" w:bidi="ar"/>
        </w:rPr>
      </w:pPr>
      <w:r>
        <w:rPr>
          <w:rFonts w:hint="default" w:ascii="Times New Roman" w:hAnsi="Times New Roman" w:cs="Times New Roman"/>
          <w:b w:val="0"/>
          <w:bCs w:val="0"/>
          <w:color w:val="auto"/>
          <w:kern w:val="2"/>
          <w:sz w:val="24"/>
          <w:szCs w:val="24"/>
          <w:highlight w:val="none"/>
          <w:lang w:val="en-US" w:eastAsia="zh-CN" w:bidi="ar"/>
        </w:rPr>
        <w:t>4  应分析地表水截排水能力、截水帷幕的截渗能力、地下水的控制效果以及降水引起的地面沉降，应评估深厚含水层或岩溶区突涌风险及帷幕渗漏可能性；</w:t>
      </w:r>
    </w:p>
    <w:p w14:paraId="490793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b w:val="0"/>
          <w:bCs w:val="0"/>
          <w:color w:val="auto"/>
          <w:kern w:val="2"/>
          <w:sz w:val="24"/>
          <w:szCs w:val="24"/>
          <w:highlight w:val="none"/>
          <w:lang w:val="en-US" w:eastAsia="zh-CN" w:bidi="ar"/>
        </w:rPr>
      </w:pPr>
      <w:r>
        <w:rPr>
          <w:rFonts w:hint="default" w:ascii="Times New Roman" w:hAnsi="Times New Roman" w:cs="Times New Roman"/>
          <w:b w:val="0"/>
          <w:bCs w:val="0"/>
          <w:color w:val="auto"/>
          <w:kern w:val="2"/>
          <w:sz w:val="24"/>
          <w:szCs w:val="24"/>
          <w:highlight w:val="none"/>
          <w:lang w:val="en-US" w:eastAsia="zh-CN" w:bidi="ar"/>
        </w:rPr>
        <w:t>5  应模拟暴雨、连续降雨等极端工况下的基坑响应，提出应急措施建议；逆作法、半逆作法等施工工艺，应进行施工阶段稳定性验算。</w:t>
      </w:r>
    </w:p>
    <w:p w14:paraId="1D365793">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楷体" w:cs="Times New Roman"/>
          <w:color w:val="auto"/>
          <w:kern w:val="2"/>
          <w:sz w:val="24"/>
          <w:szCs w:val="24"/>
          <w:highlight w:val="none"/>
          <w:u w:val="single"/>
        </w:rPr>
      </w:pPr>
      <w:r>
        <w:rPr>
          <w:rFonts w:hint="default" w:ascii="Times New Roman" w:hAnsi="Times New Roman" w:eastAsia="楷体" w:cs="Times New Roman"/>
          <w:color w:val="auto"/>
          <w:kern w:val="2"/>
          <w:sz w:val="24"/>
          <w:szCs w:val="24"/>
          <w:highlight w:val="none"/>
          <w:u w:val="single"/>
          <w:lang w:val="en-US" w:eastAsia="zh-CN" w:bidi="ar"/>
        </w:rPr>
        <w:t>【条文说明】（1）四川地区常见支护形式包括放坡、土钉墙、复合土钉墙、排桩、双排桩、钢板桩、锚杆（索）、内支撑等；（2）需重点核查：坡度系数、支护参数、周边环境条件、地表水与地下水控制效果；（3）暴雨工况下，需考虑地表径流汇入基坑导致的“坑壁流砂”风险（如四川盆地西缘山区等基坑外侧地势较高，汇水面积大时需增设截水沟）。</w:t>
      </w:r>
    </w:p>
    <w:p w14:paraId="283BADD9">
      <w:pPr>
        <w:pStyle w:val="6"/>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Times New Roman" w:cs="Times New Roman"/>
          <w:b/>
          <w:bCs/>
          <w:color w:val="auto"/>
          <w:spacing w:val="1"/>
          <w:sz w:val="24"/>
          <w:szCs w:val="24"/>
          <w:u w:val="none" w:color="auto"/>
          <w:lang w:val="en-US" w:eastAsia="zh-CN"/>
        </w:rPr>
      </w:pPr>
      <w:r>
        <w:rPr>
          <w:rFonts w:hint="default" w:ascii="Times New Roman" w:hAnsi="Times New Roman" w:eastAsia="Times New Roman" w:cs="Times New Roman"/>
          <w:b/>
          <w:bCs/>
          <w:color w:val="auto"/>
          <w:spacing w:val="1"/>
          <w:sz w:val="24"/>
          <w:szCs w:val="24"/>
          <w:u w:val="none" w:color="auto"/>
          <w:lang w:val="en-US" w:eastAsia="zh-CN"/>
        </w:rPr>
        <w:t xml:space="preserve">4.5.3 </w:t>
      </w:r>
      <w:r>
        <w:rPr>
          <w:rFonts w:hint="default" w:ascii="Times New Roman" w:hAnsi="Times New Roman" w:eastAsia="Times New Roman" w:cs="Times New Roman"/>
          <w:b w:val="0"/>
          <w:bCs w:val="0"/>
          <w:color w:val="auto"/>
          <w:spacing w:val="1"/>
          <w:sz w:val="24"/>
          <w:szCs w:val="24"/>
          <w:u w:val="none" w:color="auto"/>
          <w:lang w:val="en-US" w:eastAsia="zh-CN"/>
        </w:rPr>
        <w:t>基坑支护结构和稳定性应根据鉴定目的和要求，按下列工况进行分析、验算</w:t>
      </w:r>
      <w:r>
        <w:rPr>
          <w:rFonts w:hint="default" w:ascii="Times New Roman" w:hAnsi="Times New Roman" w:eastAsia="Times New Roman" w:cs="Times New Roman"/>
          <w:b/>
          <w:bCs/>
          <w:color w:val="auto"/>
          <w:spacing w:val="1"/>
          <w:sz w:val="24"/>
          <w:szCs w:val="24"/>
          <w:u w:val="none" w:color="auto"/>
          <w:lang w:val="en-US" w:eastAsia="zh-CN"/>
        </w:rPr>
        <w:t>：</w:t>
      </w:r>
    </w:p>
    <w:p w14:paraId="2D43C1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b w:val="0"/>
          <w:bCs w:val="0"/>
          <w:color w:val="auto"/>
          <w:kern w:val="2"/>
          <w:sz w:val="24"/>
          <w:szCs w:val="24"/>
          <w:highlight w:val="none"/>
          <w:lang w:val="en-US" w:eastAsia="zh-CN" w:bidi="ar"/>
        </w:rPr>
      </w:pPr>
      <w:r>
        <w:rPr>
          <w:rFonts w:hint="default" w:ascii="Times New Roman" w:hAnsi="Times New Roman" w:cs="Times New Roman"/>
          <w:b w:val="0"/>
          <w:bCs w:val="0"/>
          <w:color w:val="auto"/>
          <w:kern w:val="2"/>
          <w:sz w:val="24"/>
          <w:szCs w:val="24"/>
          <w:highlight w:val="none"/>
          <w:lang w:val="en-US" w:eastAsia="zh-CN" w:bidi="ar"/>
        </w:rPr>
        <w:t xml:space="preserve">1  基坑现状及开挖至设计基底标高时的工况； </w:t>
      </w:r>
    </w:p>
    <w:p w14:paraId="07CC67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b w:val="0"/>
          <w:bCs w:val="0"/>
          <w:color w:val="auto"/>
          <w:kern w:val="2"/>
          <w:sz w:val="24"/>
          <w:szCs w:val="24"/>
          <w:highlight w:val="none"/>
          <w:lang w:val="en-US" w:eastAsia="zh-CN" w:bidi="ar"/>
        </w:rPr>
      </w:pPr>
      <w:r>
        <w:rPr>
          <w:rFonts w:hint="default" w:ascii="Times New Roman" w:hAnsi="Times New Roman" w:cs="Times New Roman"/>
          <w:b w:val="0"/>
          <w:bCs w:val="0"/>
          <w:color w:val="auto"/>
          <w:kern w:val="2"/>
          <w:sz w:val="24"/>
          <w:szCs w:val="24"/>
          <w:highlight w:val="none"/>
          <w:lang w:val="en-US" w:eastAsia="zh-CN" w:bidi="ar"/>
        </w:rPr>
        <w:t xml:space="preserve">2  土钉墙、锚拉式、支撑式支挡结构验算时，基坑开挖至各道土钉、各道锚杆、各道支撑施工作业面时的工况； </w:t>
      </w:r>
    </w:p>
    <w:p w14:paraId="26634B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b w:val="0"/>
          <w:bCs w:val="0"/>
          <w:color w:val="auto"/>
          <w:kern w:val="2"/>
          <w:sz w:val="24"/>
          <w:szCs w:val="24"/>
          <w:highlight w:val="none"/>
          <w:lang w:val="en-US" w:eastAsia="zh-CN" w:bidi="ar"/>
        </w:rPr>
      </w:pPr>
      <w:r>
        <w:rPr>
          <w:rFonts w:hint="default" w:ascii="Times New Roman" w:hAnsi="Times New Roman" w:cs="Times New Roman"/>
          <w:b w:val="0"/>
          <w:bCs w:val="0"/>
          <w:color w:val="auto"/>
          <w:kern w:val="2"/>
          <w:sz w:val="24"/>
          <w:szCs w:val="24"/>
          <w:highlight w:val="none"/>
          <w:lang w:val="en-US" w:eastAsia="zh-CN" w:bidi="ar"/>
        </w:rPr>
        <w:t xml:space="preserve">3 水平内支撑式支挡结构，基坑各边水平荷载不对等的各种状况； </w:t>
      </w:r>
    </w:p>
    <w:p w14:paraId="6E1507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b w:val="0"/>
          <w:bCs w:val="0"/>
          <w:color w:val="auto"/>
          <w:kern w:val="2"/>
          <w:sz w:val="24"/>
          <w:szCs w:val="24"/>
          <w:highlight w:val="none"/>
          <w:lang w:val="en-US" w:eastAsia="zh-CN" w:bidi="ar"/>
        </w:rPr>
      </w:pPr>
      <w:r>
        <w:rPr>
          <w:rFonts w:hint="default" w:ascii="Times New Roman" w:hAnsi="Times New Roman" w:cs="Times New Roman"/>
          <w:b w:val="0"/>
          <w:bCs w:val="0"/>
          <w:color w:val="auto"/>
          <w:kern w:val="2"/>
          <w:sz w:val="24"/>
          <w:szCs w:val="24"/>
          <w:highlight w:val="none"/>
          <w:lang w:val="en-US" w:eastAsia="zh-CN" w:bidi="ar"/>
        </w:rPr>
        <w:t>4  以主体结构构件为支点进行换撑时的工况；</w:t>
      </w:r>
    </w:p>
    <w:p w14:paraId="6AA225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b w:val="0"/>
          <w:bCs w:val="0"/>
          <w:color w:val="auto"/>
          <w:kern w:val="2"/>
          <w:sz w:val="24"/>
          <w:szCs w:val="24"/>
          <w:highlight w:val="none"/>
          <w:lang w:val="en-US" w:eastAsia="zh-CN" w:bidi="ar"/>
        </w:rPr>
      </w:pPr>
      <w:r>
        <w:rPr>
          <w:rFonts w:hint="default" w:ascii="Times New Roman" w:hAnsi="Times New Roman" w:cs="Times New Roman"/>
          <w:b w:val="0"/>
          <w:bCs w:val="0"/>
          <w:color w:val="auto"/>
          <w:kern w:val="2"/>
          <w:sz w:val="24"/>
          <w:szCs w:val="24"/>
          <w:highlight w:val="none"/>
          <w:lang w:val="en-US" w:eastAsia="zh-CN" w:bidi="ar"/>
        </w:rPr>
        <w:t>5  基坑周边环境条件变化导致荷载增加的工况；</w:t>
      </w:r>
    </w:p>
    <w:p w14:paraId="70D16D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b w:val="0"/>
          <w:bCs w:val="0"/>
          <w:color w:val="auto"/>
          <w:kern w:val="2"/>
          <w:sz w:val="24"/>
          <w:szCs w:val="24"/>
          <w:highlight w:val="none"/>
          <w:lang w:val="en-US" w:eastAsia="zh-CN" w:bidi="ar"/>
        </w:rPr>
      </w:pPr>
      <w:r>
        <w:rPr>
          <w:rFonts w:hint="default" w:ascii="Times New Roman" w:hAnsi="Times New Roman" w:cs="Times New Roman"/>
          <w:b w:val="0"/>
          <w:bCs w:val="0"/>
          <w:color w:val="auto"/>
          <w:kern w:val="2"/>
          <w:sz w:val="24"/>
          <w:szCs w:val="24"/>
          <w:highlight w:val="none"/>
          <w:lang w:val="en-US" w:eastAsia="zh-CN" w:bidi="ar"/>
        </w:rPr>
        <w:t>6  地下水位变化导致荷载增加的工况。</w:t>
      </w:r>
    </w:p>
    <w:p w14:paraId="066A830D">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楷体" w:cs="Times New Roman"/>
          <w:color w:val="auto"/>
          <w:kern w:val="2"/>
          <w:sz w:val="24"/>
          <w:szCs w:val="24"/>
          <w:highlight w:val="none"/>
          <w:u w:val="single"/>
        </w:rPr>
      </w:pPr>
      <w:r>
        <w:rPr>
          <w:rFonts w:hint="default" w:ascii="Times New Roman" w:hAnsi="Times New Roman" w:eastAsia="楷体" w:cs="Times New Roman"/>
          <w:color w:val="auto"/>
          <w:kern w:val="2"/>
          <w:sz w:val="24"/>
          <w:szCs w:val="24"/>
          <w:highlight w:val="none"/>
          <w:u w:val="single"/>
          <w:lang w:val="en-US" w:eastAsia="zh-CN" w:bidi="ar"/>
        </w:rPr>
        <w:t>【条文说明】本条规定基坑稳定性和支护结构分析验算的各种工况。若鉴定目的为判断现状基坑稳定性，则应验算基坑现状坑底标高的状况；当需要分析已完成的支护结构施工质量在基坑开挖到设计基底标高时稳定性的影响时，比如支护桩施工完毕，基坑尚未开挖，锚杆或内支撑尚未施工，支护桩施工质量不满足设计要求或有关标准要求时，应验算基坑开挖到设计基底标高时的状况。对支护结构承载力验算时，根据现行行业标准《建筑基坑支护技术规程》JGJ 120 的有关规定，应验算第本条提及的各种工况。验算目的是取得各种验算工况下，相应的支护结构构件在作用基本组合最不利作用效应下的内力设计值，包括弯矩、剪力、轴向力等。</w:t>
      </w:r>
    </w:p>
    <w:p w14:paraId="3D2ADF42">
      <w:pPr>
        <w:pStyle w:val="6"/>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Times New Roman" w:cs="Times New Roman"/>
          <w:b/>
          <w:bCs/>
          <w:color w:val="auto"/>
          <w:spacing w:val="1"/>
          <w:sz w:val="24"/>
          <w:szCs w:val="24"/>
          <w:u w:val="none" w:color="auto"/>
          <w:lang w:val="en-US" w:eastAsia="zh-CN"/>
        </w:rPr>
      </w:pPr>
      <w:r>
        <w:rPr>
          <w:rFonts w:hint="default" w:ascii="Times New Roman" w:hAnsi="Times New Roman" w:eastAsia="Times New Roman" w:cs="Times New Roman"/>
          <w:b/>
          <w:bCs/>
          <w:color w:val="auto"/>
          <w:spacing w:val="1"/>
          <w:sz w:val="24"/>
          <w:szCs w:val="24"/>
          <w:u w:val="none" w:color="auto"/>
          <w:lang w:val="en-US" w:eastAsia="zh-CN"/>
        </w:rPr>
        <w:t xml:space="preserve">4.5.4 </w:t>
      </w:r>
      <w:r>
        <w:rPr>
          <w:rFonts w:hint="default" w:ascii="Times New Roman" w:hAnsi="Times New Roman" w:eastAsia="Times New Roman" w:cs="Times New Roman"/>
          <w:b w:val="0"/>
          <w:bCs w:val="0"/>
          <w:color w:val="auto"/>
          <w:spacing w:val="1"/>
          <w:sz w:val="24"/>
          <w:szCs w:val="24"/>
          <w:u w:val="none" w:color="auto"/>
          <w:lang w:val="en-US" w:eastAsia="zh-CN"/>
        </w:rPr>
        <w:t>基坑稳定性验算计算参数选取应符合下列要求：</w:t>
      </w:r>
    </w:p>
    <w:p w14:paraId="44740D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b w:val="0"/>
          <w:bCs w:val="0"/>
          <w:color w:val="auto"/>
          <w:kern w:val="2"/>
          <w:sz w:val="24"/>
          <w:szCs w:val="24"/>
          <w:highlight w:val="none"/>
          <w:lang w:val="en-US" w:eastAsia="zh-CN" w:bidi="ar"/>
        </w:rPr>
      </w:pPr>
      <w:r>
        <w:rPr>
          <w:rFonts w:hint="default" w:ascii="Times New Roman" w:hAnsi="Times New Roman" w:cs="Times New Roman"/>
          <w:b w:val="0"/>
          <w:bCs w:val="0"/>
          <w:color w:val="auto"/>
          <w:kern w:val="2"/>
          <w:sz w:val="24"/>
          <w:szCs w:val="24"/>
          <w:highlight w:val="none"/>
          <w:lang w:val="en-US" w:eastAsia="zh-CN" w:bidi="ar"/>
        </w:rPr>
        <w:t xml:space="preserve">1  基坑深度、支护结构形式、几何尺寸、放坡级数及其放坡系数、坑内外地下水位等应根据现场检测结果确定； </w:t>
      </w:r>
    </w:p>
    <w:p w14:paraId="34B7F6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b w:val="0"/>
          <w:bCs w:val="0"/>
          <w:color w:val="auto"/>
          <w:kern w:val="2"/>
          <w:sz w:val="24"/>
          <w:szCs w:val="24"/>
          <w:highlight w:val="none"/>
          <w:lang w:val="en-US" w:eastAsia="zh-CN" w:bidi="ar"/>
        </w:rPr>
      </w:pPr>
      <w:r>
        <w:rPr>
          <w:rFonts w:hint="default" w:ascii="Times New Roman" w:hAnsi="Times New Roman" w:cs="Times New Roman"/>
          <w:b w:val="0"/>
          <w:bCs w:val="0"/>
          <w:color w:val="auto"/>
          <w:kern w:val="2"/>
          <w:sz w:val="24"/>
          <w:szCs w:val="24"/>
          <w:highlight w:val="none"/>
          <w:lang w:val="en-US" w:eastAsia="zh-CN" w:bidi="ar"/>
        </w:rPr>
        <w:t>2  岩土层有关参数应根据本工程岩土工程勘察报告或鉴定过程取得的专项勘察资料进行选取；</w:t>
      </w:r>
    </w:p>
    <w:p w14:paraId="640A76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b w:val="0"/>
          <w:bCs w:val="0"/>
          <w:color w:val="auto"/>
          <w:kern w:val="2"/>
          <w:sz w:val="24"/>
          <w:szCs w:val="24"/>
          <w:highlight w:val="none"/>
          <w:lang w:val="en-US" w:eastAsia="zh-CN" w:bidi="ar"/>
        </w:rPr>
      </w:pPr>
      <w:r>
        <w:rPr>
          <w:rFonts w:hint="default" w:ascii="Times New Roman" w:hAnsi="Times New Roman" w:cs="Times New Roman"/>
          <w:b w:val="0"/>
          <w:bCs w:val="0"/>
          <w:color w:val="auto"/>
          <w:kern w:val="2"/>
          <w:sz w:val="24"/>
          <w:szCs w:val="24"/>
          <w:highlight w:val="none"/>
          <w:lang w:val="en-US" w:eastAsia="zh-CN" w:bidi="ar"/>
        </w:rPr>
        <w:t>3  基坑周边超载值应根据基坑周边建（构）筑物、道路和施工荷载等现场调查结果确定；</w:t>
      </w:r>
    </w:p>
    <w:p w14:paraId="70C77C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b w:val="0"/>
          <w:bCs w:val="0"/>
          <w:color w:val="auto"/>
          <w:kern w:val="2"/>
          <w:sz w:val="24"/>
          <w:szCs w:val="24"/>
          <w:highlight w:val="none"/>
          <w:lang w:val="en-US" w:eastAsia="zh-CN" w:bidi="ar"/>
        </w:rPr>
      </w:pPr>
      <w:r>
        <w:rPr>
          <w:rFonts w:hint="default" w:ascii="Times New Roman" w:hAnsi="Times New Roman" w:cs="Times New Roman"/>
          <w:b w:val="0"/>
          <w:bCs w:val="0"/>
          <w:color w:val="auto"/>
          <w:kern w:val="2"/>
          <w:sz w:val="24"/>
          <w:szCs w:val="24"/>
          <w:highlight w:val="none"/>
          <w:lang w:val="en-US" w:eastAsia="zh-CN" w:bidi="ar"/>
        </w:rPr>
        <w:t>4  材料类型及其性能参数、现场施工情况应根据现场检验结果并结合有关施工资料进行确定；</w:t>
      </w:r>
    </w:p>
    <w:p w14:paraId="735909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b w:val="0"/>
          <w:bCs w:val="0"/>
          <w:color w:val="auto"/>
          <w:kern w:val="2"/>
          <w:sz w:val="24"/>
          <w:szCs w:val="24"/>
          <w:highlight w:val="none"/>
          <w:lang w:val="en-US" w:eastAsia="zh-CN" w:bidi="ar"/>
        </w:rPr>
      </w:pPr>
      <w:r>
        <w:rPr>
          <w:rFonts w:hint="default" w:ascii="Times New Roman" w:hAnsi="Times New Roman" w:cs="Times New Roman"/>
          <w:b w:val="0"/>
          <w:bCs w:val="0"/>
          <w:color w:val="auto"/>
          <w:kern w:val="2"/>
          <w:sz w:val="24"/>
          <w:szCs w:val="24"/>
          <w:highlight w:val="none"/>
          <w:lang w:val="en-US" w:eastAsia="zh-CN" w:bidi="ar"/>
        </w:rPr>
        <w:t>5  验算工况中基坑开挖或支护结构施工未完成时，有关计算参数应根据基坑现状及使用要求和设计文件及其他相关资料进行确定。</w:t>
      </w:r>
    </w:p>
    <w:p w14:paraId="138F8E47">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楷体" w:cs="Times New Roman"/>
          <w:color w:val="auto"/>
          <w:kern w:val="2"/>
          <w:sz w:val="24"/>
          <w:szCs w:val="24"/>
          <w:highlight w:val="none"/>
          <w:u w:val="single"/>
        </w:rPr>
      </w:pPr>
      <w:r>
        <w:rPr>
          <w:rFonts w:hint="default" w:ascii="Times New Roman" w:hAnsi="Times New Roman" w:eastAsia="楷体" w:cs="Times New Roman"/>
          <w:color w:val="auto"/>
          <w:kern w:val="2"/>
          <w:sz w:val="24"/>
          <w:szCs w:val="24"/>
          <w:highlight w:val="none"/>
          <w:u w:val="single"/>
          <w:lang w:val="en-US" w:eastAsia="zh-CN" w:bidi="ar"/>
        </w:rPr>
        <w:t>【条文说明】基坑支护结构构件承载力和稳定性验算时，计算参数选取应根据现场调查和检验结果按实际情况确定，对基坑大变形或失稳后等情况的岩土参数取值应依据本标准4.2.</w:t>
      </w:r>
      <w:r>
        <w:rPr>
          <w:rFonts w:hint="eastAsia" w:eastAsia="楷体" w:cs="Times New Roman"/>
          <w:color w:val="auto"/>
          <w:kern w:val="2"/>
          <w:sz w:val="24"/>
          <w:szCs w:val="24"/>
          <w:highlight w:val="none"/>
          <w:u w:val="single"/>
          <w:lang w:val="en-US" w:eastAsia="zh-CN" w:bidi="ar"/>
        </w:rPr>
        <w:t>3</w:t>
      </w:r>
      <w:r>
        <w:rPr>
          <w:rFonts w:hint="default" w:ascii="Times New Roman" w:hAnsi="Times New Roman" w:eastAsia="楷体" w:cs="Times New Roman"/>
          <w:color w:val="auto"/>
          <w:kern w:val="2"/>
          <w:sz w:val="24"/>
          <w:szCs w:val="24"/>
          <w:highlight w:val="none"/>
          <w:u w:val="single"/>
          <w:lang w:val="en-US" w:eastAsia="zh-CN" w:bidi="ar"/>
        </w:rPr>
        <w:t>确定。对于施工质量存疑的检验项目，则应通过现场检查及检测、室内试验等方式取得。若对混凝土强度有存疑时，验算时必须选取混凝土实体强度检测值。当基坑开挖或支护结构施工尚未全部完成，但需要分析已完成的支护结构施工质量在基坑开挖到设计基底标高时的稳定性的影响，此时对已完成部分的支护结构根据现场检验结果确定，其他施工未完成的支护结构参数需要根据基坑的使用要求和设计文件进行确定。</w:t>
      </w:r>
    </w:p>
    <w:p w14:paraId="384EBE4C">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Ⅱ </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鉴定分析</w:t>
      </w:r>
    </w:p>
    <w:p w14:paraId="04CAE0AF">
      <w:pPr>
        <w:pStyle w:val="6"/>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Times New Roman" w:cs="Times New Roman"/>
          <w:b/>
          <w:bCs/>
          <w:color w:val="auto"/>
          <w:spacing w:val="1"/>
          <w:sz w:val="24"/>
          <w:szCs w:val="24"/>
          <w:u w:val="none" w:color="auto"/>
          <w:lang w:val="en-US" w:eastAsia="zh-CN"/>
        </w:rPr>
      </w:pPr>
      <w:r>
        <w:rPr>
          <w:rFonts w:hint="default" w:ascii="Times New Roman" w:hAnsi="Times New Roman" w:eastAsia="Times New Roman" w:cs="Times New Roman"/>
          <w:b/>
          <w:bCs/>
          <w:color w:val="auto"/>
          <w:spacing w:val="1"/>
          <w:sz w:val="24"/>
          <w:szCs w:val="24"/>
          <w:u w:val="none" w:color="auto"/>
          <w:lang w:val="en-US" w:eastAsia="zh-CN"/>
        </w:rPr>
        <w:t xml:space="preserve">4.5.5 </w:t>
      </w:r>
      <w:r>
        <w:rPr>
          <w:rFonts w:hint="default" w:ascii="Times New Roman" w:hAnsi="Times New Roman" w:eastAsia="Times New Roman" w:cs="Times New Roman"/>
          <w:b w:val="0"/>
          <w:bCs w:val="0"/>
          <w:color w:val="auto"/>
          <w:spacing w:val="1"/>
          <w:sz w:val="24"/>
          <w:szCs w:val="24"/>
          <w:u w:val="none" w:color="auto"/>
          <w:lang w:val="en-US" w:eastAsia="zh-CN"/>
        </w:rPr>
        <w:t>基坑工程安全性鉴定分析应符合下列要求：</w:t>
      </w:r>
    </w:p>
    <w:p w14:paraId="66EFA3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Cs w:val="0"/>
          <w:color w:val="auto"/>
          <w:kern w:val="2"/>
          <w:sz w:val="24"/>
          <w:szCs w:val="24"/>
          <w:highlight w:val="none"/>
        </w:rPr>
      </w:pPr>
      <w:r>
        <w:rPr>
          <w:rFonts w:hint="default" w:ascii="Times New Roman" w:hAnsi="Times New Roman" w:eastAsia="宋体" w:cs="Times New Roman"/>
          <w:bCs w:val="0"/>
          <w:color w:val="auto"/>
          <w:kern w:val="2"/>
          <w:sz w:val="24"/>
          <w:szCs w:val="24"/>
          <w:highlight w:val="none"/>
          <w:lang w:val="en-US" w:eastAsia="zh-CN" w:bidi="ar"/>
        </w:rPr>
        <w:t>1 基坑</w:t>
      </w:r>
      <w:r>
        <w:rPr>
          <w:rFonts w:hint="default" w:ascii="Times New Roman" w:hAnsi="Times New Roman" w:cs="Times New Roman"/>
          <w:bCs w:val="0"/>
          <w:color w:val="auto"/>
          <w:kern w:val="2"/>
          <w:sz w:val="24"/>
          <w:szCs w:val="24"/>
          <w:highlight w:val="none"/>
          <w:lang w:val="en-US" w:eastAsia="zh-CN" w:bidi="ar"/>
        </w:rPr>
        <w:t>工程安全性</w:t>
      </w:r>
      <w:r>
        <w:rPr>
          <w:rFonts w:hint="default" w:ascii="Times New Roman" w:hAnsi="Times New Roman" w:eastAsia="宋体" w:cs="Times New Roman"/>
          <w:bCs w:val="0"/>
          <w:color w:val="auto"/>
          <w:kern w:val="2"/>
          <w:sz w:val="24"/>
          <w:szCs w:val="24"/>
          <w:highlight w:val="none"/>
          <w:lang w:val="en-US" w:eastAsia="zh-CN" w:bidi="ar"/>
        </w:rPr>
        <w:t>鉴定应按现行国家标准《建筑地基基础工程施工质量验收标准》GB 50202</w:t>
      </w:r>
      <w:r>
        <w:rPr>
          <w:rFonts w:hint="default" w:ascii="Times New Roman" w:hAnsi="Times New Roman" w:cs="Times New Roman"/>
          <w:bCs w:val="0"/>
          <w:color w:val="auto"/>
          <w:kern w:val="2"/>
          <w:sz w:val="24"/>
          <w:szCs w:val="24"/>
          <w:highlight w:val="none"/>
          <w:lang w:val="en-US" w:eastAsia="zh-CN" w:bidi="ar"/>
        </w:rPr>
        <w:t>及</w:t>
      </w:r>
      <w:r>
        <w:rPr>
          <w:rFonts w:hint="default" w:ascii="Times New Roman" w:hAnsi="Times New Roman" w:eastAsia="宋体" w:cs="Times New Roman"/>
          <w:bCs w:val="0"/>
          <w:color w:val="auto"/>
          <w:kern w:val="2"/>
          <w:sz w:val="24"/>
          <w:szCs w:val="24"/>
          <w:highlight w:val="none"/>
          <w:lang w:val="en-US" w:eastAsia="zh-CN" w:bidi="ar"/>
        </w:rPr>
        <w:t>其他鉴定依据标准的有关规定以及设计要求对现场验证检测与现场检查、施工资料核查等检验结果进行分析</w:t>
      </w:r>
      <w:r>
        <w:rPr>
          <w:rFonts w:hint="default" w:ascii="Times New Roman" w:hAnsi="Times New Roman" w:cs="Times New Roman"/>
          <w:bCs w:val="0"/>
          <w:color w:val="auto"/>
          <w:kern w:val="2"/>
          <w:sz w:val="24"/>
          <w:szCs w:val="24"/>
          <w:highlight w:val="none"/>
          <w:lang w:val="en-US" w:eastAsia="zh-CN" w:bidi="ar"/>
        </w:rPr>
        <w:t>；</w:t>
      </w:r>
    </w:p>
    <w:p w14:paraId="37F2EB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Cs w:val="0"/>
          <w:color w:val="auto"/>
          <w:kern w:val="2"/>
          <w:sz w:val="24"/>
          <w:szCs w:val="24"/>
          <w:highlight w:val="none"/>
        </w:rPr>
      </w:pPr>
      <w:r>
        <w:rPr>
          <w:rFonts w:hint="default" w:ascii="Times New Roman" w:hAnsi="Times New Roman" w:eastAsia="宋体" w:cs="Times New Roman"/>
          <w:bCs w:val="0"/>
          <w:color w:val="auto"/>
          <w:kern w:val="2"/>
          <w:sz w:val="24"/>
          <w:szCs w:val="24"/>
          <w:highlight w:val="none"/>
          <w:lang w:val="en-US" w:eastAsia="zh-CN" w:bidi="ar"/>
        </w:rPr>
        <w:t>2 基坑</w:t>
      </w:r>
      <w:r>
        <w:rPr>
          <w:rFonts w:hint="default" w:ascii="Times New Roman" w:hAnsi="Times New Roman" w:cs="Times New Roman"/>
          <w:bCs w:val="0"/>
          <w:color w:val="auto"/>
          <w:kern w:val="2"/>
          <w:sz w:val="24"/>
          <w:szCs w:val="24"/>
          <w:highlight w:val="none"/>
          <w:lang w:val="en-US" w:eastAsia="zh-CN" w:bidi="ar"/>
        </w:rPr>
        <w:t>工程</w:t>
      </w:r>
      <w:r>
        <w:rPr>
          <w:rFonts w:hint="default" w:ascii="Times New Roman" w:hAnsi="Times New Roman" w:eastAsia="宋体" w:cs="Times New Roman"/>
          <w:bCs w:val="0"/>
          <w:color w:val="auto"/>
          <w:kern w:val="2"/>
          <w:sz w:val="24"/>
          <w:szCs w:val="24"/>
          <w:highlight w:val="none"/>
          <w:lang w:val="en-US" w:eastAsia="zh-CN" w:bidi="ar"/>
        </w:rPr>
        <w:t>安全性鉴定应根据实际支护形式及其受力特点、基坑支护结构的现场检查与验证检测结果、施工资料核查结果、基坑监测资料、基坑使用要求对基坑稳定性、支护结构构件承载力、支护结构受力和变形状态进行验算与分析</w:t>
      </w:r>
      <w:r>
        <w:rPr>
          <w:rFonts w:hint="default" w:ascii="Times New Roman" w:hAnsi="Times New Roman" w:cs="Times New Roman"/>
          <w:bCs w:val="0"/>
          <w:color w:val="auto"/>
          <w:kern w:val="2"/>
          <w:sz w:val="24"/>
          <w:szCs w:val="24"/>
          <w:highlight w:val="none"/>
          <w:lang w:val="en-US" w:eastAsia="zh-CN" w:bidi="ar"/>
        </w:rPr>
        <w:t>；</w:t>
      </w:r>
    </w:p>
    <w:p w14:paraId="19DE28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Cs w:val="0"/>
          <w:color w:val="auto"/>
          <w:kern w:val="2"/>
          <w:sz w:val="24"/>
          <w:szCs w:val="24"/>
          <w:highlight w:val="none"/>
        </w:rPr>
      </w:pPr>
      <w:r>
        <w:rPr>
          <w:rFonts w:hint="default" w:ascii="Times New Roman" w:hAnsi="Times New Roman" w:eastAsia="宋体" w:cs="Times New Roman"/>
          <w:bCs w:val="0"/>
          <w:color w:val="auto"/>
          <w:kern w:val="2"/>
          <w:sz w:val="24"/>
          <w:szCs w:val="24"/>
          <w:highlight w:val="none"/>
          <w:lang w:val="en-US" w:eastAsia="zh-CN" w:bidi="ar"/>
        </w:rPr>
        <w:t>3 基坑鉴定范围内支护结构的安全等级，应根据基坑深度、岩土工程勘察文件、基坑周边环境条件、基坑使用要求的调查结果，依据国家及四川省现行有关标准的规定进行复核。</w:t>
      </w:r>
    </w:p>
    <w:p w14:paraId="2DC6AE3F">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楷体" w:cs="Times New Roman"/>
          <w:color w:val="auto"/>
          <w:kern w:val="2"/>
          <w:sz w:val="24"/>
          <w:szCs w:val="24"/>
          <w:highlight w:val="none"/>
          <w:u w:val="single"/>
        </w:rPr>
      </w:pPr>
      <w:r>
        <w:rPr>
          <w:rFonts w:hint="default" w:ascii="Times New Roman" w:hAnsi="Times New Roman" w:eastAsia="楷体" w:cs="Times New Roman"/>
          <w:color w:val="auto"/>
          <w:kern w:val="2"/>
          <w:sz w:val="24"/>
          <w:szCs w:val="24"/>
          <w:highlight w:val="none"/>
          <w:u w:val="single"/>
          <w:lang w:val="en-US" w:eastAsia="zh-CN" w:bidi="ar"/>
        </w:rPr>
        <w:t>【条文说明】基坑鉴定范围内支护结构的安全等级，应综合考虑基坑周边环境条件及其变化，岩土工程勘察资料与场地实际工程地质条件、水文地质条件的符合性以及岩土参数在使用期间的变化，基坑深度、施工现场布置、基坑周边荷载限值、地表水和地下水控制要求、基坑工作年限等基坑具体使用要求，根据国家及四川省现行有关标准的规定进行重新划分，并复核原设计文件相应支护范围内所划分的支护结构安全等级。鉴定范围内同一基坑的不同部位可采用不同的安全等级。根据工程实际情况和鉴定需要，支护结构安全等级划分时可采用《建筑地基基础设计规范》 GB 50007、《建筑基坑支护技术规程》JGJ 120、《四川省基坑工程勘察设计技术标准》DBJ51/T 236、《四川省基坑工程施工安全技术标准》DBJ51/T 5072等国家及四川省现行有关技术标准。</w:t>
      </w:r>
    </w:p>
    <w:p w14:paraId="433FDA33">
      <w:pPr>
        <w:pStyle w:val="6"/>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Times New Roman" w:cs="Times New Roman"/>
          <w:b/>
          <w:bCs/>
          <w:color w:val="auto"/>
          <w:spacing w:val="1"/>
          <w:sz w:val="24"/>
          <w:szCs w:val="24"/>
          <w:u w:val="none" w:color="auto"/>
          <w:lang w:val="en-US" w:eastAsia="zh-CN"/>
        </w:rPr>
      </w:pPr>
      <w:r>
        <w:rPr>
          <w:rFonts w:hint="default" w:ascii="Times New Roman" w:hAnsi="Times New Roman" w:eastAsia="Times New Roman" w:cs="Times New Roman"/>
          <w:b/>
          <w:bCs/>
          <w:color w:val="auto"/>
          <w:spacing w:val="1"/>
          <w:sz w:val="24"/>
          <w:szCs w:val="24"/>
          <w:u w:val="none" w:color="auto"/>
          <w:lang w:val="en-US" w:eastAsia="zh-CN"/>
        </w:rPr>
        <w:t xml:space="preserve">4.5.6 </w:t>
      </w:r>
      <w:r>
        <w:rPr>
          <w:rFonts w:hint="default" w:ascii="Times New Roman" w:hAnsi="Times New Roman" w:eastAsia="Times New Roman" w:cs="Times New Roman"/>
          <w:b w:val="0"/>
          <w:bCs w:val="0"/>
          <w:color w:val="auto"/>
          <w:spacing w:val="1"/>
          <w:sz w:val="24"/>
          <w:szCs w:val="24"/>
          <w:u w:val="none" w:color="auto"/>
          <w:lang w:val="en-US" w:eastAsia="zh-CN"/>
        </w:rPr>
        <w:t>基坑放坡支护工程鉴定分析应符合下列规定：</w:t>
      </w:r>
    </w:p>
    <w:p w14:paraId="225C0B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Cs w:val="0"/>
          <w:color w:val="auto"/>
          <w:kern w:val="2"/>
          <w:sz w:val="24"/>
          <w:szCs w:val="24"/>
          <w:highlight w:val="none"/>
          <w:lang w:val="en-US" w:eastAsia="zh-CN" w:bidi="ar"/>
        </w:rPr>
      </w:pPr>
      <w:r>
        <w:rPr>
          <w:rFonts w:hint="default" w:ascii="Times New Roman" w:hAnsi="Times New Roman" w:eastAsia="宋体" w:cs="Times New Roman"/>
          <w:bCs w:val="0"/>
          <w:color w:val="auto"/>
          <w:kern w:val="2"/>
          <w:sz w:val="24"/>
          <w:szCs w:val="24"/>
          <w:highlight w:val="none"/>
          <w:lang w:val="en-US" w:eastAsia="zh-CN" w:bidi="ar"/>
        </w:rPr>
        <w:t>1  根据设计要求对放坡开挖的支护段平面位置、放坡系数、基坑深度、放坡平台、坡面防护及泄水孔设置、截排水等现场检验结果进行分析，当基坑现状边坡质量可能影响基坑安全时，应对基坑放坡滑动安全稳定性进行验算与分析；</w:t>
      </w:r>
    </w:p>
    <w:p w14:paraId="000C20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Cs w:val="0"/>
          <w:color w:val="auto"/>
          <w:kern w:val="2"/>
          <w:sz w:val="24"/>
          <w:szCs w:val="24"/>
          <w:highlight w:val="none"/>
          <w:lang w:val="en-US" w:eastAsia="zh-CN" w:bidi="ar"/>
        </w:rPr>
      </w:pPr>
      <w:r>
        <w:rPr>
          <w:rFonts w:hint="default" w:ascii="Times New Roman" w:hAnsi="Times New Roman" w:eastAsia="宋体" w:cs="Times New Roman"/>
          <w:bCs w:val="0"/>
          <w:color w:val="auto"/>
          <w:kern w:val="2"/>
          <w:sz w:val="24"/>
          <w:szCs w:val="24"/>
          <w:highlight w:val="none"/>
          <w:lang w:val="en-US" w:eastAsia="zh-CN" w:bidi="ar"/>
        </w:rPr>
        <w:t>2  应根据监测成果分析坡顶水平位移和周边环境沉降的累计值和变化速率值，同时宜结合坡顶和基坑开挖影响范围内建（构）筑物、 地面的变形和裂缝的现场检查结果进行综合分析；</w:t>
      </w:r>
    </w:p>
    <w:p w14:paraId="714A13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Cs w:val="0"/>
          <w:color w:val="auto"/>
          <w:kern w:val="2"/>
          <w:sz w:val="24"/>
          <w:szCs w:val="24"/>
          <w:highlight w:val="none"/>
          <w:lang w:val="en-US" w:eastAsia="zh-CN" w:bidi="ar"/>
        </w:rPr>
      </w:pPr>
      <w:r>
        <w:rPr>
          <w:rFonts w:hint="default" w:ascii="Times New Roman" w:hAnsi="Times New Roman" w:eastAsia="宋体" w:cs="Times New Roman"/>
          <w:bCs w:val="0"/>
          <w:color w:val="auto"/>
          <w:kern w:val="2"/>
          <w:sz w:val="24"/>
          <w:szCs w:val="24"/>
          <w:highlight w:val="none"/>
          <w:lang w:val="en-US" w:eastAsia="zh-CN" w:bidi="ar"/>
        </w:rPr>
        <w:t>3  当基坑现状边坡质量检验结果满足设计要求且边坡的圆弧滑动稳定安全系数验算结果不小于现行国家规范和四川省地方标准要求，同时坡顶、基坑开挖影响范围内建（构）筑物、地下管线、道路等市政设施、地面的变形满足设计要求的控制值，基坑处于稳定状态时，应鉴定为基坑放坡区段的安全性能够满足设计要求。</w:t>
      </w:r>
    </w:p>
    <w:p w14:paraId="0DE7EE55">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bCs w:val="0"/>
          <w:color w:val="auto"/>
          <w:kern w:val="2"/>
          <w:sz w:val="24"/>
          <w:szCs w:val="24"/>
          <w:highlight w:val="none"/>
          <w:lang w:val="en-US" w:eastAsia="zh-CN" w:bidi="ar"/>
        </w:rPr>
      </w:pPr>
      <w:r>
        <w:rPr>
          <w:rFonts w:hint="default" w:ascii="Times New Roman" w:hAnsi="Times New Roman" w:eastAsia="楷体" w:cs="Times New Roman"/>
          <w:color w:val="auto"/>
          <w:kern w:val="2"/>
          <w:sz w:val="24"/>
          <w:szCs w:val="24"/>
          <w:highlight w:val="none"/>
          <w:u w:val="single"/>
          <w:lang w:val="en-US" w:eastAsia="zh-CN" w:bidi="ar"/>
        </w:rPr>
        <w:t>【条文说明】（1）本条规定基坑放坡安全性鉴定分析内容与要求，规定基坑放坡开挖现状边坡质量鉴定方法及结论。（2）对基坑放坡区段进行安全性鉴定时，根据现场条件，依据稳定性验算结果、基坑和周边环境的变形分析结果进行综合判定。依据现行行业标准《建筑基坑支护技术规程》JGJ 120的有关规定，基坑处于稳定状态时，基坑放坡部位的圆弧滑动稳定安全系数验算结果不应小于1.2；依据现行四川省工程建设地方标准《四川省基坑工程勘察设计技术标准》DBJ51/T236有关规定，整体稳定安全系数二级基坑不应小于1.25，三级基坑不应小于1.2。（3）当经分析与验算边坡的圆弧滑动稳定安全系数不能够满足设计或相关规范要求时，应鉴定为基坑放坡区段的安全性不能满足设计或相关规范要求，存在安全隐患，需要进行加固处理。</w:t>
      </w:r>
    </w:p>
    <w:p w14:paraId="5DA68824">
      <w:pPr>
        <w:pStyle w:val="6"/>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Times New Roman" w:cs="Times New Roman"/>
          <w:b w:val="0"/>
          <w:bCs w:val="0"/>
          <w:color w:val="auto"/>
          <w:spacing w:val="1"/>
          <w:sz w:val="24"/>
          <w:szCs w:val="24"/>
          <w:u w:val="none" w:color="auto"/>
          <w:lang w:val="en-US" w:eastAsia="zh-CN"/>
        </w:rPr>
      </w:pPr>
      <w:r>
        <w:rPr>
          <w:rFonts w:hint="default" w:ascii="Times New Roman" w:hAnsi="Times New Roman" w:eastAsia="Times New Roman" w:cs="Times New Roman"/>
          <w:b/>
          <w:bCs/>
          <w:color w:val="auto"/>
          <w:spacing w:val="1"/>
          <w:sz w:val="24"/>
          <w:szCs w:val="24"/>
          <w:u w:val="none" w:color="auto"/>
          <w:lang w:val="en-US" w:eastAsia="zh-CN"/>
        </w:rPr>
        <w:t xml:space="preserve">4.5.7 </w:t>
      </w:r>
      <w:r>
        <w:rPr>
          <w:rFonts w:hint="default" w:ascii="Times New Roman" w:hAnsi="Times New Roman" w:eastAsia="Times New Roman" w:cs="Times New Roman"/>
          <w:b w:val="0"/>
          <w:bCs w:val="0"/>
          <w:color w:val="auto"/>
          <w:spacing w:val="1"/>
          <w:sz w:val="24"/>
          <w:szCs w:val="24"/>
          <w:u w:val="none" w:color="auto"/>
          <w:lang w:val="en-US" w:eastAsia="zh-CN"/>
        </w:rPr>
        <w:t>土钉墙或复合土钉墙的稳定性验算应符合下列要求：</w:t>
      </w:r>
    </w:p>
    <w:p w14:paraId="40B6A0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Cs w:val="0"/>
          <w:color w:val="auto"/>
          <w:kern w:val="2"/>
          <w:sz w:val="24"/>
          <w:szCs w:val="24"/>
          <w:highlight w:val="none"/>
          <w:lang w:val="en-US" w:eastAsia="zh-CN" w:bidi="ar"/>
        </w:rPr>
      </w:pPr>
      <w:r>
        <w:rPr>
          <w:rFonts w:hint="default" w:ascii="Times New Roman" w:hAnsi="Times New Roman" w:eastAsia="宋体" w:cs="Times New Roman"/>
          <w:bCs w:val="0"/>
          <w:color w:val="auto"/>
          <w:kern w:val="2"/>
          <w:sz w:val="24"/>
          <w:szCs w:val="24"/>
          <w:highlight w:val="none"/>
          <w:lang w:val="en-US" w:eastAsia="zh-CN" w:bidi="ar"/>
        </w:rPr>
        <w:t>1  应进行基坑整体滑动稳定性验算。当基坑底面以下存在软弱下卧土层时，整体稳定性验算滑动面应包括由圆弧与软弱土层层面组成的复合滑动面；</w:t>
      </w:r>
    </w:p>
    <w:p w14:paraId="5E4BC9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Cs w:val="0"/>
          <w:color w:val="auto"/>
          <w:kern w:val="2"/>
          <w:sz w:val="24"/>
          <w:szCs w:val="24"/>
          <w:highlight w:val="none"/>
          <w:lang w:val="en-US" w:eastAsia="zh-CN" w:bidi="ar"/>
        </w:rPr>
      </w:pPr>
      <w:r>
        <w:rPr>
          <w:rFonts w:hint="default" w:ascii="Times New Roman" w:hAnsi="Times New Roman" w:eastAsia="宋体" w:cs="Times New Roman"/>
          <w:bCs w:val="0"/>
          <w:color w:val="auto"/>
          <w:kern w:val="2"/>
          <w:sz w:val="24"/>
          <w:szCs w:val="24"/>
          <w:highlight w:val="none"/>
          <w:lang w:val="en-US" w:eastAsia="zh-CN" w:bidi="ar"/>
        </w:rPr>
        <w:t xml:space="preserve">2  复合土钉墙整体稳定性验算时，根据具体支护形式，可考虑预应力锚杆（索）、截水帷幕、微型桩、钢板桩等构件的作用； </w:t>
      </w:r>
    </w:p>
    <w:p w14:paraId="0C98A8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Cs w:val="0"/>
          <w:color w:val="auto"/>
          <w:kern w:val="2"/>
          <w:sz w:val="24"/>
          <w:szCs w:val="24"/>
          <w:highlight w:val="none"/>
          <w:lang w:val="en-US" w:eastAsia="zh-CN" w:bidi="ar"/>
        </w:rPr>
      </w:pPr>
      <w:r>
        <w:rPr>
          <w:rFonts w:hint="default" w:ascii="Times New Roman" w:hAnsi="Times New Roman" w:eastAsia="宋体" w:cs="Times New Roman"/>
          <w:bCs w:val="0"/>
          <w:color w:val="auto"/>
          <w:kern w:val="2"/>
          <w:sz w:val="24"/>
          <w:szCs w:val="24"/>
          <w:highlight w:val="none"/>
          <w:lang w:val="en-US" w:eastAsia="zh-CN" w:bidi="ar"/>
        </w:rPr>
        <w:t>3  基坑底面下存在软土层时，应进行坑底隆起稳定性验算；</w:t>
      </w:r>
    </w:p>
    <w:p w14:paraId="1B856B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Cs w:val="0"/>
          <w:color w:val="auto"/>
          <w:kern w:val="2"/>
          <w:sz w:val="24"/>
          <w:szCs w:val="24"/>
          <w:highlight w:val="none"/>
        </w:rPr>
      </w:pPr>
      <w:r>
        <w:rPr>
          <w:rFonts w:hint="default" w:ascii="Times New Roman" w:hAnsi="Times New Roman" w:eastAsia="宋体" w:cs="Times New Roman"/>
          <w:bCs w:val="0"/>
          <w:color w:val="auto"/>
          <w:kern w:val="2"/>
          <w:sz w:val="24"/>
          <w:szCs w:val="24"/>
          <w:highlight w:val="none"/>
          <w:lang w:val="en-US" w:eastAsia="zh-CN" w:bidi="ar"/>
        </w:rPr>
        <w:t>4  有截水帷幕的复合土钉墙，基坑开挖面以下有砂土或粉土等透水性较强土层且截水帷幕未穿透该土层时，应进行地下水渗透稳定性验算。</w:t>
      </w:r>
    </w:p>
    <w:p w14:paraId="2566626C">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楷体" w:cs="Times New Roman"/>
          <w:color w:val="auto"/>
          <w:kern w:val="2"/>
          <w:sz w:val="24"/>
          <w:szCs w:val="24"/>
          <w:highlight w:val="none"/>
          <w:u w:val="single"/>
        </w:rPr>
      </w:pPr>
      <w:r>
        <w:rPr>
          <w:rFonts w:hint="default" w:ascii="Times New Roman" w:hAnsi="Times New Roman" w:eastAsia="楷体" w:cs="Times New Roman"/>
          <w:color w:val="auto"/>
          <w:kern w:val="2"/>
          <w:sz w:val="24"/>
          <w:szCs w:val="24"/>
          <w:highlight w:val="none"/>
          <w:u w:val="single"/>
          <w:lang w:val="en-US" w:eastAsia="zh-CN" w:bidi="ar"/>
        </w:rPr>
        <w:t>【条文说明】本条规定土钉墙与复合土钉墙的稳定性验算要求，包括基坑整体滑动稳定性验算、坑底隆起稳定性验算、地下水渗透稳定性验算，验算方法可按《复合土钉墙基坑支护技术规范》GB 50739、《建筑基坑支护技术规程》JGJ 120等国家现行标准的有关规定执行。</w:t>
      </w:r>
    </w:p>
    <w:p w14:paraId="6EE22FC4">
      <w:pPr>
        <w:pStyle w:val="6"/>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Times New Roman" w:cs="Times New Roman"/>
          <w:b/>
          <w:bCs/>
          <w:color w:val="auto"/>
          <w:spacing w:val="1"/>
          <w:sz w:val="24"/>
          <w:szCs w:val="24"/>
          <w:u w:val="none" w:color="auto"/>
          <w:lang w:val="en-US" w:eastAsia="zh-CN"/>
        </w:rPr>
      </w:pPr>
      <w:r>
        <w:rPr>
          <w:rFonts w:hint="default" w:ascii="Times New Roman" w:hAnsi="Times New Roman" w:eastAsia="Times New Roman" w:cs="Times New Roman"/>
          <w:b/>
          <w:bCs/>
          <w:color w:val="auto"/>
          <w:spacing w:val="1"/>
          <w:sz w:val="24"/>
          <w:szCs w:val="24"/>
          <w:u w:val="none" w:color="auto"/>
          <w:lang w:val="en-US" w:eastAsia="zh-CN"/>
        </w:rPr>
        <w:t xml:space="preserve">4.5.8 </w:t>
      </w:r>
      <w:r>
        <w:rPr>
          <w:rFonts w:hint="default" w:ascii="Times New Roman" w:hAnsi="Times New Roman" w:eastAsia="Times New Roman" w:cs="Times New Roman"/>
          <w:b w:val="0"/>
          <w:bCs w:val="0"/>
          <w:color w:val="auto"/>
          <w:spacing w:val="1"/>
          <w:sz w:val="24"/>
          <w:szCs w:val="24"/>
          <w:u w:val="none" w:color="auto"/>
          <w:lang w:val="en-US" w:eastAsia="zh-CN"/>
        </w:rPr>
        <w:t>土钉、锚杆（索）应进行抗拔承载力验算和杆体受拉承载力验算，计算参数选取应符合下列要求：</w:t>
      </w:r>
    </w:p>
    <w:p w14:paraId="6B1452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Cs w:val="0"/>
          <w:color w:val="auto"/>
          <w:kern w:val="2"/>
          <w:sz w:val="24"/>
          <w:szCs w:val="24"/>
          <w:highlight w:val="none"/>
          <w:lang w:val="en-US" w:eastAsia="zh-CN" w:bidi="ar"/>
        </w:rPr>
      </w:pPr>
      <w:r>
        <w:rPr>
          <w:rFonts w:hint="default" w:ascii="Times New Roman" w:hAnsi="Times New Roman" w:eastAsia="宋体" w:cs="Times New Roman"/>
          <w:bCs w:val="0"/>
          <w:color w:val="auto"/>
          <w:kern w:val="2"/>
          <w:sz w:val="24"/>
          <w:szCs w:val="24"/>
          <w:highlight w:val="none"/>
          <w:lang w:val="en-US" w:eastAsia="zh-CN" w:bidi="ar"/>
        </w:rPr>
        <w:t>1  土钉、锚杆（索）的极限抗拔承载力值应通过抗拔试验确定，无拉拔条件时可引用基坑支护设计或检测验收时数据，同时根据已使用年限结合现场检测情况根据经验折减使用；</w:t>
      </w:r>
    </w:p>
    <w:p w14:paraId="6AD13C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Cs w:val="0"/>
          <w:color w:val="auto"/>
          <w:kern w:val="2"/>
          <w:sz w:val="24"/>
          <w:szCs w:val="24"/>
          <w:highlight w:val="none"/>
          <w:lang w:val="en-US" w:eastAsia="zh-CN" w:bidi="ar"/>
        </w:rPr>
      </w:pPr>
      <w:r>
        <w:rPr>
          <w:rFonts w:hint="default" w:ascii="Times New Roman" w:hAnsi="Times New Roman" w:eastAsia="宋体" w:cs="Times New Roman"/>
          <w:bCs w:val="0"/>
          <w:color w:val="auto"/>
          <w:kern w:val="2"/>
          <w:sz w:val="24"/>
          <w:szCs w:val="24"/>
          <w:highlight w:val="none"/>
          <w:lang w:val="en-US" w:eastAsia="zh-CN" w:bidi="ar"/>
        </w:rPr>
        <w:t>2  杆体截面面积应根据现场测量结果确定；</w:t>
      </w:r>
    </w:p>
    <w:p w14:paraId="2DDA38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Cs w:val="0"/>
          <w:color w:val="auto"/>
          <w:kern w:val="2"/>
          <w:sz w:val="24"/>
          <w:szCs w:val="24"/>
          <w:highlight w:val="none"/>
          <w:lang w:val="en-US" w:eastAsia="zh-CN" w:bidi="ar"/>
        </w:rPr>
      </w:pPr>
      <w:r>
        <w:rPr>
          <w:rFonts w:hint="default" w:ascii="Times New Roman" w:hAnsi="Times New Roman" w:eastAsia="宋体" w:cs="Times New Roman"/>
          <w:bCs w:val="0"/>
          <w:color w:val="auto"/>
          <w:kern w:val="2"/>
          <w:sz w:val="24"/>
          <w:szCs w:val="24"/>
          <w:highlight w:val="none"/>
          <w:lang w:val="en-US" w:eastAsia="zh-CN" w:bidi="ar"/>
        </w:rPr>
        <w:t>3  杆体材料抗拉强度宜根据室内抗拉试验结果确定。</w:t>
      </w:r>
    </w:p>
    <w:p w14:paraId="3A27D4A5">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楷体" w:cs="Times New Roman"/>
          <w:color w:val="auto"/>
          <w:kern w:val="2"/>
          <w:sz w:val="24"/>
          <w:szCs w:val="24"/>
          <w:highlight w:val="none"/>
          <w:u w:val="single"/>
        </w:rPr>
      </w:pPr>
      <w:r>
        <w:rPr>
          <w:rFonts w:hint="default" w:ascii="Times New Roman" w:hAnsi="Times New Roman" w:eastAsia="楷体" w:cs="Times New Roman"/>
          <w:color w:val="auto"/>
          <w:kern w:val="2"/>
          <w:sz w:val="24"/>
          <w:szCs w:val="24"/>
          <w:highlight w:val="none"/>
          <w:u w:val="single"/>
          <w:lang w:val="en-US" w:eastAsia="zh-CN" w:bidi="ar"/>
        </w:rPr>
        <w:t>【条文说明】现场由于种种原因可能土钉或锚杆（索）没有相应预留长度供夹持，无法夹持时，可引用基坑支护设计或检测验收时数据，同时根据已使用年限结合现场检测情况根据经验折减使用，一般杆体锈蚀引起的承载力下降居多，折减系数可根据实测杆体除锈后的直径与原设计杆体的直径的平方比。</w:t>
      </w:r>
    </w:p>
    <w:p w14:paraId="1A8F313B">
      <w:pPr>
        <w:keepNext w:val="0"/>
        <w:keepLines w:val="0"/>
        <w:widowControl w:val="0"/>
        <w:suppressLineNumbers w:val="0"/>
        <w:spacing w:before="0" w:beforeAutospacing="0" w:after="0" w:afterAutospacing="0" w:line="360" w:lineRule="auto"/>
        <w:ind w:left="0" w:leftChars="0" w:right="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b/>
          <w:bCs/>
          <w:color w:val="auto"/>
          <w:kern w:val="2"/>
          <w:sz w:val="24"/>
          <w:szCs w:val="24"/>
          <w:highlight w:val="none"/>
          <w:lang w:val="en-US" w:eastAsia="zh-CN" w:bidi="ar"/>
        </w:rPr>
        <w:t>4.5.</w:t>
      </w:r>
      <w:r>
        <w:rPr>
          <w:rFonts w:hint="default" w:ascii="Times New Roman" w:hAnsi="Times New Roman" w:cs="Times New Roman"/>
          <w:b/>
          <w:bCs/>
          <w:color w:val="auto"/>
          <w:kern w:val="2"/>
          <w:sz w:val="24"/>
          <w:szCs w:val="24"/>
          <w:highlight w:val="none"/>
          <w:lang w:val="en-US" w:eastAsia="zh-CN" w:bidi="ar"/>
        </w:rPr>
        <w:t xml:space="preserve">9 </w:t>
      </w:r>
      <w:r>
        <w:rPr>
          <w:rFonts w:hint="default" w:ascii="Times New Roman" w:hAnsi="Times New Roman" w:eastAsia="宋体" w:cs="Times New Roman"/>
          <w:bCs w:val="0"/>
          <w:color w:val="auto"/>
          <w:kern w:val="2"/>
          <w:sz w:val="24"/>
          <w:szCs w:val="24"/>
          <w:highlight w:val="none"/>
          <w:lang w:val="en-US" w:eastAsia="zh-CN" w:bidi="ar"/>
        </w:rPr>
        <w:t>支挡式结构稳定性验算应符合下列</w:t>
      </w:r>
      <w:r>
        <w:rPr>
          <w:rFonts w:hint="default" w:ascii="Times New Roman" w:hAnsi="Times New Roman" w:cs="Times New Roman"/>
          <w:bCs w:val="0"/>
          <w:color w:val="auto"/>
          <w:kern w:val="2"/>
          <w:sz w:val="24"/>
          <w:szCs w:val="24"/>
          <w:highlight w:val="none"/>
          <w:lang w:val="en-US" w:eastAsia="zh-CN" w:bidi="ar"/>
        </w:rPr>
        <w:t>要求</w:t>
      </w:r>
      <w:r>
        <w:rPr>
          <w:rFonts w:hint="default" w:ascii="Times New Roman" w:hAnsi="Times New Roman" w:eastAsia="宋体" w:cs="Times New Roman"/>
          <w:bCs w:val="0"/>
          <w:color w:val="auto"/>
          <w:kern w:val="2"/>
          <w:sz w:val="24"/>
          <w:szCs w:val="24"/>
          <w:highlight w:val="none"/>
          <w:lang w:val="en-US" w:eastAsia="zh-CN" w:bidi="ar"/>
        </w:rPr>
        <w:t>：</w:t>
      </w:r>
    </w:p>
    <w:p w14:paraId="75142302">
      <w:pPr>
        <w:keepNext w:val="0"/>
        <w:keepLines w:val="0"/>
        <w:widowControl w:val="0"/>
        <w:suppressLineNumbers w:val="0"/>
        <w:spacing w:before="0" w:beforeAutospacing="0" w:after="0" w:afterAutospacing="0" w:line="360" w:lineRule="auto"/>
        <w:ind w:left="0" w:leftChars="0" w:right="0" w:firstLine="420" w:firstLineChars="0"/>
        <w:jc w:val="both"/>
        <w:rPr>
          <w:rFonts w:hint="default" w:ascii="Times New Roman" w:hAnsi="Times New Roman" w:eastAsia="宋体" w:cs="Times New Roman"/>
          <w:bCs w:val="0"/>
          <w:color w:val="auto"/>
          <w:kern w:val="2"/>
          <w:sz w:val="24"/>
          <w:szCs w:val="24"/>
          <w:highlight w:val="none"/>
        </w:rPr>
      </w:pPr>
      <w:r>
        <w:rPr>
          <w:rFonts w:hint="default" w:ascii="Times New Roman" w:hAnsi="Times New Roman" w:eastAsia="宋体" w:cs="Times New Roman"/>
          <w:bCs w:val="0"/>
          <w:color w:val="auto"/>
          <w:kern w:val="2"/>
          <w:sz w:val="24"/>
          <w:szCs w:val="24"/>
          <w:highlight w:val="none"/>
          <w:lang w:val="en-US" w:eastAsia="zh-CN" w:bidi="ar"/>
        </w:rPr>
        <w:t xml:space="preserve">1 </w:t>
      </w:r>
      <w:r>
        <w:rPr>
          <w:rFonts w:hint="default" w:ascii="Times New Roman" w:hAnsi="Times New Roman" w:cs="Times New Roman"/>
          <w:bCs w:val="0"/>
          <w:color w:val="auto"/>
          <w:kern w:val="2"/>
          <w:sz w:val="24"/>
          <w:szCs w:val="24"/>
          <w:highlight w:val="none"/>
          <w:lang w:val="en-US" w:eastAsia="zh-CN" w:bidi="ar"/>
        </w:rPr>
        <w:t xml:space="preserve"> </w:t>
      </w:r>
      <w:r>
        <w:rPr>
          <w:rFonts w:hint="default" w:ascii="Times New Roman" w:hAnsi="Times New Roman" w:eastAsia="宋体" w:cs="Times New Roman"/>
          <w:bCs w:val="0"/>
          <w:color w:val="auto"/>
          <w:kern w:val="2"/>
          <w:sz w:val="24"/>
          <w:szCs w:val="24"/>
          <w:highlight w:val="none"/>
          <w:lang w:val="en-US" w:eastAsia="zh-CN" w:bidi="ar"/>
        </w:rPr>
        <w:t>悬臂式支挡结构、单层锚拉式支挡结构和单层支撑式支挡结构、双排桩应进行嵌固稳定性验算</w:t>
      </w:r>
      <w:r>
        <w:rPr>
          <w:rFonts w:hint="default" w:ascii="Times New Roman" w:hAnsi="Times New Roman" w:cs="Times New Roman"/>
          <w:bCs w:val="0"/>
          <w:color w:val="auto"/>
          <w:kern w:val="2"/>
          <w:sz w:val="24"/>
          <w:szCs w:val="24"/>
          <w:highlight w:val="none"/>
          <w:lang w:val="en-US" w:eastAsia="zh-CN" w:bidi="ar"/>
        </w:rPr>
        <w:t>；</w:t>
      </w:r>
    </w:p>
    <w:p w14:paraId="09F8177D">
      <w:pPr>
        <w:keepNext w:val="0"/>
        <w:keepLines w:val="0"/>
        <w:widowControl w:val="0"/>
        <w:suppressLineNumbers w:val="0"/>
        <w:spacing w:before="0" w:beforeAutospacing="0" w:after="0" w:afterAutospacing="0" w:line="360" w:lineRule="auto"/>
        <w:ind w:left="0" w:leftChars="0" w:right="0" w:firstLine="420" w:firstLineChars="0"/>
        <w:jc w:val="both"/>
        <w:rPr>
          <w:rFonts w:hint="default" w:ascii="Times New Roman" w:hAnsi="Times New Roman" w:eastAsia="宋体" w:cs="Times New Roman"/>
          <w:bCs w:val="0"/>
          <w:color w:val="auto"/>
          <w:kern w:val="2"/>
          <w:sz w:val="24"/>
          <w:szCs w:val="24"/>
          <w:highlight w:val="none"/>
        </w:rPr>
      </w:pPr>
      <w:r>
        <w:rPr>
          <w:rFonts w:hint="default" w:ascii="Times New Roman" w:hAnsi="Times New Roman" w:eastAsia="宋体" w:cs="Times New Roman"/>
          <w:bCs w:val="0"/>
          <w:color w:val="auto"/>
          <w:kern w:val="2"/>
          <w:sz w:val="24"/>
          <w:szCs w:val="24"/>
          <w:highlight w:val="none"/>
          <w:lang w:val="en-US" w:eastAsia="zh-CN" w:bidi="ar"/>
        </w:rPr>
        <w:t xml:space="preserve">2 </w:t>
      </w:r>
      <w:r>
        <w:rPr>
          <w:rFonts w:hint="default" w:ascii="Times New Roman" w:hAnsi="Times New Roman" w:cs="Times New Roman"/>
          <w:bCs w:val="0"/>
          <w:color w:val="auto"/>
          <w:kern w:val="2"/>
          <w:sz w:val="24"/>
          <w:szCs w:val="24"/>
          <w:highlight w:val="none"/>
          <w:lang w:val="en-US" w:eastAsia="zh-CN" w:bidi="ar"/>
        </w:rPr>
        <w:t xml:space="preserve"> </w:t>
      </w:r>
      <w:r>
        <w:rPr>
          <w:rFonts w:hint="default" w:ascii="Times New Roman" w:hAnsi="Times New Roman" w:eastAsia="宋体" w:cs="Times New Roman"/>
          <w:bCs w:val="0"/>
          <w:color w:val="auto"/>
          <w:kern w:val="2"/>
          <w:sz w:val="24"/>
          <w:szCs w:val="24"/>
          <w:highlight w:val="none"/>
          <w:lang w:val="en-US" w:eastAsia="zh-CN" w:bidi="ar"/>
        </w:rPr>
        <w:t>悬臂式支挡结构、锚拉式支挡结构、支撑式支挡结构、双排桩应进行整体滑动稳定性验算。当挡土构件底端以下存在软弱下卧土层时，整体稳定性验算滑动面中应包括由圆弧与软弱土层层面组成的复合滑动面</w:t>
      </w:r>
      <w:r>
        <w:rPr>
          <w:rFonts w:hint="default" w:ascii="Times New Roman" w:hAnsi="Times New Roman" w:cs="Times New Roman"/>
          <w:bCs w:val="0"/>
          <w:color w:val="auto"/>
          <w:kern w:val="2"/>
          <w:sz w:val="24"/>
          <w:szCs w:val="24"/>
          <w:highlight w:val="none"/>
          <w:lang w:val="en-US" w:eastAsia="zh-CN" w:bidi="ar"/>
        </w:rPr>
        <w:t>；</w:t>
      </w:r>
      <w:r>
        <w:rPr>
          <w:rFonts w:hint="default" w:ascii="Times New Roman" w:hAnsi="Times New Roman" w:eastAsia="宋体" w:cs="Times New Roman"/>
          <w:bCs w:val="0"/>
          <w:color w:val="auto"/>
          <w:kern w:val="2"/>
          <w:sz w:val="24"/>
          <w:szCs w:val="24"/>
          <w:highlight w:val="none"/>
          <w:lang w:val="en-US" w:eastAsia="zh-CN" w:bidi="ar"/>
        </w:rPr>
        <w:t xml:space="preserve"> </w:t>
      </w:r>
    </w:p>
    <w:p w14:paraId="26493962">
      <w:pPr>
        <w:keepNext w:val="0"/>
        <w:keepLines w:val="0"/>
        <w:widowControl w:val="0"/>
        <w:suppressLineNumbers w:val="0"/>
        <w:spacing w:before="0" w:beforeAutospacing="0" w:after="0" w:afterAutospacing="0" w:line="360" w:lineRule="auto"/>
        <w:ind w:left="0" w:leftChars="0" w:right="0" w:firstLine="420" w:firstLineChars="0"/>
        <w:jc w:val="both"/>
        <w:rPr>
          <w:rFonts w:hint="default" w:ascii="Times New Roman" w:hAnsi="Times New Roman" w:eastAsia="宋体" w:cs="Times New Roman"/>
          <w:bCs w:val="0"/>
          <w:color w:val="auto"/>
          <w:kern w:val="2"/>
          <w:sz w:val="24"/>
          <w:szCs w:val="24"/>
          <w:highlight w:val="none"/>
        </w:rPr>
      </w:pPr>
      <w:r>
        <w:rPr>
          <w:rFonts w:hint="default" w:ascii="Times New Roman" w:hAnsi="Times New Roman" w:eastAsia="宋体" w:cs="Times New Roman"/>
          <w:bCs w:val="0"/>
          <w:color w:val="auto"/>
          <w:kern w:val="2"/>
          <w:sz w:val="24"/>
          <w:szCs w:val="24"/>
          <w:highlight w:val="none"/>
          <w:lang w:val="en-US" w:eastAsia="zh-CN" w:bidi="ar"/>
        </w:rPr>
        <w:t xml:space="preserve">3 </w:t>
      </w:r>
      <w:r>
        <w:rPr>
          <w:rFonts w:hint="default" w:ascii="Times New Roman" w:hAnsi="Times New Roman" w:cs="Times New Roman"/>
          <w:bCs w:val="0"/>
          <w:color w:val="auto"/>
          <w:kern w:val="2"/>
          <w:sz w:val="24"/>
          <w:szCs w:val="24"/>
          <w:highlight w:val="none"/>
          <w:lang w:val="en-US" w:eastAsia="zh-CN" w:bidi="ar"/>
        </w:rPr>
        <w:t xml:space="preserve"> </w:t>
      </w:r>
      <w:r>
        <w:rPr>
          <w:rFonts w:hint="default" w:ascii="Times New Roman" w:hAnsi="Times New Roman" w:eastAsia="宋体" w:cs="Times New Roman"/>
          <w:bCs w:val="0"/>
          <w:color w:val="auto"/>
          <w:kern w:val="2"/>
          <w:sz w:val="24"/>
          <w:szCs w:val="24"/>
          <w:highlight w:val="none"/>
          <w:lang w:val="en-US" w:eastAsia="zh-CN" w:bidi="ar"/>
        </w:rPr>
        <w:t>锚拉式支挡结构和支撑式支挡结构应进行坑底隆起稳定性验算。当挡土构件底面以下有软弱下卧层时，坑底隆起稳定性的验算部位尚应包括软弱下卧层</w:t>
      </w:r>
      <w:r>
        <w:rPr>
          <w:rFonts w:hint="default" w:ascii="Times New Roman" w:hAnsi="Times New Roman" w:cs="Times New Roman"/>
          <w:bCs w:val="0"/>
          <w:color w:val="auto"/>
          <w:kern w:val="2"/>
          <w:sz w:val="24"/>
          <w:szCs w:val="24"/>
          <w:highlight w:val="none"/>
          <w:lang w:val="en-US" w:eastAsia="zh-CN" w:bidi="ar"/>
        </w:rPr>
        <w:t>；</w:t>
      </w:r>
    </w:p>
    <w:p w14:paraId="4E5922EC">
      <w:pPr>
        <w:keepNext w:val="0"/>
        <w:keepLines w:val="0"/>
        <w:widowControl w:val="0"/>
        <w:suppressLineNumbers w:val="0"/>
        <w:spacing w:before="0" w:beforeAutospacing="0" w:after="0" w:afterAutospacing="0" w:line="360" w:lineRule="auto"/>
        <w:ind w:left="0" w:leftChars="0" w:right="0" w:firstLine="420" w:firstLineChars="0"/>
        <w:jc w:val="both"/>
        <w:rPr>
          <w:rFonts w:hint="default" w:ascii="Times New Roman" w:hAnsi="Times New Roman" w:eastAsia="宋体" w:cs="Times New Roman"/>
          <w:bCs w:val="0"/>
          <w:color w:val="auto"/>
          <w:kern w:val="2"/>
          <w:sz w:val="24"/>
          <w:szCs w:val="24"/>
          <w:highlight w:val="none"/>
        </w:rPr>
      </w:pPr>
      <w:r>
        <w:rPr>
          <w:rFonts w:hint="default" w:ascii="Times New Roman" w:hAnsi="Times New Roman" w:eastAsia="宋体" w:cs="Times New Roman"/>
          <w:bCs w:val="0"/>
          <w:color w:val="auto"/>
          <w:kern w:val="2"/>
          <w:sz w:val="24"/>
          <w:szCs w:val="24"/>
          <w:highlight w:val="none"/>
          <w:lang w:val="en-US" w:eastAsia="zh-CN" w:bidi="ar"/>
        </w:rPr>
        <w:t xml:space="preserve">4 </w:t>
      </w:r>
      <w:r>
        <w:rPr>
          <w:rFonts w:hint="default" w:ascii="Times New Roman" w:hAnsi="Times New Roman" w:cs="Times New Roman"/>
          <w:bCs w:val="0"/>
          <w:color w:val="auto"/>
          <w:kern w:val="2"/>
          <w:sz w:val="24"/>
          <w:szCs w:val="24"/>
          <w:highlight w:val="none"/>
          <w:lang w:val="en-US" w:eastAsia="zh-CN" w:bidi="ar"/>
        </w:rPr>
        <w:t xml:space="preserve"> </w:t>
      </w:r>
      <w:r>
        <w:rPr>
          <w:rFonts w:hint="default" w:ascii="Times New Roman" w:hAnsi="Times New Roman" w:eastAsia="宋体" w:cs="Times New Roman"/>
          <w:bCs w:val="0"/>
          <w:color w:val="auto"/>
          <w:kern w:val="2"/>
          <w:sz w:val="24"/>
          <w:szCs w:val="24"/>
          <w:highlight w:val="none"/>
          <w:lang w:val="en-US" w:eastAsia="zh-CN" w:bidi="ar"/>
        </w:rPr>
        <w:t>锚拉式支挡结构和支撑式支挡结构，当坑底以下为软土时，应进行以最下层支点为轴心的圆弧滑动稳定性验算</w:t>
      </w:r>
      <w:r>
        <w:rPr>
          <w:rFonts w:hint="default" w:ascii="Times New Roman" w:hAnsi="Times New Roman" w:cs="Times New Roman"/>
          <w:bCs w:val="0"/>
          <w:color w:val="auto"/>
          <w:kern w:val="2"/>
          <w:sz w:val="24"/>
          <w:szCs w:val="24"/>
          <w:highlight w:val="none"/>
          <w:lang w:val="en-US" w:eastAsia="zh-CN" w:bidi="ar"/>
        </w:rPr>
        <w:t>；</w:t>
      </w:r>
    </w:p>
    <w:p w14:paraId="0D4D9063">
      <w:pPr>
        <w:keepNext w:val="0"/>
        <w:keepLines w:val="0"/>
        <w:widowControl w:val="0"/>
        <w:suppressLineNumbers w:val="0"/>
        <w:spacing w:before="0" w:beforeAutospacing="0" w:after="0" w:afterAutospacing="0" w:line="360" w:lineRule="auto"/>
        <w:ind w:left="0" w:leftChars="0" w:right="0" w:firstLine="420" w:firstLineChars="0"/>
        <w:jc w:val="both"/>
        <w:rPr>
          <w:rFonts w:hint="default" w:ascii="Times New Roman" w:hAnsi="Times New Roman" w:eastAsia="宋体" w:cs="Times New Roman"/>
          <w:bCs w:val="0"/>
          <w:color w:val="auto"/>
          <w:kern w:val="2"/>
          <w:sz w:val="24"/>
          <w:szCs w:val="24"/>
          <w:highlight w:val="none"/>
        </w:rPr>
      </w:pPr>
      <w:r>
        <w:rPr>
          <w:rFonts w:hint="default" w:ascii="Times New Roman" w:hAnsi="Times New Roman" w:eastAsia="宋体" w:cs="Times New Roman"/>
          <w:bCs w:val="0"/>
          <w:color w:val="auto"/>
          <w:kern w:val="2"/>
          <w:sz w:val="24"/>
          <w:szCs w:val="24"/>
          <w:highlight w:val="none"/>
          <w:lang w:val="en-US" w:eastAsia="zh-CN" w:bidi="ar"/>
        </w:rPr>
        <w:t xml:space="preserve">5 </w:t>
      </w:r>
      <w:r>
        <w:rPr>
          <w:rFonts w:hint="default" w:ascii="Times New Roman" w:hAnsi="Times New Roman" w:cs="Times New Roman"/>
          <w:bCs w:val="0"/>
          <w:color w:val="auto"/>
          <w:kern w:val="2"/>
          <w:sz w:val="24"/>
          <w:szCs w:val="24"/>
          <w:highlight w:val="none"/>
          <w:lang w:val="en-US" w:eastAsia="zh-CN" w:bidi="ar"/>
        </w:rPr>
        <w:t xml:space="preserve"> </w:t>
      </w:r>
      <w:r>
        <w:rPr>
          <w:rFonts w:hint="default" w:ascii="Times New Roman" w:hAnsi="Times New Roman" w:eastAsia="宋体" w:cs="Times New Roman"/>
          <w:bCs w:val="0"/>
          <w:color w:val="auto"/>
          <w:kern w:val="2"/>
          <w:sz w:val="24"/>
          <w:szCs w:val="24"/>
          <w:highlight w:val="none"/>
          <w:lang w:val="en-US" w:eastAsia="zh-CN" w:bidi="ar"/>
        </w:rPr>
        <w:t>采用悬挂式截水帷幕或坑底以下存在水头高于坑底的承压水含水层时，支挡结构应进行地下水渗透稳定性验算。</w:t>
      </w:r>
    </w:p>
    <w:p w14:paraId="5FD273D6">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楷体" w:cs="Times New Roman"/>
          <w:color w:val="auto"/>
          <w:kern w:val="2"/>
          <w:sz w:val="24"/>
          <w:szCs w:val="24"/>
          <w:highlight w:val="none"/>
          <w:u w:val="single"/>
        </w:rPr>
      </w:pPr>
      <w:r>
        <w:rPr>
          <w:rFonts w:hint="default" w:ascii="Times New Roman" w:hAnsi="Times New Roman" w:eastAsia="楷体" w:cs="Times New Roman"/>
          <w:color w:val="auto"/>
          <w:kern w:val="2"/>
          <w:sz w:val="24"/>
          <w:szCs w:val="24"/>
          <w:highlight w:val="none"/>
          <w:u w:val="single"/>
          <w:lang w:val="en-US" w:eastAsia="zh-CN" w:bidi="ar"/>
        </w:rPr>
        <w:t>【条文说明】支挡式结构可分为锚拉式支挡结构、支撑式支挡结构、悬臂式支挡结构、双排桩等结构形式。本条规定支挡式结构应根据具体形式对嵌固稳定性、整体滑动稳定性、坑底隆起稳定性、地下水渗透稳定性等有关稳定性进行验算要求，验算方法可按《建筑地基基础设计规范》GB 50007、《建筑基坑支护技术规程》JGJ 120 等国家现行标准的有关规定执行。</w:t>
      </w:r>
    </w:p>
    <w:p w14:paraId="7169ECAB">
      <w:pPr>
        <w:keepNext w:val="0"/>
        <w:keepLines w:val="0"/>
        <w:widowControl w:val="0"/>
        <w:suppressLineNumbers w:val="0"/>
        <w:spacing w:before="0" w:beforeAutospacing="0" w:after="0" w:afterAutospacing="0" w:line="360" w:lineRule="auto"/>
        <w:ind w:right="0"/>
        <w:jc w:val="both"/>
        <w:rPr>
          <w:rFonts w:hint="default" w:ascii="Times New Roman" w:hAnsi="Times New Roman" w:eastAsia="宋体" w:cs="Times New Roman"/>
          <w:bCs w:val="0"/>
          <w:color w:val="auto"/>
          <w:kern w:val="2"/>
          <w:sz w:val="24"/>
          <w:szCs w:val="24"/>
          <w:highlight w:val="none"/>
        </w:rPr>
      </w:pPr>
      <w:r>
        <w:rPr>
          <w:rFonts w:hint="default" w:ascii="Times New Roman" w:hAnsi="Times New Roman" w:eastAsia="宋体" w:cs="Times New Roman"/>
          <w:b/>
          <w:bCs/>
          <w:color w:val="auto"/>
          <w:kern w:val="2"/>
          <w:sz w:val="24"/>
          <w:szCs w:val="24"/>
          <w:highlight w:val="none"/>
          <w:lang w:val="en-US" w:eastAsia="zh-CN" w:bidi="ar"/>
        </w:rPr>
        <w:t>4.5.</w:t>
      </w:r>
      <w:r>
        <w:rPr>
          <w:rFonts w:hint="default" w:ascii="Times New Roman" w:hAnsi="Times New Roman" w:cs="Times New Roman"/>
          <w:b/>
          <w:bCs/>
          <w:color w:val="auto"/>
          <w:kern w:val="2"/>
          <w:sz w:val="24"/>
          <w:szCs w:val="24"/>
          <w:highlight w:val="none"/>
          <w:lang w:val="en-US" w:eastAsia="zh-CN" w:bidi="ar"/>
        </w:rPr>
        <w:t xml:space="preserve">10 </w:t>
      </w:r>
      <w:r>
        <w:rPr>
          <w:rFonts w:hint="default" w:ascii="Times New Roman" w:hAnsi="Times New Roman" w:eastAsia="宋体" w:cs="Times New Roman"/>
          <w:bCs w:val="0"/>
          <w:color w:val="auto"/>
          <w:kern w:val="2"/>
          <w:sz w:val="24"/>
          <w:szCs w:val="24"/>
          <w:highlight w:val="none"/>
          <w:lang w:val="en-US" w:eastAsia="zh-CN" w:bidi="ar"/>
        </w:rPr>
        <w:t>支挡式结构构件承载力验算应符合下列</w:t>
      </w:r>
      <w:r>
        <w:rPr>
          <w:rFonts w:hint="default" w:ascii="Times New Roman" w:hAnsi="Times New Roman" w:cs="Times New Roman"/>
          <w:bCs w:val="0"/>
          <w:color w:val="auto"/>
          <w:kern w:val="2"/>
          <w:sz w:val="24"/>
          <w:szCs w:val="24"/>
          <w:highlight w:val="none"/>
          <w:lang w:val="en-US" w:eastAsia="zh-CN" w:bidi="ar"/>
        </w:rPr>
        <w:t>要求</w:t>
      </w:r>
      <w:r>
        <w:rPr>
          <w:rFonts w:hint="default" w:ascii="Times New Roman" w:hAnsi="Times New Roman" w:eastAsia="宋体" w:cs="Times New Roman"/>
          <w:bCs w:val="0"/>
          <w:color w:val="auto"/>
          <w:kern w:val="2"/>
          <w:sz w:val="24"/>
          <w:szCs w:val="24"/>
          <w:highlight w:val="none"/>
          <w:lang w:val="en-US" w:eastAsia="zh-CN" w:bidi="ar"/>
        </w:rPr>
        <w:t>：</w:t>
      </w:r>
    </w:p>
    <w:p w14:paraId="3A01972F">
      <w:pPr>
        <w:keepNext w:val="0"/>
        <w:keepLines w:val="0"/>
        <w:widowControl w:val="0"/>
        <w:suppressLineNumbers w:val="0"/>
        <w:spacing w:before="0" w:beforeAutospacing="0" w:after="0" w:afterAutospacing="0" w:line="360" w:lineRule="auto"/>
        <w:ind w:left="0" w:leftChars="0" w:right="0" w:firstLine="420" w:firstLineChars="0"/>
        <w:jc w:val="both"/>
        <w:rPr>
          <w:rFonts w:hint="default" w:ascii="Times New Roman" w:hAnsi="Times New Roman" w:eastAsia="宋体" w:cs="Times New Roman"/>
          <w:bCs w:val="0"/>
          <w:color w:val="auto"/>
          <w:kern w:val="2"/>
          <w:sz w:val="24"/>
          <w:szCs w:val="24"/>
          <w:highlight w:val="none"/>
        </w:rPr>
      </w:pPr>
      <w:r>
        <w:rPr>
          <w:rFonts w:hint="default" w:ascii="Times New Roman" w:hAnsi="Times New Roman" w:eastAsia="宋体" w:cs="Times New Roman"/>
          <w:bCs w:val="0"/>
          <w:color w:val="auto"/>
          <w:kern w:val="2"/>
          <w:sz w:val="24"/>
          <w:szCs w:val="24"/>
          <w:highlight w:val="none"/>
          <w:lang w:val="en-US" w:eastAsia="zh-CN" w:bidi="ar"/>
        </w:rPr>
        <w:t xml:space="preserve">1 </w:t>
      </w:r>
      <w:r>
        <w:rPr>
          <w:rFonts w:hint="default" w:ascii="Times New Roman" w:hAnsi="Times New Roman" w:cs="Times New Roman"/>
          <w:bCs w:val="0"/>
          <w:color w:val="auto"/>
          <w:kern w:val="2"/>
          <w:sz w:val="24"/>
          <w:szCs w:val="24"/>
          <w:highlight w:val="none"/>
          <w:lang w:val="en-US" w:eastAsia="zh-CN" w:bidi="ar"/>
        </w:rPr>
        <w:t xml:space="preserve"> </w:t>
      </w:r>
      <w:r>
        <w:rPr>
          <w:rFonts w:hint="default" w:ascii="Times New Roman" w:hAnsi="Times New Roman" w:eastAsia="宋体" w:cs="Times New Roman"/>
          <w:bCs w:val="0"/>
          <w:color w:val="auto"/>
          <w:kern w:val="2"/>
          <w:sz w:val="24"/>
          <w:szCs w:val="24"/>
          <w:highlight w:val="none"/>
          <w:lang w:val="en-US" w:eastAsia="zh-CN" w:bidi="ar"/>
        </w:rPr>
        <w:t xml:space="preserve">排桩、双排桩、钢管桩、钢板桩、地下连续墙等挡土结构构件应进行正截面受弯承载力和斜截面受剪承载力验算； </w:t>
      </w:r>
    </w:p>
    <w:p w14:paraId="0DACF1F6">
      <w:pPr>
        <w:keepNext w:val="0"/>
        <w:keepLines w:val="0"/>
        <w:widowControl w:val="0"/>
        <w:suppressLineNumbers w:val="0"/>
        <w:spacing w:before="0" w:beforeAutospacing="0" w:after="0" w:afterAutospacing="0" w:line="360" w:lineRule="auto"/>
        <w:ind w:left="0" w:leftChars="0" w:right="0" w:firstLine="420" w:firstLineChars="0"/>
        <w:jc w:val="both"/>
        <w:rPr>
          <w:rFonts w:hint="default" w:ascii="Times New Roman" w:hAnsi="Times New Roman" w:eastAsia="宋体" w:cs="Times New Roman"/>
          <w:bCs w:val="0"/>
          <w:color w:val="auto"/>
          <w:kern w:val="2"/>
          <w:sz w:val="24"/>
          <w:szCs w:val="24"/>
          <w:highlight w:val="none"/>
        </w:rPr>
      </w:pPr>
      <w:r>
        <w:rPr>
          <w:rFonts w:hint="default" w:ascii="Times New Roman" w:hAnsi="Times New Roman" w:eastAsia="宋体" w:cs="Times New Roman"/>
          <w:bCs w:val="0"/>
          <w:color w:val="auto"/>
          <w:kern w:val="2"/>
          <w:sz w:val="24"/>
          <w:szCs w:val="24"/>
          <w:highlight w:val="none"/>
          <w:lang w:val="en-US" w:eastAsia="zh-CN" w:bidi="ar"/>
        </w:rPr>
        <w:t xml:space="preserve">2 </w:t>
      </w:r>
      <w:r>
        <w:rPr>
          <w:rFonts w:hint="default" w:ascii="Times New Roman" w:hAnsi="Times New Roman" w:cs="Times New Roman"/>
          <w:bCs w:val="0"/>
          <w:color w:val="auto"/>
          <w:kern w:val="2"/>
          <w:sz w:val="24"/>
          <w:szCs w:val="24"/>
          <w:highlight w:val="none"/>
          <w:lang w:val="en-US" w:eastAsia="zh-CN" w:bidi="ar"/>
        </w:rPr>
        <w:t xml:space="preserve"> </w:t>
      </w:r>
      <w:r>
        <w:rPr>
          <w:rFonts w:hint="default" w:ascii="Times New Roman" w:hAnsi="Times New Roman" w:eastAsia="宋体" w:cs="Times New Roman"/>
          <w:bCs w:val="0"/>
          <w:color w:val="auto"/>
          <w:kern w:val="2"/>
          <w:sz w:val="24"/>
          <w:szCs w:val="24"/>
          <w:highlight w:val="none"/>
          <w:lang w:val="en-US" w:eastAsia="zh-CN" w:bidi="ar"/>
        </w:rPr>
        <w:t>双排桩尚应按偏心受压、偏心受拉构件进行支护桩的截面承载力验算，连梁应根据其跨高比按普通受弯构件或深受弯构件进行截面承载力验算；</w:t>
      </w:r>
    </w:p>
    <w:p w14:paraId="7CF2768F">
      <w:pPr>
        <w:keepNext w:val="0"/>
        <w:keepLines w:val="0"/>
        <w:widowControl w:val="0"/>
        <w:suppressLineNumbers w:val="0"/>
        <w:spacing w:before="0" w:beforeAutospacing="0" w:after="0" w:afterAutospacing="0" w:line="360" w:lineRule="auto"/>
        <w:ind w:left="0" w:leftChars="0" w:right="0" w:firstLine="420" w:firstLineChars="0"/>
        <w:jc w:val="both"/>
        <w:rPr>
          <w:rFonts w:hint="default" w:ascii="Times New Roman" w:hAnsi="Times New Roman" w:eastAsia="宋体" w:cs="Times New Roman"/>
          <w:bCs w:val="0"/>
          <w:color w:val="auto"/>
          <w:kern w:val="2"/>
          <w:sz w:val="24"/>
          <w:szCs w:val="24"/>
          <w:highlight w:val="none"/>
        </w:rPr>
      </w:pPr>
      <w:r>
        <w:rPr>
          <w:rFonts w:hint="default" w:ascii="Times New Roman" w:hAnsi="Times New Roman" w:eastAsia="宋体" w:cs="Times New Roman"/>
          <w:bCs w:val="0"/>
          <w:color w:val="auto"/>
          <w:kern w:val="2"/>
          <w:sz w:val="24"/>
          <w:szCs w:val="24"/>
          <w:highlight w:val="none"/>
          <w:lang w:val="en-US" w:eastAsia="zh-CN" w:bidi="ar"/>
        </w:rPr>
        <w:t xml:space="preserve">3 </w:t>
      </w:r>
      <w:r>
        <w:rPr>
          <w:rFonts w:hint="default" w:ascii="Times New Roman" w:hAnsi="Times New Roman" w:cs="Times New Roman"/>
          <w:bCs w:val="0"/>
          <w:color w:val="auto"/>
          <w:kern w:val="2"/>
          <w:sz w:val="24"/>
          <w:szCs w:val="24"/>
          <w:highlight w:val="none"/>
          <w:lang w:val="en-US" w:eastAsia="zh-CN" w:bidi="ar"/>
        </w:rPr>
        <w:t xml:space="preserve"> </w:t>
      </w:r>
      <w:r>
        <w:rPr>
          <w:rFonts w:hint="default" w:ascii="Times New Roman" w:hAnsi="Times New Roman" w:eastAsia="宋体" w:cs="Times New Roman"/>
          <w:bCs w:val="0"/>
          <w:color w:val="auto"/>
          <w:kern w:val="2"/>
          <w:sz w:val="24"/>
          <w:szCs w:val="24"/>
          <w:highlight w:val="none"/>
          <w:lang w:val="en-US" w:eastAsia="zh-CN" w:bidi="ar"/>
        </w:rPr>
        <w:t>内支撑构件及其连接应进行受压、受弯、受剪承载力和稳定性验算。</w:t>
      </w:r>
    </w:p>
    <w:p w14:paraId="07B815DB">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楷体" w:cs="Times New Roman"/>
          <w:color w:val="auto"/>
          <w:kern w:val="2"/>
          <w:sz w:val="24"/>
          <w:szCs w:val="24"/>
          <w:highlight w:val="none"/>
          <w:u w:val="single"/>
        </w:rPr>
      </w:pPr>
      <w:r>
        <w:rPr>
          <w:rFonts w:hint="default" w:ascii="Times New Roman" w:hAnsi="Times New Roman" w:eastAsia="楷体" w:cs="Times New Roman"/>
          <w:color w:val="auto"/>
          <w:kern w:val="2"/>
          <w:sz w:val="24"/>
          <w:szCs w:val="24"/>
          <w:highlight w:val="none"/>
          <w:u w:val="single"/>
          <w:lang w:val="en-US" w:eastAsia="zh-CN" w:bidi="ar"/>
        </w:rPr>
        <w:t>【条文说明】本条规定支挡式支护结构中挡土结构构件承载力验算要求。支挡式支护结构中挡土结构包括：排桩、双排桩、地下连续墙。排桩可采用混凝土灌注桩或混凝土预制桩，钢管桩、钢板桩等桩型。</w:t>
      </w:r>
    </w:p>
    <w:p w14:paraId="2E3A5860">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楷体" w:cs="Times New Roman"/>
          <w:color w:val="auto"/>
          <w:kern w:val="2"/>
          <w:sz w:val="24"/>
          <w:szCs w:val="24"/>
          <w:highlight w:val="none"/>
          <w:u w:val="single"/>
        </w:rPr>
      </w:pPr>
      <w:r>
        <w:rPr>
          <w:rFonts w:hint="default" w:ascii="Times New Roman" w:hAnsi="Times New Roman" w:eastAsia="楷体" w:cs="Times New Roman"/>
          <w:color w:val="auto"/>
          <w:kern w:val="2"/>
          <w:sz w:val="24"/>
          <w:szCs w:val="24"/>
          <w:highlight w:val="none"/>
          <w:u w:val="single"/>
          <w:lang w:val="en-US" w:eastAsia="zh-CN" w:bidi="ar"/>
        </w:rPr>
        <w:t>相关验算按现行行业标准《建筑基坑支护技术规程》JGJ 120及《四川省基坑工程勘察设计技术标准》DBJ51/T236的有关规定计算。</w:t>
      </w:r>
    </w:p>
    <w:p w14:paraId="2A5356C4">
      <w:pPr>
        <w:keepNext w:val="0"/>
        <w:keepLines w:val="0"/>
        <w:widowControl w:val="0"/>
        <w:suppressLineNumbers w:val="0"/>
        <w:spacing w:before="0" w:beforeAutospacing="0" w:after="0" w:afterAutospacing="0" w:line="360" w:lineRule="auto"/>
        <w:ind w:left="0" w:leftChars="0" w:right="0"/>
        <w:jc w:val="both"/>
        <w:rPr>
          <w:rFonts w:hint="default" w:ascii="Times New Roman" w:hAnsi="Times New Roman" w:eastAsia="宋体" w:cs="Times New Roman"/>
          <w:b/>
          <w:bCs/>
          <w:color w:val="auto"/>
          <w:kern w:val="2"/>
          <w:sz w:val="24"/>
          <w:szCs w:val="24"/>
          <w:highlight w:val="none"/>
          <w:lang w:val="en-US" w:eastAsia="zh-CN" w:bidi="ar"/>
        </w:rPr>
      </w:pPr>
      <w:r>
        <w:rPr>
          <w:rFonts w:hint="default" w:ascii="Times New Roman" w:hAnsi="Times New Roman" w:eastAsia="宋体" w:cs="Times New Roman"/>
          <w:b/>
          <w:bCs/>
          <w:color w:val="auto"/>
          <w:kern w:val="2"/>
          <w:sz w:val="24"/>
          <w:szCs w:val="24"/>
          <w:highlight w:val="none"/>
          <w:lang w:val="en-US" w:eastAsia="zh-CN" w:bidi="ar"/>
        </w:rPr>
        <w:t xml:space="preserve">4.5.11 </w:t>
      </w:r>
      <w:r>
        <w:rPr>
          <w:rFonts w:hint="default" w:ascii="Times New Roman" w:hAnsi="Times New Roman" w:eastAsia="宋体" w:cs="Times New Roman"/>
          <w:b w:val="0"/>
          <w:bCs w:val="0"/>
          <w:color w:val="auto"/>
          <w:kern w:val="2"/>
          <w:sz w:val="24"/>
          <w:szCs w:val="24"/>
          <w:highlight w:val="none"/>
          <w:lang w:val="en-US" w:eastAsia="zh-CN" w:bidi="ar"/>
        </w:rPr>
        <w:t>支护结构受力和变形、周边环境</w:t>
      </w:r>
      <w:r>
        <w:rPr>
          <w:rFonts w:hint="default" w:ascii="Times New Roman" w:hAnsi="Times New Roman" w:cs="Times New Roman"/>
          <w:b w:val="0"/>
          <w:bCs w:val="0"/>
          <w:color w:val="auto"/>
          <w:kern w:val="2"/>
          <w:sz w:val="24"/>
          <w:szCs w:val="24"/>
          <w:highlight w:val="none"/>
          <w:lang w:val="en-US" w:eastAsia="zh-CN" w:bidi="ar"/>
        </w:rPr>
        <w:t>应</w:t>
      </w:r>
      <w:r>
        <w:rPr>
          <w:rFonts w:hint="default" w:ascii="Times New Roman" w:hAnsi="Times New Roman" w:eastAsia="宋体" w:cs="Times New Roman"/>
          <w:b w:val="0"/>
          <w:bCs w:val="0"/>
          <w:color w:val="auto"/>
          <w:kern w:val="2"/>
          <w:sz w:val="24"/>
          <w:szCs w:val="24"/>
          <w:highlight w:val="none"/>
          <w:lang w:val="en-US" w:eastAsia="zh-CN" w:bidi="ar"/>
        </w:rPr>
        <w:t>根据基坑监测资料、现场勘查结果</w:t>
      </w:r>
      <w:r>
        <w:rPr>
          <w:rFonts w:hint="default" w:ascii="Times New Roman" w:hAnsi="Times New Roman" w:cs="Times New Roman"/>
          <w:b w:val="0"/>
          <w:bCs w:val="0"/>
          <w:color w:val="auto"/>
          <w:kern w:val="2"/>
          <w:sz w:val="24"/>
          <w:szCs w:val="24"/>
          <w:highlight w:val="none"/>
          <w:lang w:val="en-US" w:eastAsia="zh-CN" w:bidi="ar"/>
        </w:rPr>
        <w:t>进行下列分析</w:t>
      </w:r>
      <w:r>
        <w:rPr>
          <w:rFonts w:hint="default" w:ascii="Times New Roman" w:hAnsi="Times New Roman" w:eastAsia="宋体" w:cs="Times New Roman"/>
          <w:b w:val="0"/>
          <w:bCs w:val="0"/>
          <w:color w:val="auto"/>
          <w:kern w:val="2"/>
          <w:sz w:val="24"/>
          <w:szCs w:val="24"/>
          <w:highlight w:val="none"/>
          <w:lang w:val="en-US" w:eastAsia="zh-CN" w:bidi="ar"/>
        </w:rPr>
        <w:t>：</w:t>
      </w:r>
    </w:p>
    <w:p w14:paraId="637C4EC6">
      <w:pPr>
        <w:keepNext w:val="0"/>
        <w:keepLines w:val="0"/>
        <w:widowControl w:val="0"/>
        <w:suppressLineNumbers w:val="0"/>
        <w:spacing w:before="0" w:beforeAutospacing="0" w:after="0" w:afterAutospacing="0" w:line="360" w:lineRule="auto"/>
        <w:ind w:left="0" w:leftChars="0" w:right="0" w:firstLine="420" w:firstLineChars="0"/>
        <w:jc w:val="both"/>
        <w:rPr>
          <w:rFonts w:hint="default" w:ascii="Times New Roman" w:hAnsi="Times New Roman" w:eastAsia="宋体" w:cs="Times New Roman"/>
          <w:bCs w:val="0"/>
          <w:color w:val="auto"/>
          <w:kern w:val="2"/>
          <w:sz w:val="24"/>
          <w:szCs w:val="24"/>
          <w:highlight w:val="none"/>
        </w:rPr>
      </w:pPr>
      <w:r>
        <w:rPr>
          <w:rFonts w:hint="default" w:ascii="Times New Roman" w:hAnsi="Times New Roman" w:eastAsia="宋体" w:cs="Times New Roman"/>
          <w:bCs w:val="0"/>
          <w:color w:val="auto"/>
          <w:kern w:val="2"/>
          <w:sz w:val="24"/>
          <w:szCs w:val="24"/>
          <w:highlight w:val="none"/>
          <w:lang w:val="en-US" w:eastAsia="zh-CN" w:bidi="ar"/>
        </w:rPr>
        <w:t xml:space="preserve">1 </w:t>
      </w:r>
      <w:r>
        <w:rPr>
          <w:rFonts w:hint="default" w:ascii="Times New Roman" w:hAnsi="Times New Roman" w:cs="Times New Roman"/>
          <w:bCs w:val="0"/>
          <w:color w:val="auto"/>
          <w:kern w:val="2"/>
          <w:sz w:val="24"/>
          <w:szCs w:val="24"/>
          <w:highlight w:val="none"/>
          <w:lang w:val="en-US" w:eastAsia="zh-CN" w:bidi="ar"/>
        </w:rPr>
        <w:t xml:space="preserve"> </w:t>
      </w:r>
      <w:r>
        <w:rPr>
          <w:rFonts w:hint="default" w:ascii="Times New Roman" w:hAnsi="Times New Roman" w:eastAsia="宋体" w:cs="Times New Roman"/>
          <w:bCs w:val="0"/>
          <w:color w:val="auto"/>
          <w:kern w:val="2"/>
          <w:sz w:val="24"/>
          <w:szCs w:val="24"/>
          <w:highlight w:val="none"/>
          <w:lang w:val="en-US" w:eastAsia="zh-CN" w:bidi="ar"/>
        </w:rPr>
        <w:t>支护结构的位移监测累计值、相对值及其变化速率值，锚杆拉力、支撑轴力、立柱内力、挡土构件内力等监测值随施工进度的变化情况及是否出现预警情况，以及支护结构构件的变形及裂缝情况，基坑侧壁的坍塌情况，坑底隆起变形、流土、管涌情况；</w:t>
      </w:r>
    </w:p>
    <w:p w14:paraId="01073E56">
      <w:pPr>
        <w:keepNext w:val="0"/>
        <w:keepLines w:val="0"/>
        <w:widowControl w:val="0"/>
        <w:suppressLineNumbers w:val="0"/>
        <w:spacing w:before="0" w:beforeAutospacing="0" w:after="0" w:afterAutospacing="0" w:line="360" w:lineRule="auto"/>
        <w:ind w:left="0" w:leftChars="0" w:right="0" w:firstLine="420" w:firstLineChars="0"/>
        <w:jc w:val="both"/>
        <w:rPr>
          <w:rFonts w:hint="default" w:ascii="Times New Roman" w:hAnsi="Times New Roman" w:eastAsia="宋体" w:cs="Times New Roman"/>
          <w:bCs w:val="0"/>
          <w:color w:val="auto"/>
          <w:kern w:val="2"/>
          <w:sz w:val="24"/>
          <w:szCs w:val="24"/>
          <w:highlight w:val="none"/>
        </w:rPr>
      </w:pPr>
      <w:r>
        <w:rPr>
          <w:rFonts w:hint="default" w:ascii="Times New Roman" w:hAnsi="Times New Roman" w:eastAsia="宋体" w:cs="Times New Roman"/>
          <w:bCs w:val="0"/>
          <w:color w:val="auto"/>
          <w:kern w:val="2"/>
          <w:sz w:val="24"/>
          <w:szCs w:val="24"/>
          <w:highlight w:val="none"/>
          <w:lang w:val="en-US" w:eastAsia="zh-CN" w:bidi="ar"/>
        </w:rPr>
        <w:t xml:space="preserve">2 </w:t>
      </w:r>
      <w:r>
        <w:rPr>
          <w:rFonts w:hint="default" w:ascii="Times New Roman" w:hAnsi="Times New Roman" w:cs="Times New Roman"/>
          <w:bCs w:val="0"/>
          <w:color w:val="auto"/>
          <w:kern w:val="2"/>
          <w:sz w:val="24"/>
          <w:szCs w:val="24"/>
          <w:highlight w:val="none"/>
          <w:lang w:val="en-US" w:eastAsia="zh-CN" w:bidi="ar"/>
        </w:rPr>
        <w:t xml:space="preserve"> </w:t>
      </w:r>
      <w:r>
        <w:rPr>
          <w:rFonts w:hint="default" w:ascii="Times New Roman" w:hAnsi="Times New Roman" w:eastAsia="宋体" w:cs="Times New Roman"/>
          <w:bCs w:val="0"/>
          <w:color w:val="auto"/>
          <w:kern w:val="2"/>
          <w:sz w:val="24"/>
          <w:szCs w:val="24"/>
          <w:highlight w:val="none"/>
          <w:lang w:val="en-US" w:eastAsia="zh-CN" w:bidi="ar"/>
        </w:rPr>
        <w:t>周边建（构）筑物、地下管线、道路、地面的变形监测累计值及其变化速率值随施工进度的变化情况及是否出现预警情况，以及基坑周边裂缝发展情况。</w:t>
      </w:r>
    </w:p>
    <w:p w14:paraId="0BBF4C61">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楷体" w:cs="Times New Roman"/>
          <w:color w:val="auto"/>
          <w:kern w:val="2"/>
          <w:sz w:val="24"/>
          <w:szCs w:val="24"/>
          <w:highlight w:val="none"/>
          <w:u w:val="single"/>
        </w:rPr>
      </w:pPr>
      <w:r>
        <w:rPr>
          <w:rFonts w:hint="default" w:ascii="Times New Roman" w:hAnsi="Times New Roman" w:eastAsia="楷体" w:cs="Times New Roman"/>
          <w:color w:val="auto"/>
          <w:kern w:val="2"/>
          <w:sz w:val="24"/>
          <w:szCs w:val="24"/>
          <w:highlight w:val="none"/>
          <w:u w:val="single"/>
          <w:lang w:val="en-US" w:eastAsia="zh-CN" w:bidi="ar"/>
        </w:rPr>
        <w:t>【条文说明】基坑监测是保证支护结构和周边环境安全的重要手段。通过分析支护结构的位移及内力监测数据、基坑周边环境的变形监测数据在基坑施工过程与使用期间的变化情况，尤其是是否出现预警情况，可以评价支护结构受力和变形状态是否在正常设计状态之内以及基坑周边环境是否受到影响或受到影响的程度。鉴定机构在判断监测资料监测数据真实可信后方可将监测资料作为鉴定依据。</w:t>
      </w:r>
    </w:p>
    <w:p w14:paraId="1CDE066B">
      <w:pPr>
        <w:keepNext w:val="0"/>
        <w:keepLines w:val="0"/>
        <w:widowControl w:val="0"/>
        <w:suppressLineNumbers w:val="0"/>
        <w:spacing w:before="0" w:beforeAutospacing="0" w:after="0" w:afterAutospacing="0" w:line="360" w:lineRule="auto"/>
        <w:ind w:left="0" w:leftChars="0" w:right="0"/>
        <w:jc w:val="both"/>
        <w:rPr>
          <w:rFonts w:hint="default" w:ascii="Times New Roman" w:hAnsi="Times New Roman" w:eastAsia="宋体" w:cs="Times New Roman"/>
          <w:bCs w:val="0"/>
          <w:color w:val="auto"/>
          <w:kern w:val="2"/>
          <w:sz w:val="24"/>
          <w:szCs w:val="24"/>
          <w:highlight w:val="none"/>
        </w:rPr>
      </w:pPr>
      <w:r>
        <w:rPr>
          <w:rFonts w:hint="default" w:ascii="Times New Roman" w:hAnsi="Times New Roman" w:eastAsia="宋体" w:cs="Times New Roman"/>
          <w:b/>
          <w:bCs/>
          <w:color w:val="auto"/>
          <w:kern w:val="2"/>
          <w:sz w:val="24"/>
          <w:szCs w:val="24"/>
          <w:highlight w:val="none"/>
          <w:lang w:val="en-US" w:eastAsia="zh-CN" w:bidi="ar"/>
        </w:rPr>
        <w:t xml:space="preserve">4.5.12 </w:t>
      </w:r>
      <w:r>
        <w:rPr>
          <w:rFonts w:hint="default" w:ascii="Times New Roman" w:hAnsi="Times New Roman" w:eastAsia="宋体" w:cs="Times New Roman"/>
          <w:bCs w:val="0"/>
          <w:color w:val="auto"/>
          <w:kern w:val="2"/>
          <w:sz w:val="24"/>
          <w:szCs w:val="24"/>
          <w:highlight w:val="none"/>
          <w:lang w:val="en-US" w:eastAsia="zh-CN" w:bidi="ar"/>
        </w:rPr>
        <w:t>当支护结构不能满足基坑安全性要求时，应根据基坑稳定性、支护结构构件承载力以及支护结构受力和变形的鉴定情况，明确存在的安全隐患，提出有针对性的加固处理措施与建议。</w:t>
      </w:r>
    </w:p>
    <w:p w14:paraId="0A957507">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楷体" w:cs="Times New Roman"/>
          <w:color w:val="auto"/>
          <w:kern w:val="2"/>
          <w:sz w:val="24"/>
          <w:szCs w:val="24"/>
          <w:highlight w:val="none"/>
          <w:u w:val="single"/>
        </w:rPr>
      </w:pPr>
      <w:r>
        <w:rPr>
          <w:rFonts w:hint="default" w:ascii="Times New Roman" w:hAnsi="Times New Roman" w:eastAsia="楷体" w:cs="Times New Roman"/>
          <w:color w:val="auto"/>
          <w:kern w:val="2"/>
          <w:sz w:val="24"/>
          <w:szCs w:val="24"/>
          <w:highlight w:val="none"/>
          <w:u w:val="single"/>
          <w:lang w:val="en-US" w:eastAsia="zh-CN" w:bidi="ar"/>
        </w:rPr>
        <w:t>【条文说明】当支护结构的安全性鉴定结论为支护结构不能满足基坑安全性要求时，应根据具体鉴定情况，明确安全隐患，如何种类型的基坑稳定性不能满足有关标准要求，或哪些基坑支护结构构件承载力不满足设计要求或现行有关标准要求，或基坑哪些部位的支护结构受力和变形状态达到或超过设计极限状态，提出有针对性的处理措施与建议。</w:t>
      </w:r>
    </w:p>
    <w:p w14:paraId="26547AA3">
      <w:pPr>
        <w:keepNext w:val="0"/>
        <w:keepLines w:val="0"/>
        <w:widowControl w:val="0"/>
        <w:suppressLineNumbers w:val="0"/>
        <w:spacing w:before="0" w:beforeAutospacing="0" w:after="0" w:afterAutospacing="0" w:line="360" w:lineRule="auto"/>
        <w:ind w:left="0" w:leftChars="0" w:right="0"/>
        <w:jc w:val="both"/>
        <w:rPr>
          <w:rFonts w:hint="default" w:ascii="Times New Roman" w:hAnsi="Times New Roman" w:eastAsia="宋体" w:cs="Times New Roman"/>
          <w:b/>
          <w:bCs/>
          <w:color w:val="auto"/>
          <w:kern w:val="2"/>
          <w:sz w:val="24"/>
          <w:szCs w:val="24"/>
          <w:highlight w:val="none"/>
          <w:lang w:val="en-US" w:eastAsia="zh-CN" w:bidi="ar"/>
        </w:rPr>
      </w:pPr>
      <w:r>
        <w:rPr>
          <w:rFonts w:hint="default" w:ascii="Times New Roman" w:hAnsi="Times New Roman" w:eastAsia="宋体" w:cs="Times New Roman"/>
          <w:b/>
          <w:bCs/>
          <w:color w:val="auto"/>
          <w:kern w:val="2"/>
          <w:sz w:val="24"/>
          <w:szCs w:val="24"/>
          <w:highlight w:val="none"/>
          <w:lang w:val="en-US" w:eastAsia="zh-CN" w:bidi="ar"/>
        </w:rPr>
        <w:t xml:space="preserve">4.5.13 </w:t>
      </w:r>
      <w:r>
        <w:rPr>
          <w:rFonts w:hint="default" w:ascii="Times New Roman" w:hAnsi="Times New Roman" w:eastAsia="宋体" w:cs="Times New Roman"/>
          <w:b w:val="0"/>
          <w:bCs w:val="0"/>
          <w:color w:val="auto"/>
          <w:kern w:val="2"/>
          <w:sz w:val="24"/>
          <w:szCs w:val="24"/>
          <w:highlight w:val="none"/>
          <w:lang w:val="en-US" w:eastAsia="zh-CN" w:bidi="ar"/>
        </w:rPr>
        <w:t>地表水及地下水控制分析</w:t>
      </w:r>
      <w:r>
        <w:rPr>
          <w:rFonts w:hint="default" w:ascii="Times New Roman" w:hAnsi="Times New Roman" w:cs="Times New Roman"/>
          <w:b w:val="0"/>
          <w:bCs w:val="0"/>
          <w:color w:val="auto"/>
          <w:kern w:val="2"/>
          <w:sz w:val="24"/>
          <w:szCs w:val="24"/>
          <w:highlight w:val="none"/>
          <w:lang w:val="en-US" w:eastAsia="zh-CN" w:bidi="ar"/>
        </w:rPr>
        <w:t>应符合下列要求：</w:t>
      </w:r>
    </w:p>
    <w:p w14:paraId="5A586E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1 </w:t>
      </w:r>
      <w:r>
        <w:rPr>
          <w:rFonts w:hint="default" w:ascii="Times New Roman" w:hAnsi="Times New Roman" w:cs="Times New Roman"/>
          <w:color w:val="auto"/>
          <w:kern w:val="2"/>
          <w:sz w:val="24"/>
          <w:szCs w:val="24"/>
          <w:highlight w:val="non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地表水及地下水控制系统的施工质量及运行质量，应根据现行国家标准《建筑地基基础工程施工质量验收标准》GB 50202的有关规定及基坑设计要求对现场检测、施工资料核查、现场检查等结果进行综合分析与</w:t>
      </w:r>
      <w:r>
        <w:rPr>
          <w:rFonts w:hint="default" w:ascii="Times New Roman" w:hAnsi="Times New Roman" w:cs="Times New Roman"/>
          <w:color w:val="auto"/>
          <w:kern w:val="2"/>
          <w:sz w:val="24"/>
          <w:szCs w:val="24"/>
          <w:highlight w:val="none"/>
          <w:lang w:val="en-US" w:eastAsia="zh-CN" w:bidi="ar"/>
        </w:rPr>
        <w:t>鉴定；</w:t>
      </w:r>
    </w:p>
    <w:p w14:paraId="668A2D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2 </w:t>
      </w:r>
      <w:r>
        <w:rPr>
          <w:rFonts w:hint="default" w:ascii="Times New Roman" w:hAnsi="Times New Roman" w:cs="Times New Roman"/>
          <w:color w:val="auto"/>
          <w:kern w:val="2"/>
          <w:sz w:val="24"/>
          <w:szCs w:val="24"/>
          <w:highlight w:val="non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地表水控制应根据坡顶截排水沟、挡水坎、坡顶地面硬化情况、坡顶外侧地形地势情况、坑内排水沟、集水井设置等检测情况，对坑内外地表水的收集、外排情况以及对基坑安全产生不利影响进行分析</w:t>
      </w:r>
      <w:r>
        <w:rPr>
          <w:rFonts w:hint="default" w:ascii="Times New Roman" w:hAnsi="Times New Roman" w:cs="Times New Roman"/>
          <w:color w:val="auto"/>
          <w:kern w:val="2"/>
          <w:sz w:val="24"/>
          <w:szCs w:val="24"/>
          <w:highlight w:val="none"/>
          <w:lang w:val="en-US" w:eastAsia="zh-CN" w:bidi="ar"/>
        </w:rPr>
        <w:t>；</w:t>
      </w:r>
    </w:p>
    <w:p w14:paraId="52C6EB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3</w:t>
      </w:r>
      <w:r>
        <w:rPr>
          <w:rFonts w:hint="default" w:ascii="Times New Roman" w:hAnsi="Times New Roman" w:cs="Times New Roman"/>
          <w:color w:val="auto"/>
          <w:kern w:val="2"/>
          <w:sz w:val="24"/>
          <w:szCs w:val="24"/>
          <w:highlight w:val="non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 xml:space="preserve"> 地下水控制应根据地下水位及含砂率监测资料、现场实测或检查结果，对基坑施工及使用期间坑内外地下水位及含砂率以及其变化情况进行分析，</w:t>
      </w:r>
      <w:r>
        <w:rPr>
          <w:rFonts w:hint="default" w:ascii="Times New Roman" w:hAnsi="Times New Roman" w:cs="Times New Roman"/>
          <w:color w:val="auto"/>
          <w:kern w:val="2"/>
          <w:sz w:val="24"/>
          <w:szCs w:val="24"/>
          <w:highlight w:val="none"/>
          <w:lang w:val="en-US" w:eastAsia="zh-CN" w:bidi="ar"/>
        </w:rPr>
        <w:t>并</w:t>
      </w:r>
      <w:r>
        <w:rPr>
          <w:rFonts w:hint="default" w:ascii="Times New Roman" w:hAnsi="Times New Roman" w:eastAsia="宋体" w:cs="Times New Roman"/>
          <w:color w:val="auto"/>
          <w:kern w:val="2"/>
          <w:sz w:val="24"/>
          <w:szCs w:val="24"/>
          <w:highlight w:val="none"/>
          <w:lang w:val="en-US" w:eastAsia="zh-CN" w:bidi="ar"/>
        </w:rPr>
        <w:t>应考虑对基坑周边环境、坑内地基的影响</w:t>
      </w:r>
      <w:r>
        <w:rPr>
          <w:rFonts w:hint="default" w:ascii="Times New Roman" w:hAnsi="Times New Roman" w:cs="Times New Roman"/>
          <w:color w:val="auto"/>
          <w:kern w:val="2"/>
          <w:sz w:val="24"/>
          <w:szCs w:val="24"/>
          <w:highlight w:val="none"/>
          <w:lang w:val="en-US" w:eastAsia="zh-CN" w:bidi="ar"/>
        </w:rPr>
        <w:t>；</w:t>
      </w:r>
    </w:p>
    <w:p w14:paraId="73AAAB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 xml:space="preserve">4 </w:t>
      </w:r>
      <w:r>
        <w:rPr>
          <w:rFonts w:hint="default" w:ascii="Times New Roman" w:hAnsi="Times New Roman" w:cs="Times New Roman"/>
          <w:color w:val="auto"/>
          <w:kern w:val="2"/>
          <w:sz w:val="24"/>
          <w:szCs w:val="24"/>
          <w:highlight w:val="non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设有截水帷幕的基坑工程，宜通过预降水过程中的坑内外水位变化、坑壁渗漏水、截水效果检验、施工资料核查等综合分析帷幕止水效果</w:t>
      </w:r>
      <w:r>
        <w:rPr>
          <w:rFonts w:hint="default" w:ascii="Times New Roman" w:hAnsi="Times New Roman" w:cs="Times New Roman"/>
          <w:color w:val="auto"/>
          <w:kern w:val="2"/>
          <w:sz w:val="24"/>
          <w:szCs w:val="24"/>
          <w:highlight w:val="none"/>
          <w:lang w:val="en-US" w:eastAsia="zh-CN" w:bidi="ar"/>
        </w:rPr>
        <w:t>；</w:t>
      </w:r>
    </w:p>
    <w:p w14:paraId="47A95139">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楷体" w:cs="Times New Roman"/>
          <w:color w:val="auto"/>
          <w:kern w:val="2"/>
          <w:sz w:val="24"/>
          <w:szCs w:val="24"/>
          <w:highlight w:val="none"/>
          <w:u w:val="single"/>
          <w:lang w:val="en-US" w:eastAsia="zh-CN" w:bidi="ar"/>
        </w:rPr>
      </w:pPr>
      <w:r>
        <w:rPr>
          <w:rFonts w:hint="default" w:ascii="Times New Roman" w:hAnsi="Times New Roman" w:eastAsia="楷体" w:cs="Times New Roman"/>
          <w:color w:val="auto"/>
          <w:kern w:val="2"/>
          <w:sz w:val="24"/>
          <w:szCs w:val="24"/>
          <w:highlight w:val="none"/>
          <w:u w:val="single"/>
          <w:lang w:val="en-US" w:eastAsia="zh-CN" w:bidi="ar"/>
        </w:rPr>
        <w:t>【条文说明】如地表水控制系统能够及时收集、外排基坑内外地表水，确保基坑正常施工和基坑安全时，应鉴定地表水控制效果符合基坑设计或基坑防排水要求，反之，应鉴定地表水控制效果不符合基坑设计或基坑防排水要求。</w:t>
      </w:r>
    </w:p>
    <w:p w14:paraId="30FA0F2E">
      <w:pPr>
        <w:keepNext w:val="0"/>
        <w:keepLines w:val="0"/>
        <w:widowControl w:val="0"/>
        <w:suppressLineNumbers w:val="0"/>
        <w:spacing w:before="0" w:beforeAutospacing="0" w:after="0" w:afterAutospacing="0" w:line="360" w:lineRule="auto"/>
        <w:ind w:left="0" w:leftChars="0" w:right="0"/>
        <w:jc w:val="both"/>
        <w:rPr>
          <w:rFonts w:hint="default" w:ascii="Times New Roman" w:hAnsi="Times New Roman" w:eastAsia="宋体" w:cs="Times New Roman"/>
          <w:b/>
          <w:bCs/>
          <w:color w:val="auto"/>
          <w:kern w:val="2"/>
          <w:sz w:val="24"/>
          <w:szCs w:val="24"/>
          <w:highlight w:val="none"/>
          <w:lang w:val="en-US" w:eastAsia="zh-CN" w:bidi="ar"/>
        </w:rPr>
      </w:pPr>
      <w:r>
        <w:rPr>
          <w:rFonts w:hint="default" w:ascii="Times New Roman" w:hAnsi="Times New Roman" w:eastAsia="宋体" w:cs="Times New Roman"/>
          <w:b/>
          <w:bCs/>
          <w:color w:val="auto"/>
          <w:kern w:val="2"/>
          <w:sz w:val="24"/>
          <w:szCs w:val="24"/>
          <w:highlight w:val="none"/>
          <w:lang w:val="en-US" w:eastAsia="zh-CN" w:bidi="ar"/>
        </w:rPr>
        <w:t xml:space="preserve">4.5.14 </w:t>
      </w:r>
      <w:r>
        <w:rPr>
          <w:rFonts w:hint="default" w:ascii="Times New Roman" w:hAnsi="Times New Roman" w:eastAsia="宋体" w:cs="Times New Roman"/>
          <w:b w:val="0"/>
          <w:bCs w:val="0"/>
          <w:color w:val="auto"/>
          <w:kern w:val="2"/>
          <w:sz w:val="24"/>
          <w:szCs w:val="24"/>
          <w:highlight w:val="none"/>
          <w:lang w:val="en-US" w:eastAsia="zh-CN" w:bidi="ar"/>
        </w:rPr>
        <w:t>地表水及地下水控制鉴定应符合下列要求：</w:t>
      </w:r>
    </w:p>
    <w:p w14:paraId="60DE8E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1  当同时满足下列条件时，应鉴定为地表水及地下水控制效果符合设计要求：</w:t>
      </w:r>
    </w:p>
    <w:p w14:paraId="16C461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720" w:firstLineChars="300"/>
        <w:jc w:val="both"/>
        <w:textAlignment w:val="auto"/>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1）坑内地下水位在设计要求控制的水位范围内，能够满足土方开挖、支护结构施工以及主体地下结构的正常施工要求；</w:t>
      </w:r>
    </w:p>
    <w:p w14:paraId="3DEA3E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720" w:firstLineChars="300"/>
        <w:jc w:val="both"/>
        <w:textAlignment w:val="auto"/>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2）地表水及地下水控制运行过程中抽排水含砂量符合设计和国家、四川省现行有关标准要求；</w:t>
      </w:r>
    </w:p>
    <w:p w14:paraId="470FC6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720" w:firstLineChars="300"/>
        <w:jc w:val="both"/>
        <w:textAlignment w:val="auto"/>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3）坑外地下水位下降未影响基坑周边建（构）筑物、地下管线、道路等市政设施的安全和正常使用。</w:t>
      </w:r>
    </w:p>
    <w:p w14:paraId="34F1E8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2  当满足下列条件之一时，应鉴定为地表水及地下水控制效果未达到设计要求，并采取下列处理措施：</w:t>
      </w:r>
    </w:p>
    <w:p w14:paraId="08C32B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720" w:firstLineChars="300"/>
        <w:jc w:val="both"/>
        <w:textAlignment w:val="auto"/>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1）当基坑内局部或整体地下水位高于设计要求控制的水位范围，不能满足土方开挖、支护结构施工以及主体地下结构的正常施工要求时；</w:t>
      </w:r>
    </w:p>
    <w:p w14:paraId="625F4A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720" w:firstLineChars="300"/>
        <w:jc w:val="both"/>
        <w:textAlignment w:val="auto"/>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2）地表水及地下水控制运行过程中抽取地下水的含砂量超过设计和国家、四川省现行有关标准要求，对基坑安全、坑内地基产生不利影响时；</w:t>
      </w:r>
    </w:p>
    <w:p w14:paraId="4C3BDB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720" w:firstLineChars="300"/>
        <w:jc w:val="both"/>
        <w:textAlignment w:val="auto"/>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3）坑外地下水位下降对基坑周边建（构）筑物、地下管线、道路等市政设施造成危害或对环境造成长期不利影响时。</w:t>
      </w:r>
    </w:p>
    <w:p w14:paraId="4F9D23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3  地下水控制采用截水帷幕时，截水效果应按下列要求进行鉴定：</w:t>
      </w:r>
    </w:p>
    <w:p w14:paraId="534F34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720" w:firstLineChars="300"/>
        <w:jc w:val="both"/>
        <w:textAlignment w:val="auto"/>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1）当坑外地下水位在设计控制水位范围内，坑底和侧壁抗渗流稳定性、坑底抗突涌稳定性满足设计要求，未影响基坑周边环境的安全与正常使用时，鉴定为截水效果符合设计要求；</w:t>
      </w:r>
    </w:p>
    <w:p w14:paraId="048AC7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720" w:firstLineChars="300"/>
        <w:jc w:val="both"/>
        <w:textAlignment w:val="auto"/>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2）当坑外地下水位低于设计控制水位范围，且坑底和侧壁抗渗流稳定性、坑底抗突涌稳定性满足设计要求，未影响基坑周边环境的安全与正常使用时，截水效果能满足基坑安全、周边环境安全与正常使用要求时，鉴定为截水效果符合设计要求；</w:t>
      </w:r>
    </w:p>
    <w:p w14:paraId="0DE25B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720" w:firstLineChars="300"/>
        <w:jc w:val="both"/>
        <w:textAlignment w:val="auto"/>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3）当坑外地下水位低于设计控制水位范围，对基坑周边建（构）筑物、地下管线、道路等市政设施造成危害或对环境造成长期不利影响时，或基坑施工及使用期间发生管涌、流砂、坑底突涌等地下水渗透破坏，影响基坑安全时，截水效果不能满足基坑周边环境的安全与正常使用要求或基坑安全要求，鉴定为截水效果不符合设计要求，需采取处理措施。</w:t>
      </w:r>
    </w:p>
    <w:p w14:paraId="602AADC3">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楷体" w:cs="Times New Roman"/>
          <w:color w:val="auto"/>
          <w:kern w:val="2"/>
          <w:sz w:val="24"/>
          <w:szCs w:val="24"/>
          <w:highlight w:val="none"/>
          <w:u w:val="single"/>
        </w:rPr>
      </w:pPr>
      <w:r>
        <w:rPr>
          <w:rFonts w:hint="default" w:ascii="Times New Roman" w:hAnsi="Times New Roman" w:eastAsia="楷体" w:cs="Times New Roman"/>
          <w:color w:val="auto"/>
          <w:kern w:val="2"/>
          <w:sz w:val="24"/>
          <w:szCs w:val="24"/>
          <w:highlight w:val="none"/>
          <w:u w:val="single"/>
          <w:lang w:val="en-US" w:eastAsia="zh-CN" w:bidi="ar"/>
        </w:rPr>
        <w:t>【条文说明】为便于鉴定基坑地表水及地下水控制效果，本条规定地表水及地下水控制应对基坑施工及使用期间坑内外地表水水位、地下水位及含砂率以及其变化情况进行分析及鉴定所包含内容。基坑地下水控制效果主要分析坑内地下水位在地下水控制运行过程中能否满足土方开挖、支护结构、主体地下结构的施工要求，其次防止因坑外地下水下降引起坑外地层的过大沉降，或地表水及地下水控制过程中可能发生的渗透破坏现象对基坑周边环境的安全和正常使用产生不利影响。地下水控制效果主要依据坑外地下水位及其变化是否在设计控制的水位要求范围内。</w:t>
      </w:r>
    </w:p>
    <w:p w14:paraId="1625612B">
      <w:pPr>
        <w:pStyle w:val="3"/>
        <w:suppressLineNumbers w:val="0"/>
        <w:spacing w:before="0" w:beforeLines="-2147483648" w:beforeAutospacing="0" w:after="0" w:afterLines="-2147483648" w:afterAutospacing="0" w:line="360" w:lineRule="auto"/>
        <w:ind w:left="0" w:firstLine="0"/>
        <w:rPr>
          <w:rFonts w:hint="default" w:ascii="Times New Roman" w:hAnsi="Times New Roman" w:cs="Times New Roman" w:eastAsiaTheme="minorEastAsia"/>
          <w:bCs w:val="0"/>
          <w:sz w:val="28"/>
          <w:szCs w:val="28"/>
          <w:lang w:val="en-US" w:eastAsia="zh-CN" w:bidi="ar-SA"/>
        </w:rPr>
      </w:pPr>
      <w:bookmarkStart w:id="29" w:name="_Toc27799"/>
      <w:bookmarkStart w:id="30" w:name="_Toc30645"/>
      <w:r>
        <w:rPr>
          <w:rFonts w:hint="default" w:ascii="Times New Roman" w:hAnsi="Times New Roman" w:cs="Times New Roman" w:eastAsiaTheme="minorEastAsia"/>
          <w:bCs w:val="0"/>
          <w:sz w:val="28"/>
          <w:szCs w:val="28"/>
          <w:lang w:val="en-US" w:eastAsia="zh-CN" w:bidi="ar-SA"/>
        </w:rPr>
        <w:t>4.6基坑安全性鉴定评级</w:t>
      </w:r>
      <w:bookmarkEnd w:id="29"/>
    </w:p>
    <w:p w14:paraId="1C27F34E">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Ⅰ </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基坑工程鉴定评级标准</w:t>
      </w:r>
    </w:p>
    <w:p w14:paraId="01C1348B">
      <w:pPr>
        <w:keepNext w:val="0"/>
        <w:keepLines w:val="0"/>
        <w:widowControl w:val="0"/>
        <w:suppressLineNumbers w:val="0"/>
        <w:spacing w:before="0" w:beforeAutospacing="0" w:after="0" w:afterAutospacing="0" w:line="360" w:lineRule="auto"/>
        <w:ind w:left="0" w:leftChars="0" w:right="0"/>
        <w:jc w:val="both"/>
        <w:rPr>
          <w:rFonts w:hint="default" w:ascii="Times New Roman" w:hAnsi="Times New Roman" w:eastAsia="宋体" w:cs="Times New Roman"/>
          <w:b/>
          <w:bCs/>
          <w:color w:val="auto"/>
          <w:kern w:val="2"/>
          <w:sz w:val="24"/>
          <w:szCs w:val="24"/>
          <w:highlight w:val="none"/>
          <w:lang w:val="en-US" w:eastAsia="zh-CN" w:bidi="ar"/>
        </w:rPr>
      </w:pPr>
      <w:r>
        <w:rPr>
          <w:rFonts w:hint="default" w:ascii="Times New Roman" w:hAnsi="Times New Roman" w:eastAsia="宋体" w:cs="Times New Roman"/>
          <w:b/>
          <w:bCs/>
          <w:color w:val="auto"/>
          <w:kern w:val="2"/>
          <w:sz w:val="24"/>
          <w:szCs w:val="24"/>
          <w:highlight w:val="none"/>
          <w:lang w:val="en-US" w:eastAsia="zh-CN" w:bidi="ar"/>
        </w:rPr>
        <w:t>4.</w:t>
      </w:r>
      <w:r>
        <w:rPr>
          <w:rFonts w:hint="default" w:ascii="Times New Roman" w:hAnsi="Times New Roman" w:cs="Times New Roman"/>
          <w:b/>
          <w:bCs/>
          <w:color w:val="auto"/>
          <w:kern w:val="2"/>
          <w:sz w:val="24"/>
          <w:szCs w:val="24"/>
          <w:highlight w:val="none"/>
          <w:lang w:val="en-US" w:eastAsia="zh-CN" w:bidi="ar"/>
        </w:rPr>
        <w:t>6</w:t>
      </w:r>
      <w:r>
        <w:rPr>
          <w:rFonts w:hint="default" w:ascii="Times New Roman" w:hAnsi="Times New Roman" w:eastAsia="宋体" w:cs="Times New Roman"/>
          <w:b/>
          <w:bCs/>
          <w:color w:val="auto"/>
          <w:kern w:val="2"/>
          <w:sz w:val="24"/>
          <w:szCs w:val="24"/>
          <w:highlight w:val="none"/>
          <w:lang w:val="en-US" w:eastAsia="zh-CN" w:bidi="ar"/>
        </w:rPr>
        <w:t xml:space="preserve">.1 </w:t>
      </w:r>
      <w:r>
        <w:rPr>
          <w:rFonts w:hint="default" w:ascii="Times New Roman" w:hAnsi="Times New Roman" w:eastAsia="宋体" w:cs="Times New Roman"/>
          <w:b w:val="0"/>
          <w:bCs w:val="0"/>
          <w:color w:val="auto"/>
          <w:kern w:val="2"/>
          <w:sz w:val="24"/>
          <w:szCs w:val="24"/>
          <w:highlight w:val="none"/>
          <w:lang w:val="en-US" w:eastAsia="zh-CN" w:bidi="ar"/>
        </w:rPr>
        <w:t>基坑工程鉴定评级可根据实际情况划分成若干个鉴定单元，同时应符合下列规定：</w:t>
      </w:r>
    </w:p>
    <w:p w14:paraId="6B94A2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 xml:space="preserve">1  </w:t>
      </w:r>
      <w:r>
        <w:rPr>
          <w:rFonts w:hint="default" w:ascii="Times New Roman" w:hAnsi="Times New Roman" w:cs="Times New Roman"/>
          <w:b w:val="0"/>
          <w:bCs w:val="0"/>
          <w:color w:val="auto"/>
          <w:kern w:val="2"/>
          <w:sz w:val="24"/>
          <w:szCs w:val="24"/>
          <w:highlight w:val="none"/>
          <w:lang w:val="en-US" w:eastAsia="zh-CN" w:bidi="ar"/>
        </w:rPr>
        <w:t>安全性评级分为4个等级；</w:t>
      </w:r>
    </w:p>
    <w:p w14:paraId="03341A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2  当鉴定单元可划分为子单元和构件时，鉴定单元的评级应符合表4.6.</w:t>
      </w:r>
      <w:r>
        <w:rPr>
          <w:rFonts w:hint="eastAsia" w:cs="Times New Roman"/>
          <w:b w:val="0"/>
          <w:bCs w:val="0"/>
          <w:color w:val="auto"/>
          <w:kern w:val="2"/>
          <w:sz w:val="24"/>
          <w:szCs w:val="24"/>
          <w:highlight w:val="none"/>
          <w:lang w:val="en-US" w:eastAsia="zh-CN" w:bidi="ar"/>
        </w:rPr>
        <w:t>1</w:t>
      </w:r>
      <w:r>
        <w:rPr>
          <w:rFonts w:hint="default" w:ascii="Times New Roman" w:hAnsi="Times New Roman" w:eastAsia="宋体" w:cs="Times New Roman"/>
          <w:b w:val="0"/>
          <w:bCs w:val="0"/>
          <w:color w:val="auto"/>
          <w:kern w:val="2"/>
          <w:sz w:val="24"/>
          <w:szCs w:val="24"/>
          <w:highlight w:val="none"/>
          <w:lang w:val="en-US" w:eastAsia="zh-CN" w:bidi="ar"/>
        </w:rPr>
        <w:t>的规定；</w:t>
      </w:r>
    </w:p>
    <w:p w14:paraId="0AF5FE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3  当鉴定单元不可细分为子单元、构件时，应根据实际鉴定单元的检测数据，对其安全性直接进行评级；</w:t>
      </w:r>
    </w:p>
    <w:p w14:paraId="46EF87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4  对复杂鉴定单元，可将其分成若干独立的子单元，独立子单元的评级按表4.6.</w:t>
      </w:r>
      <w:r>
        <w:rPr>
          <w:rFonts w:hint="eastAsia" w:cs="Times New Roman"/>
          <w:b w:val="0"/>
          <w:bCs w:val="0"/>
          <w:color w:val="auto"/>
          <w:kern w:val="2"/>
          <w:sz w:val="24"/>
          <w:szCs w:val="24"/>
          <w:highlight w:val="none"/>
          <w:lang w:val="en-US" w:eastAsia="zh-CN" w:bidi="ar"/>
        </w:rPr>
        <w:t>1</w:t>
      </w:r>
      <w:r>
        <w:rPr>
          <w:rFonts w:hint="default" w:ascii="Times New Roman" w:hAnsi="Times New Roman" w:eastAsia="宋体" w:cs="Times New Roman"/>
          <w:b w:val="0"/>
          <w:bCs w:val="0"/>
          <w:color w:val="auto"/>
          <w:kern w:val="2"/>
          <w:sz w:val="24"/>
          <w:szCs w:val="24"/>
          <w:highlight w:val="none"/>
          <w:lang w:val="en-US" w:eastAsia="zh-CN" w:bidi="ar"/>
        </w:rPr>
        <w:t>进行。</w:t>
      </w:r>
    </w:p>
    <w:p w14:paraId="14716A7B">
      <w:pPr>
        <w:spacing w:line="360" w:lineRule="auto"/>
        <w:jc w:val="center"/>
        <w:rPr>
          <w:rFonts w:hint="default" w:ascii="Times New Roman" w:hAnsi="Times New Roman" w:cs="Times New Roman"/>
          <w:b/>
          <w:color w:val="auto"/>
          <w:szCs w:val="21"/>
          <w:highlight w:val="none"/>
          <w:lang w:val="en-US" w:eastAsia="zh-CN"/>
        </w:rPr>
      </w:pPr>
      <w:r>
        <w:rPr>
          <w:rFonts w:hint="default" w:ascii="Times New Roman" w:hAnsi="Times New Roman" w:cs="Times New Roman"/>
          <w:b/>
          <w:color w:val="auto"/>
          <w:szCs w:val="21"/>
          <w:highlight w:val="none"/>
          <w:lang w:val="en-US" w:eastAsia="zh-CN"/>
        </w:rPr>
        <w:t>表4.6.</w:t>
      </w:r>
      <w:r>
        <w:rPr>
          <w:rFonts w:hint="eastAsia" w:cs="Times New Roman"/>
          <w:b/>
          <w:color w:val="auto"/>
          <w:szCs w:val="21"/>
          <w:highlight w:val="none"/>
          <w:lang w:val="en-US" w:eastAsia="zh-CN"/>
        </w:rPr>
        <w:t>1基坑工程</w:t>
      </w:r>
      <w:r>
        <w:rPr>
          <w:rFonts w:hint="default" w:ascii="Times New Roman" w:hAnsi="Times New Roman" w:cs="Times New Roman"/>
          <w:b/>
          <w:color w:val="auto"/>
          <w:szCs w:val="21"/>
          <w:highlight w:val="none"/>
          <w:lang w:val="en-US" w:eastAsia="zh-CN"/>
        </w:rPr>
        <w:t>评级的层次、等级划分及工作内容</w:t>
      </w:r>
    </w:p>
    <w:tbl>
      <w:tblPr>
        <w:tblStyle w:val="32"/>
        <w:tblW w:w="501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91"/>
        <w:gridCol w:w="846"/>
        <w:gridCol w:w="1927"/>
        <w:gridCol w:w="1233"/>
        <w:gridCol w:w="1709"/>
        <w:gridCol w:w="2270"/>
      </w:tblGrid>
      <w:tr w14:paraId="6C07B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jc w:val="center"/>
        </w:trPr>
        <w:tc>
          <w:tcPr>
            <w:tcW w:w="502" w:type="pct"/>
            <w:noWrap w:val="0"/>
            <w:vAlign w:val="center"/>
          </w:tcPr>
          <w:p w14:paraId="0ED723D6">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highlight w:val="none"/>
              </w:rPr>
            </w:pPr>
            <w:r>
              <w:rPr>
                <w:color w:val="auto"/>
                <w:spacing w:val="8"/>
                <w:sz w:val="21"/>
                <w:szCs w:val="21"/>
                <w:highlight w:val="none"/>
              </w:rPr>
              <w:t>层次</w:t>
            </w:r>
          </w:p>
        </w:tc>
        <w:tc>
          <w:tcPr>
            <w:tcW w:w="1562" w:type="pct"/>
            <w:gridSpan w:val="2"/>
            <w:noWrap w:val="0"/>
            <w:vAlign w:val="center"/>
          </w:tcPr>
          <w:p w14:paraId="7C98E4B5">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highlight w:val="none"/>
              </w:rPr>
            </w:pPr>
            <w:r>
              <w:rPr>
                <w:color w:val="auto"/>
                <w:position w:val="-7"/>
                <w:sz w:val="21"/>
                <w:szCs w:val="21"/>
                <w:highlight w:val="none"/>
              </w:rPr>
              <w:t>一</w:t>
            </w:r>
          </w:p>
        </w:tc>
        <w:tc>
          <w:tcPr>
            <w:tcW w:w="1656" w:type="pct"/>
            <w:gridSpan w:val="2"/>
            <w:noWrap w:val="0"/>
            <w:vAlign w:val="center"/>
          </w:tcPr>
          <w:p w14:paraId="7C3819B7">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highlight w:val="none"/>
              </w:rPr>
            </w:pPr>
            <w:r>
              <w:rPr>
                <w:color w:val="auto"/>
                <w:sz w:val="21"/>
                <w:szCs w:val="21"/>
                <w:highlight w:val="none"/>
              </w:rPr>
              <w:t>二</w:t>
            </w:r>
          </w:p>
        </w:tc>
        <w:tc>
          <w:tcPr>
            <w:tcW w:w="1278" w:type="pct"/>
            <w:noWrap w:val="0"/>
            <w:vAlign w:val="center"/>
          </w:tcPr>
          <w:p w14:paraId="31B6977A">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highlight w:val="none"/>
              </w:rPr>
            </w:pPr>
            <w:r>
              <w:rPr>
                <w:color w:val="auto"/>
                <w:sz w:val="21"/>
                <w:szCs w:val="21"/>
                <w:highlight w:val="none"/>
              </w:rPr>
              <w:t>三</w:t>
            </w:r>
          </w:p>
        </w:tc>
      </w:tr>
      <w:tr w14:paraId="52E15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502" w:type="pct"/>
            <w:noWrap w:val="0"/>
            <w:vAlign w:val="center"/>
          </w:tcPr>
          <w:p w14:paraId="7F26E357">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pacing w:val="8"/>
                <w:sz w:val="21"/>
                <w:szCs w:val="21"/>
                <w:highlight w:val="none"/>
              </w:rPr>
            </w:pPr>
            <w:r>
              <w:rPr>
                <w:color w:val="auto"/>
                <w:spacing w:val="8"/>
                <w:sz w:val="21"/>
                <w:szCs w:val="21"/>
                <w:highlight w:val="none"/>
              </w:rPr>
              <w:t>层名</w:t>
            </w:r>
          </w:p>
        </w:tc>
        <w:tc>
          <w:tcPr>
            <w:tcW w:w="1562" w:type="pct"/>
            <w:gridSpan w:val="2"/>
            <w:noWrap w:val="0"/>
            <w:vAlign w:val="center"/>
          </w:tcPr>
          <w:p w14:paraId="46CC21C2">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pacing w:val="8"/>
                <w:sz w:val="21"/>
                <w:szCs w:val="21"/>
                <w:highlight w:val="none"/>
              </w:rPr>
            </w:pPr>
            <w:r>
              <w:rPr>
                <w:color w:val="auto"/>
                <w:spacing w:val="8"/>
                <w:sz w:val="21"/>
                <w:szCs w:val="21"/>
                <w:highlight w:val="none"/>
              </w:rPr>
              <w:t>鉴定单元</w:t>
            </w:r>
          </w:p>
        </w:tc>
        <w:tc>
          <w:tcPr>
            <w:tcW w:w="1656" w:type="pct"/>
            <w:gridSpan w:val="2"/>
            <w:noWrap w:val="0"/>
            <w:vAlign w:val="center"/>
          </w:tcPr>
          <w:p w14:paraId="15FE1680">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pacing w:val="8"/>
                <w:sz w:val="21"/>
                <w:szCs w:val="21"/>
                <w:highlight w:val="none"/>
              </w:rPr>
            </w:pPr>
            <w:r>
              <w:rPr>
                <w:color w:val="auto"/>
                <w:spacing w:val="8"/>
                <w:sz w:val="21"/>
                <w:szCs w:val="21"/>
                <w:highlight w:val="none"/>
              </w:rPr>
              <w:t>子单元</w:t>
            </w:r>
          </w:p>
        </w:tc>
        <w:tc>
          <w:tcPr>
            <w:tcW w:w="1278" w:type="pct"/>
            <w:noWrap w:val="0"/>
            <w:vAlign w:val="center"/>
          </w:tcPr>
          <w:p w14:paraId="3A17CAB5">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pacing w:val="8"/>
                <w:sz w:val="21"/>
                <w:szCs w:val="21"/>
                <w:highlight w:val="none"/>
              </w:rPr>
            </w:pPr>
            <w:r>
              <w:rPr>
                <w:color w:val="auto"/>
                <w:spacing w:val="8"/>
                <w:sz w:val="21"/>
                <w:szCs w:val="21"/>
                <w:highlight w:val="none"/>
              </w:rPr>
              <w:t>构件</w:t>
            </w:r>
          </w:p>
        </w:tc>
      </w:tr>
      <w:tr w14:paraId="45D60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jc w:val="center"/>
        </w:trPr>
        <w:tc>
          <w:tcPr>
            <w:tcW w:w="502" w:type="pct"/>
            <w:vMerge w:val="restart"/>
            <w:tcBorders>
              <w:bottom w:val="nil"/>
            </w:tcBorders>
            <w:noWrap w:val="0"/>
            <w:vAlign w:val="center"/>
          </w:tcPr>
          <w:p w14:paraId="44D4E53F">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r>
              <w:rPr>
                <w:color w:val="auto"/>
                <w:spacing w:val="8"/>
                <w:sz w:val="21"/>
                <w:szCs w:val="21"/>
                <w:highlight w:val="none"/>
              </w:rPr>
              <w:t>安全性鉴定</w:t>
            </w:r>
          </w:p>
        </w:tc>
        <w:tc>
          <w:tcPr>
            <w:tcW w:w="477" w:type="pct"/>
            <w:noWrap w:val="0"/>
            <w:vAlign w:val="center"/>
          </w:tcPr>
          <w:p w14:paraId="0F0BB5D8">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pacing w:val="8"/>
                <w:sz w:val="21"/>
                <w:szCs w:val="21"/>
                <w:highlight w:val="none"/>
              </w:rPr>
            </w:pPr>
            <w:r>
              <w:rPr>
                <w:color w:val="auto"/>
                <w:spacing w:val="8"/>
                <w:sz w:val="21"/>
                <w:szCs w:val="21"/>
                <w:highlight w:val="none"/>
              </w:rPr>
              <w:t>等级</w:t>
            </w:r>
          </w:p>
        </w:tc>
        <w:tc>
          <w:tcPr>
            <w:tcW w:w="1084" w:type="pct"/>
            <w:noWrap w:val="0"/>
            <w:vAlign w:val="center"/>
          </w:tcPr>
          <w:p w14:paraId="4711C05B">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pacing w:val="8"/>
                <w:sz w:val="21"/>
                <w:szCs w:val="21"/>
                <w:highlight w:val="none"/>
              </w:rPr>
            </w:pPr>
            <w:r>
              <w:rPr>
                <w:color w:val="auto"/>
                <w:spacing w:val="8"/>
                <w:sz w:val="21"/>
                <w:szCs w:val="21"/>
                <w:highlight w:val="none"/>
              </w:rPr>
              <w:t>A</w:t>
            </w:r>
            <w:r>
              <w:rPr>
                <w:color w:val="auto"/>
                <w:spacing w:val="8"/>
                <w:sz w:val="21"/>
                <w:szCs w:val="21"/>
                <w:highlight w:val="none"/>
                <w:vertAlign w:val="subscript"/>
              </w:rPr>
              <w:t>su</w:t>
            </w:r>
            <w:r>
              <w:rPr>
                <w:color w:val="auto"/>
                <w:spacing w:val="8"/>
                <w:sz w:val="21"/>
                <w:szCs w:val="21"/>
                <w:highlight w:val="none"/>
              </w:rPr>
              <w:t>、B</w:t>
            </w:r>
            <w:r>
              <w:rPr>
                <w:color w:val="auto"/>
                <w:spacing w:val="8"/>
                <w:sz w:val="21"/>
                <w:szCs w:val="21"/>
                <w:highlight w:val="none"/>
                <w:vertAlign w:val="subscript"/>
              </w:rPr>
              <w:t>su</w:t>
            </w:r>
            <w:r>
              <w:rPr>
                <w:color w:val="auto"/>
                <w:spacing w:val="8"/>
                <w:sz w:val="21"/>
                <w:szCs w:val="21"/>
                <w:highlight w:val="none"/>
              </w:rPr>
              <w:t>、C</w:t>
            </w:r>
            <w:r>
              <w:rPr>
                <w:color w:val="auto"/>
                <w:spacing w:val="8"/>
                <w:sz w:val="21"/>
                <w:szCs w:val="21"/>
                <w:highlight w:val="none"/>
                <w:vertAlign w:val="subscript"/>
              </w:rPr>
              <w:t>su</w:t>
            </w:r>
            <w:r>
              <w:rPr>
                <w:color w:val="auto"/>
                <w:spacing w:val="8"/>
                <w:sz w:val="21"/>
                <w:szCs w:val="21"/>
                <w:highlight w:val="none"/>
              </w:rPr>
              <w:t>、D</w:t>
            </w:r>
            <w:r>
              <w:rPr>
                <w:color w:val="auto"/>
                <w:spacing w:val="8"/>
                <w:sz w:val="21"/>
                <w:szCs w:val="21"/>
                <w:highlight w:val="none"/>
                <w:vertAlign w:val="subscript"/>
              </w:rPr>
              <w:t>su</w:t>
            </w:r>
          </w:p>
        </w:tc>
        <w:tc>
          <w:tcPr>
            <w:tcW w:w="694" w:type="pct"/>
            <w:noWrap w:val="0"/>
            <w:vAlign w:val="center"/>
          </w:tcPr>
          <w:p w14:paraId="63BE70E2">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pacing w:val="8"/>
                <w:sz w:val="21"/>
                <w:szCs w:val="21"/>
                <w:highlight w:val="none"/>
              </w:rPr>
            </w:pPr>
            <w:r>
              <w:rPr>
                <w:color w:val="auto"/>
                <w:spacing w:val="8"/>
                <w:sz w:val="21"/>
                <w:szCs w:val="21"/>
                <w:highlight w:val="none"/>
              </w:rPr>
              <w:t>等级</w:t>
            </w:r>
          </w:p>
        </w:tc>
        <w:tc>
          <w:tcPr>
            <w:tcW w:w="962" w:type="pct"/>
            <w:noWrap w:val="0"/>
            <w:vAlign w:val="center"/>
          </w:tcPr>
          <w:p w14:paraId="3060189E">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pacing w:val="8"/>
                <w:sz w:val="21"/>
                <w:szCs w:val="21"/>
                <w:highlight w:val="none"/>
              </w:rPr>
            </w:pPr>
            <w:r>
              <w:rPr>
                <w:color w:val="auto"/>
                <w:spacing w:val="8"/>
                <w:sz w:val="21"/>
                <w:szCs w:val="21"/>
                <w:highlight w:val="none"/>
              </w:rPr>
              <w:t>A、B、C、D</w:t>
            </w:r>
            <w:r>
              <w:rPr>
                <w:color w:val="auto"/>
                <w:spacing w:val="8"/>
                <w:sz w:val="21"/>
                <w:szCs w:val="21"/>
                <w:highlight w:val="none"/>
                <w:vertAlign w:val="subscript"/>
              </w:rPr>
              <w:t>u</w:t>
            </w:r>
          </w:p>
        </w:tc>
        <w:tc>
          <w:tcPr>
            <w:tcW w:w="1278" w:type="pct"/>
            <w:noWrap w:val="0"/>
            <w:vAlign w:val="center"/>
          </w:tcPr>
          <w:p w14:paraId="047BA851">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pacing w:val="8"/>
                <w:sz w:val="21"/>
                <w:szCs w:val="21"/>
                <w:highlight w:val="none"/>
              </w:rPr>
            </w:pPr>
            <w:r>
              <w:rPr>
                <w:color w:val="auto"/>
                <w:spacing w:val="8"/>
                <w:sz w:val="21"/>
                <w:szCs w:val="21"/>
                <w:highlight w:val="none"/>
              </w:rPr>
              <w:t>a、b、</w:t>
            </w:r>
            <w:r>
              <w:rPr>
                <w:rFonts w:hint="eastAsia"/>
                <w:color w:val="auto"/>
                <w:spacing w:val="8"/>
                <w:sz w:val="21"/>
                <w:szCs w:val="21"/>
                <w:highlight w:val="none"/>
                <w:lang w:val="en-US" w:eastAsia="zh-CN"/>
              </w:rPr>
              <w:t>c</w:t>
            </w:r>
            <w:r>
              <w:rPr>
                <w:color w:val="auto"/>
                <w:spacing w:val="8"/>
                <w:sz w:val="21"/>
                <w:szCs w:val="21"/>
                <w:highlight w:val="none"/>
              </w:rPr>
              <w:t>、d</w:t>
            </w:r>
          </w:p>
        </w:tc>
      </w:tr>
      <w:tr w14:paraId="0418A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jc w:val="center"/>
        </w:trPr>
        <w:tc>
          <w:tcPr>
            <w:tcW w:w="502" w:type="pct"/>
            <w:vMerge w:val="continue"/>
            <w:tcBorders>
              <w:top w:val="nil"/>
              <w:bottom w:val="nil"/>
            </w:tcBorders>
            <w:noWrap w:val="0"/>
            <w:textDirection w:val="tbRlV"/>
            <w:vAlign w:val="center"/>
          </w:tcPr>
          <w:p w14:paraId="7D072821">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pacing w:val="8"/>
                <w:sz w:val="21"/>
                <w:szCs w:val="21"/>
                <w:highlight w:val="none"/>
              </w:rPr>
            </w:pPr>
          </w:p>
        </w:tc>
        <w:tc>
          <w:tcPr>
            <w:tcW w:w="1562" w:type="pct"/>
            <w:gridSpan w:val="2"/>
            <w:vMerge w:val="restart"/>
            <w:tcBorders>
              <w:bottom w:val="nil"/>
            </w:tcBorders>
            <w:noWrap w:val="0"/>
            <w:vAlign w:val="center"/>
          </w:tcPr>
          <w:p w14:paraId="0B8518DE">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pacing w:val="8"/>
                <w:sz w:val="21"/>
                <w:szCs w:val="21"/>
                <w:highlight w:val="none"/>
              </w:rPr>
            </w:pPr>
            <w:r>
              <w:rPr>
                <w:color w:val="auto"/>
                <w:spacing w:val="8"/>
                <w:sz w:val="21"/>
                <w:szCs w:val="21"/>
                <w:highlight w:val="none"/>
              </w:rPr>
              <w:t>稳定性分析</w:t>
            </w:r>
          </w:p>
          <w:p w14:paraId="3C20116A">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pacing w:val="8"/>
                <w:sz w:val="21"/>
                <w:szCs w:val="21"/>
                <w:highlight w:val="none"/>
              </w:rPr>
            </w:pPr>
            <w:r>
              <w:rPr>
                <w:color w:val="auto"/>
                <w:spacing w:val="8"/>
                <w:sz w:val="21"/>
                <w:szCs w:val="21"/>
                <w:highlight w:val="none"/>
              </w:rPr>
              <w:t>子单元评级综合分析</w:t>
            </w:r>
          </w:p>
        </w:tc>
        <w:tc>
          <w:tcPr>
            <w:tcW w:w="694" w:type="pct"/>
            <w:vMerge w:val="restart"/>
            <w:noWrap w:val="0"/>
            <w:vAlign w:val="center"/>
          </w:tcPr>
          <w:p w14:paraId="5D094221">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pacing w:val="8"/>
                <w:sz w:val="21"/>
                <w:szCs w:val="21"/>
                <w:highlight w:val="none"/>
              </w:rPr>
            </w:pPr>
            <w:r>
              <w:rPr>
                <w:color w:val="auto"/>
                <w:spacing w:val="8"/>
                <w:sz w:val="21"/>
                <w:szCs w:val="21"/>
                <w:highlight w:val="none"/>
              </w:rPr>
              <w:t>支护结构</w:t>
            </w:r>
          </w:p>
        </w:tc>
        <w:tc>
          <w:tcPr>
            <w:tcW w:w="962" w:type="pct"/>
            <w:noWrap w:val="0"/>
            <w:vAlign w:val="center"/>
          </w:tcPr>
          <w:p w14:paraId="04D66D43">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pacing w:val="8"/>
                <w:sz w:val="21"/>
                <w:szCs w:val="21"/>
                <w:highlight w:val="none"/>
              </w:rPr>
            </w:pPr>
            <w:r>
              <w:rPr>
                <w:color w:val="auto"/>
                <w:spacing w:val="8"/>
                <w:sz w:val="21"/>
                <w:szCs w:val="21"/>
                <w:highlight w:val="none"/>
              </w:rPr>
              <w:t>整体性能</w:t>
            </w:r>
          </w:p>
        </w:tc>
        <w:tc>
          <w:tcPr>
            <w:tcW w:w="1278" w:type="pct"/>
            <w:noWrap w:val="0"/>
            <w:vAlign w:val="center"/>
          </w:tcPr>
          <w:p w14:paraId="7E6D8927">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pacing w:val="8"/>
                <w:sz w:val="21"/>
                <w:szCs w:val="21"/>
                <w:highlight w:val="none"/>
                <w:lang w:eastAsia="zh-CN"/>
              </w:rPr>
            </w:pPr>
            <w:r>
              <w:rPr>
                <w:rFonts w:hint="eastAsia"/>
                <w:color w:val="auto"/>
                <w:spacing w:val="8"/>
                <w:sz w:val="21"/>
                <w:szCs w:val="21"/>
                <w:highlight w:val="none"/>
                <w:lang w:val="en-US" w:eastAsia="zh-CN"/>
              </w:rPr>
              <w:t>/</w:t>
            </w:r>
          </w:p>
        </w:tc>
      </w:tr>
      <w:tr w14:paraId="4C217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502" w:type="pct"/>
            <w:vMerge w:val="continue"/>
            <w:tcBorders>
              <w:top w:val="nil"/>
              <w:bottom w:val="nil"/>
            </w:tcBorders>
            <w:noWrap w:val="0"/>
            <w:textDirection w:val="tbRlV"/>
            <w:vAlign w:val="center"/>
          </w:tcPr>
          <w:p w14:paraId="3746F1FE">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pacing w:val="8"/>
                <w:sz w:val="21"/>
                <w:szCs w:val="21"/>
                <w:highlight w:val="none"/>
              </w:rPr>
            </w:pPr>
          </w:p>
        </w:tc>
        <w:tc>
          <w:tcPr>
            <w:tcW w:w="1562" w:type="pct"/>
            <w:gridSpan w:val="2"/>
            <w:vMerge w:val="continue"/>
            <w:tcBorders>
              <w:top w:val="nil"/>
              <w:bottom w:val="nil"/>
            </w:tcBorders>
            <w:noWrap w:val="0"/>
            <w:vAlign w:val="center"/>
          </w:tcPr>
          <w:p w14:paraId="5D94E365">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pacing w:val="8"/>
                <w:sz w:val="21"/>
                <w:szCs w:val="21"/>
                <w:highlight w:val="none"/>
              </w:rPr>
            </w:pPr>
          </w:p>
        </w:tc>
        <w:tc>
          <w:tcPr>
            <w:tcW w:w="694" w:type="pct"/>
            <w:vMerge w:val="continue"/>
            <w:noWrap w:val="0"/>
            <w:vAlign w:val="center"/>
          </w:tcPr>
          <w:p w14:paraId="02DAE077">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pacing w:val="8"/>
                <w:sz w:val="21"/>
                <w:szCs w:val="21"/>
                <w:highlight w:val="none"/>
              </w:rPr>
            </w:pPr>
          </w:p>
        </w:tc>
        <w:tc>
          <w:tcPr>
            <w:tcW w:w="962" w:type="pct"/>
            <w:noWrap w:val="0"/>
            <w:vAlign w:val="center"/>
          </w:tcPr>
          <w:p w14:paraId="7FB17E85">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spacing w:val="8"/>
                <w:sz w:val="21"/>
                <w:szCs w:val="21"/>
                <w:highlight w:val="none"/>
                <w:lang w:val="en-US" w:eastAsia="zh-CN"/>
              </w:rPr>
            </w:pPr>
            <w:r>
              <w:rPr>
                <w:color w:val="auto"/>
                <w:spacing w:val="8"/>
                <w:sz w:val="21"/>
                <w:szCs w:val="21"/>
                <w:highlight w:val="none"/>
              </w:rPr>
              <w:t>承载能力</w:t>
            </w:r>
            <w:r>
              <w:rPr>
                <w:rFonts w:hint="eastAsia"/>
                <w:color w:val="auto"/>
                <w:spacing w:val="8"/>
                <w:sz w:val="21"/>
                <w:szCs w:val="21"/>
                <w:highlight w:val="none"/>
                <w:lang w:val="en-US" w:eastAsia="zh-CN"/>
              </w:rPr>
              <w:t>和变形</w:t>
            </w:r>
          </w:p>
        </w:tc>
        <w:tc>
          <w:tcPr>
            <w:tcW w:w="1278" w:type="pct"/>
            <w:noWrap w:val="0"/>
            <w:vAlign w:val="center"/>
          </w:tcPr>
          <w:p w14:paraId="46EE751A">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spacing w:val="8"/>
                <w:sz w:val="21"/>
                <w:szCs w:val="21"/>
                <w:highlight w:val="none"/>
                <w:lang w:val="en-US" w:eastAsia="zh-CN"/>
              </w:rPr>
            </w:pPr>
            <w:r>
              <w:rPr>
                <w:color w:val="auto"/>
                <w:spacing w:val="8"/>
                <w:sz w:val="21"/>
                <w:szCs w:val="21"/>
                <w:highlight w:val="none"/>
              </w:rPr>
              <w:t>承载能力、连接和构造</w:t>
            </w:r>
            <w:r>
              <w:rPr>
                <w:rFonts w:hint="eastAsia"/>
                <w:color w:val="auto"/>
                <w:spacing w:val="8"/>
                <w:sz w:val="21"/>
                <w:szCs w:val="21"/>
                <w:highlight w:val="none"/>
                <w:lang w:eastAsia="zh-CN"/>
              </w:rPr>
              <w:t>、</w:t>
            </w:r>
            <w:r>
              <w:rPr>
                <w:rFonts w:hint="eastAsia"/>
                <w:color w:val="auto"/>
                <w:spacing w:val="8"/>
                <w:sz w:val="21"/>
                <w:szCs w:val="21"/>
                <w:highlight w:val="none"/>
                <w:lang w:val="en-US" w:eastAsia="zh-CN"/>
              </w:rPr>
              <w:t>变形</w:t>
            </w:r>
          </w:p>
        </w:tc>
      </w:tr>
      <w:tr w14:paraId="08332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502" w:type="pct"/>
            <w:vMerge w:val="continue"/>
            <w:tcBorders>
              <w:top w:val="nil"/>
              <w:bottom w:val="nil"/>
            </w:tcBorders>
            <w:noWrap w:val="0"/>
            <w:textDirection w:val="tbRlV"/>
            <w:vAlign w:val="center"/>
          </w:tcPr>
          <w:p w14:paraId="38F76D7D">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pacing w:val="8"/>
                <w:sz w:val="21"/>
                <w:szCs w:val="21"/>
                <w:highlight w:val="none"/>
              </w:rPr>
            </w:pPr>
          </w:p>
        </w:tc>
        <w:tc>
          <w:tcPr>
            <w:tcW w:w="1562" w:type="pct"/>
            <w:gridSpan w:val="2"/>
            <w:vMerge w:val="continue"/>
            <w:tcBorders>
              <w:top w:val="nil"/>
              <w:bottom w:val="nil"/>
            </w:tcBorders>
            <w:noWrap w:val="0"/>
            <w:vAlign w:val="center"/>
          </w:tcPr>
          <w:p w14:paraId="6511A3B4">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pacing w:val="8"/>
                <w:sz w:val="21"/>
                <w:szCs w:val="21"/>
                <w:highlight w:val="none"/>
              </w:rPr>
            </w:pPr>
          </w:p>
        </w:tc>
        <w:tc>
          <w:tcPr>
            <w:tcW w:w="694" w:type="pct"/>
            <w:vMerge w:val="continue"/>
            <w:noWrap w:val="0"/>
            <w:vAlign w:val="center"/>
          </w:tcPr>
          <w:p w14:paraId="6BC82C05">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pacing w:val="8"/>
                <w:sz w:val="21"/>
                <w:szCs w:val="21"/>
                <w:highlight w:val="none"/>
              </w:rPr>
            </w:pPr>
          </w:p>
        </w:tc>
        <w:tc>
          <w:tcPr>
            <w:tcW w:w="962" w:type="pct"/>
            <w:noWrap w:val="0"/>
            <w:vAlign w:val="center"/>
          </w:tcPr>
          <w:p w14:paraId="53F04C48">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spacing w:val="8"/>
                <w:sz w:val="21"/>
                <w:szCs w:val="21"/>
                <w:highlight w:val="none"/>
                <w:lang w:val="en-US" w:eastAsia="zh-CN"/>
              </w:rPr>
            </w:pPr>
            <w:r>
              <w:rPr>
                <w:rFonts w:hint="eastAsia"/>
                <w:color w:val="auto"/>
                <w:spacing w:val="8"/>
                <w:sz w:val="21"/>
                <w:szCs w:val="21"/>
                <w:highlight w:val="none"/>
                <w:lang w:val="en-US" w:eastAsia="zh-CN"/>
              </w:rPr>
              <w:t>稳定性</w:t>
            </w:r>
          </w:p>
        </w:tc>
        <w:tc>
          <w:tcPr>
            <w:tcW w:w="1278" w:type="pct"/>
            <w:noWrap w:val="0"/>
            <w:vAlign w:val="center"/>
          </w:tcPr>
          <w:p w14:paraId="577265A5">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spacing w:val="8"/>
                <w:sz w:val="21"/>
                <w:szCs w:val="21"/>
                <w:highlight w:val="none"/>
                <w:lang w:val="en-US" w:eastAsia="zh-CN"/>
              </w:rPr>
            </w:pPr>
            <w:r>
              <w:rPr>
                <w:rFonts w:hint="eastAsia"/>
                <w:color w:val="auto"/>
                <w:spacing w:val="8"/>
                <w:sz w:val="21"/>
                <w:szCs w:val="21"/>
                <w:highlight w:val="none"/>
                <w:lang w:val="en-US" w:eastAsia="zh-CN"/>
              </w:rPr>
              <w:t>/</w:t>
            </w:r>
          </w:p>
        </w:tc>
      </w:tr>
      <w:tr w14:paraId="712AE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502" w:type="pct"/>
            <w:vMerge w:val="continue"/>
            <w:tcBorders>
              <w:top w:val="nil"/>
            </w:tcBorders>
            <w:noWrap w:val="0"/>
            <w:textDirection w:val="tbRlV"/>
            <w:vAlign w:val="center"/>
          </w:tcPr>
          <w:p w14:paraId="04E7B9C0">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pacing w:val="8"/>
                <w:sz w:val="21"/>
                <w:szCs w:val="21"/>
                <w:highlight w:val="none"/>
              </w:rPr>
            </w:pPr>
          </w:p>
        </w:tc>
        <w:tc>
          <w:tcPr>
            <w:tcW w:w="1562" w:type="pct"/>
            <w:gridSpan w:val="2"/>
            <w:vMerge w:val="continue"/>
            <w:tcBorders>
              <w:top w:val="nil"/>
            </w:tcBorders>
            <w:noWrap w:val="0"/>
            <w:vAlign w:val="center"/>
          </w:tcPr>
          <w:p w14:paraId="34633685">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pacing w:val="8"/>
                <w:sz w:val="21"/>
                <w:szCs w:val="21"/>
                <w:highlight w:val="none"/>
              </w:rPr>
            </w:pPr>
          </w:p>
        </w:tc>
        <w:tc>
          <w:tcPr>
            <w:tcW w:w="1656" w:type="pct"/>
            <w:gridSpan w:val="2"/>
            <w:noWrap w:val="0"/>
            <w:vAlign w:val="center"/>
          </w:tcPr>
          <w:p w14:paraId="62E84D1E">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olor w:val="auto"/>
                <w:spacing w:val="8"/>
                <w:sz w:val="21"/>
                <w:szCs w:val="21"/>
                <w:highlight w:val="none"/>
                <w:lang w:val="en-US"/>
              </w:rPr>
            </w:pPr>
            <w:r>
              <w:rPr>
                <w:rFonts w:hint="eastAsia"/>
                <w:color w:val="auto"/>
                <w:spacing w:val="8"/>
                <w:sz w:val="21"/>
                <w:szCs w:val="21"/>
                <w:highlight w:val="none"/>
                <w:lang w:val="en-US" w:eastAsia="zh-CN"/>
              </w:rPr>
              <w:t>地表水及地下水控制</w:t>
            </w:r>
          </w:p>
        </w:tc>
        <w:tc>
          <w:tcPr>
            <w:tcW w:w="1278" w:type="pct"/>
            <w:noWrap w:val="0"/>
            <w:vAlign w:val="center"/>
          </w:tcPr>
          <w:p w14:paraId="2AB3DAA2">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olor w:val="auto"/>
                <w:spacing w:val="8"/>
                <w:sz w:val="21"/>
                <w:szCs w:val="21"/>
                <w:highlight w:val="none"/>
                <w:lang w:val="en-US" w:eastAsia="zh-CN"/>
              </w:rPr>
            </w:pPr>
            <w:r>
              <w:rPr>
                <w:rFonts w:hint="eastAsia"/>
                <w:color w:val="auto"/>
                <w:spacing w:val="8"/>
                <w:sz w:val="21"/>
                <w:szCs w:val="21"/>
                <w:highlight w:val="none"/>
                <w:lang w:val="en-US" w:eastAsia="zh-CN"/>
              </w:rPr>
              <w:t>/</w:t>
            </w:r>
          </w:p>
        </w:tc>
      </w:tr>
    </w:tbl>
    <w:p w14:paraId="2E40F3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jc w:val="both"/>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eastAsia" w:ascii="楷体" w:hAnsi="楷体" w:eastAsia="楷体" w:cs="楷体"/>
          <w:color w:val="auto"/>
          <w:kern w:val="2"/>
          <w:sz w:val="24"/>
          <w:szCs w:val="24"/>
          <w:highlight w:val="none"/>
          <w:u w:val="single"/>
          <w:lang w:val="en-US" w:eastAsia="zh-CN" w:bidi="ar"/>
        </w:rPr>
        <w:t>【条文说明】鉴于基坑工程的特殊性，应重点评定其安全性，此条与国家现行相关标准相一致。在具体分析基坑工程安全性时，应将基坑工程划分成若干鉴定单元作为基本鉴定对象，以鉴定单元为龙头，将安全性评级分四个等级，分层次、分阶段、分</w:t>
      </w:r>
      <w:r>
        <w:rPr>
          <w:rFonts w:hint="default" w:ascii="Times New Roman" w:hAnsi="Times New Roman" w:eastAsia="楷体" w:cs="Times New Roman"/>
          <w:color w:val="auto"/>
          <w:kern w:val="2"/>
          <w:sz w:val="24"/>
          <w:szCs w:val="24"/>
          <w:highlight w:val="none"/>
          <w:u w:val="single"/>
          <w:lang w:val="en-US" w:eastAsia="zh-CN" w:bidi="ar"/>
        </w:rPr>
        <w:t>步骤、渐进地分析鉴定单元的安全性。在具体评级时可将鉴定单元划分为构件、子单元和鉴定单元分别评级，这与国家现行有关鉴定标准的相关规定是一致的；对不能具体细分为构件、子单元的鉴定单元，应直接对鉴定单元进行相应的评级。对于在同一剖面、不同高度位置采用不同支护结构形式组成的复杂鉴定单元，应根据鉴定单元的实际情况，将其细分为若干相对独立的子单元(每一子单元的组成与简单鉴定单元的组成可能相似)后，按表4.6.</w:t>
      </w:r>
      <w:r>
        <w:rPr>
          <w:rFonts w:hint="eastAsia" w:eastAsia="楷体" w:cs="Times New Roman"/>
          <w:color w:val="auto"/>
          <w:kern w:val="2"/>
          <w:sz w:val="24"/>
          <w:szCs w:val="24"/>
          <w:highlight w:val="none"/>
          <w:u w:val="single"/>
          <w:lang w:val="en-US" w:eastAsia="zh-CN" w:bidi="ar"/>
        </w:rPr>
        <w:t>1</w:t>
      </w:r>
      <w:r>
        <w:rPr>
          <w:rFonts w:hint="default" w:ascii="Times New Roman" w:hAnsi="Times New Roman" w:eastAsia="楷体" w:cs="Times New Roman"/>
          <w:color w:val="auto"/>
          <w:kern w:val="2"/>
          <w:sz w:val="24"/>
          <w:szCs w:val="24"/>
          <w:highlight w:val="none"/>
          <w:u w:val="single"/>
          <w:lang w:val="en-US" w:eastAsia="zh-CN" w:bidi="ar"/>
        </w:rPr>
        <w:t>的规定进行独立子单元的鉴定评级。</w:t>
      </w:r>
    </w:p>
    <w:p w14:paraId="26E25B77">
      <w:pPr>
        <w:keepNext w:val="0"/>
        <w:keepLines w:val="0"/>
        <w:widowControl w:val="0"/>
        <w:suppressLineNumbers w:val="0"/>
        <w:spacing w:before="0" w:beforeAutospacing="0" w:after="0" w:afterAutospacing="0" w:line="360" w:lineRule="auto"/>
        <w:ind w:left="0" w:leftChars="0" w:right="0"/>
        <w:jc w:val="both"/>
        <w:rPr>
          <w:rFonts w:hint="default" w:ascii="Times New Roman" w:hAnsi="Times New Roman" w:cs="Times New Roman" w:eastAsiaTheme="minorEastAsia"/>
          <w:b w:val="0"/>
          <w:bCs w:val="0"/>
          <w:color w:val="auto"/>
          <w:spacing w:val="2"/>
          <w:sz w:val="24"/>
          <w:szCs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
        </w:rPr>
        <w:t>4.</w:t>
      </w:r>
      <w:r>
        <w:rPr>
          <w:rFonts w:hint="default" w:ascii="Times New Roman" w:hAnsi="Times New Roman" w:cs="Times New Roman"/>
          <w:b/>
          <w:bCs/>
          <w:color w:val="auto"/>
          <w:kern w:val="2"/>
          <w:sz w:val="24"/>
          <w:szCs w:val="24"/>
          <w:highlight w:val="none"/>
          <w:lang w:val="en-US" w:eastAsia="zh-CN" w:bidi="ar"/>
        </w:rPr>
        <w:t>6</w:t>
      </w:r>
      <w:r>
        <w:rPr>
          <w:rFonts w:hint="default" w:ascii="Times New Roman" w:hAnsi="Times New Roman" w:eastAsia="宋体" w:cs="Times New Roman"/>
          <w:b/>
          <w:bCs/>
          <w:color w:val="auto"/>
          <w:kern w:val="2"/>
          <w:sz w:val="24"/>
          <w:szCs w:val="24"/>
          <w:highlight w:val="none"/>
          <w:lang w:val="en-US" w:eastAsia="zh-CN" w:bidi="ar"/>
        </w:rPr>
        <w:t xml:space="preserve">.2 </w:t>
      </w:r>
      <w:r>
        <w:rPr>
          <w:rFonts w:hint="default" w:ascii="Times New Roman" w:hAnsi="Times New Roman" w:cs="Times New Roman" w:eastAsiaTheme="minorEastAsia"/>
          <w:b w:val="0"/>
          <w:bCs w:val="0"/>
          <w:color w:val="auto"/>
          <w:spacing w:val="2"/>
          <w:sz w:val="24"/>
          <w:szCs w:val="24"/>
          <w:highlight w:val="none"/>
          <w:lang w:val="en-US" w:eastAsia="zh-CN"/>
        </w:rPr>
        <w:t>基坑工程鉴定的构件、子单元和鉴定单元的</w:t>
      </w:r>
      <w:r>
        <w:rPr>
          <w:rFonts w:hint="eastAsia" w:ascii="Times New Roman" w:hAnsi="Times New Roman" w:cs="Times New Roman" w:eastAsiaTheme="minorEastAsia"/>
          <w:b w:val="0"/>
          <w:bCs w:val="0"/>
          <w:color w:val="auto"/>
          <w:spacing w:val="2"/>
          <w:sz w:val="24"/>
          <w:szCs w:val="24"/>
          <w:highlight w:val="none"/>
          <w:lang w:val="en-US" w:eastAsia="zh-CN"/>
        </w:rPr>
        <w:t>鉴定</w:t>
      </w:r>
      <w:r>
        <w:rPr>
          <w:rFonts w:hint="default" w:ascii="Times New Roman" w:hAnsi="Times New Roman" w:cs="Times New Roman" w:eastAsiaTheme="minorEastAsia"/>
          <w:b w:val="0"/>
          <w:bCs w:val="0"/>
          <w:color w:val="auto"/>
          <w:spacing w:val="2"/>
          <w:sz w:val="24"/>
          <w:szCs w:val="24"/>
          <w:highlight w:val="none"/>
          <w:lang w:val="en-US" w:eastAsia="zh-CN"/>
        </w:rPr>
        <w:t>评级标准应符合表</w:t>
      </w:r>
      <w:r>
        <w:rPr>
          <w:rFonts w:hint="eastAsia" w:ascii="Times New Roman" w:hAnsi="Times New Roman" w:cs="Times New Roman" w:eastAsiaTheme="minorEastAsia"/>
          <w:b w:val="0"/>
          <w:bCs w:val="0"/>
          <w:color w:val="auto"/>
          <w:spacing w:val="2"/>
          <w:sz w:val="24"/>
          <w:szCs w:val="24"/>
          <w:highlight w:val="none"/>
          <w:lang w:val="en-US" w:eastAsia="zh-CN"/>
        </w:rPr>
        <w:t>4.6.</w:t>
      </w:r>
      <w:r>
        <w:rPr>
          <w:rFonts w:hint="eastAsia" w:cs="Times New Roman" w:eastAsiaTheme="minorEastAsia"/>
          <w:b w:val="0"/>
          <w:bCs w:val="0"/>
          <w:color w:val="auto"/>
          <w:spacing w:val="2"/>
          <w:sz w:val="24"/>
          <w:szCs w:val="24"/>
          <w:highlight w:val="none"/>
          <w:lang w:val="en-US" w:eastAsia="zh-CN"/>
        </w:rPr>
        <w:t>2</w:t>
      </w:r>
      <w:r>
        <w:rPr>
          <w:rFonts w:hint="default" w:ascii="Times New Roman" w:hAnsi="Times New Roman" w:cs="Times New Roman" w:eastAsiaTheme="minorEastAsia"/>
          <w:b w:val="0"/>
          <w:bCs w:val="0"/>
          <w:color w:val="auto"/>
          <w:spacing w:val="2"/>
          <w:sz w:val="24"/>
          <w:szCs w:val="24"/>
          <w:highlight w:val="none"/>
          <w:lang w:val="en-US" w:eastAsia="zh-CN"/>
        </w:rPr>
        <w:t>的规定。</w:t>
      </w:r>
    </w:p>
    <w:p w14:paraId="4C4F769F">
      <w:pPr>
        <w:spacing w:line="360" w:lineRule="auto"/>
        <w:jc w:val="center"/>
        <w:rPr>
          <w:rFonts w:hint="eastAsia" w:cs="Times New Roman"/>
          <w:b/>
          <w:color w:val="auto"/>
          <w:szCs w:val="21"/>
          <w:highlight w:val="none"/>
          <w:lang w:val="en-US" w:eastAsia="zh-CN"/>
        </w:rPr>
      </w:pPr>
      <w:r>
        <w:rPr>
          <w:rFonts w:hint="eastAsia" w:cs="Times New Roman"/>
          <w:b/>
          <w:color w:val="auto"/>
          <w:szCs w:val="21"/>
          <w:highlight w:val="none"/>
          <w:lang w:val="en-US" w:eastAsia="zh-CN"/>
        </w:rPr>
        <w:t>表4.6.2 基坑工程鉴定评级的各层次评级标准</w:t>
      </w:r>
    </w:p>
    <w:tbl>
      <w:tblPr>
        <w:tblStyle w:val="32"/>
        <w:tblW w:w="8505" w:type="dxa"/>
        <w:tblInd w:w="5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9"/>
        <w:gridCol w:w="462"/>
        <w:gridCol w:w="4815"/>
        <w:gridCol w:w="2229"/>
      </w:tblGrid>
      <w:tr w14:paraId="2D8E6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999" w:type="dxa"/>
            <w:tcBorders>
              <w:top w:val="single" w:color="000000" w:sz="10" w:space="0"/>
              <w:left w:val="single" w:color="000000" w:sz="10" w:space="0"/>
            </w:tcBorders>
            <w:vAlign w:val="center"/>
          </w:tcPr>
          <w:p w14:paraId="6FB7145F">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r>
              <w:rPr>
                <w:color w:val="auto"/>
                <w:spacing w:val="8"/>
                <w:sz w:val="21"/>
                <w:szCs w:val="21"/>
                <w:highlight w:val="none"/>
              </w:rPr>
              <w:t>鉴定对象</w:t>
            </w:r>
          </w:p>
        </w:tc>
        <w:tc>
          <w:tcPr>
            <w:tcW w:w="462" w:type="dxa"/>
            <w:tcBorders>
              <w:top w:val="single" w:color="000000" w:sz="10" w:space="0"/>
            </w:tcBorders>
            <w:vAlign w:val="center"/>
          </w:tcPr>
          <w:p w14:paraId="23C97B5B">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r>
              <w:rPr>
                <w:color w:val="auto"/>
                <w:spacing w:val="8"/>
                <w:sz w:val="21"/>
                <w:szCs w:val="21"/>
                <w:highlight w:val="none"/>
              </w:rPr>
              <w:t>等级</w:t>
            </w:r>
          </w:p>
        </w:tc>
        <w:tc>
          <w:tcPr>
            <w:tcW w:w="4815" w:type="dxa"/>
            <w:tcBorders>
              <w:top w:val="single" w:color="000000" w:sz="10" w:space="0"/>
            </w:tcBorders>
            <w:vAlign w:val="center"/>
          </w:tcPr>
          <w:p w14:paraId="64FC16DD">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r>
              <w:rPr>
                <w:color w:val="auto"/>
                <w:spacing w:val="8"/>
                <w:sz w:val="21"/>
                <w:szCs w:val="21"/>
                <w:highlight w:val="none"/>
              </w:rPr>
              <w:t>分级标准</w:t>
            </w:r>
          </w:p>
        </w:tc>
        <w:tc>
          <w:tcPr>
            <w:tcW w:w="2229" w:type="dxa"/>
            <w:tcBorders>
              <w:top w:val="single" w:color="000000" w:sz="10" w:space="0"/>
              <w:right w:val="single" w:color="000000" w:sz="10" w:space="0"/>
            </w:tcBorders>
            <w:vAlign w:val="center"/>
          </w:tcPr>
          <w:p w14:paraId="3CE69380">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r>
              <w:rPr>
                <w:color w:val="auto"/>
                <w:spacing w:val="8"/>
                <w:sz w:val="21"/>
                <w:szCs w:val="21"/>
                <w:highlight w:val="none"/>
              </w:rPr>
              <w:t>处理要求</w:t>
            </w:r>
          </w:p>
        </w:tc>
      </w:tr>
      <w:tr w14:paraId="3ADC11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999" w:type="dxa"/>
            <w:vMerge w:val="restart"/>
            <w:tcBorders>
              <w:left w:val="single" w:color="000000" w:sz="10" w:space="0"/>
              <w:bottom w:val="nil"/>
            </w:tcBorders>
            <w:vAlign w:val="center"/>
          </w:tcPr>
          <w:p w14:paraId="1A657223">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r>
              <w:rPr>
                <w:color w:val="auto"/>
                <w:spacing w:val="8"/>
                <w:sz w:val="21"/>
                <w:szCs w:val="21"/>
                <w:highlight w:val="none"/>
              </w:rPr>
              <w:t>构件</w:t>
            </w:r>
          </w:p>
        </w:tc>
        <w:tc>
          <w:tcPr>
            <w:tcW w:w="462" w:type="dxa"/>
            <w:vAlign w:val="center"/>
          </w:tcPr>
          <w:p w14:paraId="11B1BC99">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r>
              <w:rPr>
                <w:color w:val="auto"/>
                <w:spacing w:val="8"/>
                <w:sz w:val="21"/>
                <w:szCs w:val="21"/>
                <w:highlight w:val="none"/>
              </w:rPr>
              <w:t>a</w:t>
            </w:r>
          </w:p>
        </w:tc>
        <w:tc>
          <w:tcPr>
            <w:tcW w:w="4815" w:type="dxa"/>
            <w:vAlign w:val="center"/>
          </w:tcPr>
          <w:p w14:paraId="41F369CF">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r>
              <w:rPr>
                <w:color w:val="auto"/>
                <w:spacing w:val="8"/>
                <w:sz w:val="21"/>
                <w:szCs w:val="21"/>
                <w:highlight w:val="none"/>
              </w:rPr>
              <w:t>安全性符合本标准对a级的规定，具有足够的承载能力</w:t>
            </w:r>
          </w:p>
        </w:tc>
        <w:tc>
          <w:tcPr>
            <w:tcW w:w="2229" w:type="dxa"/>
            <w:tcBorders>
              <w:right w:val="single" w:color="000000" w:sz="10" w:space="0"/>
            </w:tcBorders>
            <w:vAlign w:val="center"/>
          </w:tcPr>
          <w:p w14:paraId="085B1134">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r>
              <w:rPr>
                <w:color w:val="auto"/>
                <w:spacing w:val="8"/>
                <w:sz w:val="21"/>
                <w:szCs w:val="21"/>
                <w:highlight w:val="none"/>
              </w:rPr>
              <w:t>不必采取措施</w:t>
            </w:r>
          </w:p>
        </w:tc>
      </w:tr>
      <w:tr w14:paraId="07304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999" w:type="dxa"/>
            <w:vMerge w:val="continue"/>
            <w:tcBorders>
              <w:top w:val="nil"/>
              <w:left w:val="single" w:color="000000" w:sz="10" w:space="0"/>
              <w:bottom w:val="nil"/>
            </w:tcBorders>
            <w:vAlign w:val="center"/>
          </w:tcPr>
          <w:p w14:paraId="2B83EB6B">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p>
        </w:tc>
        <w:tc>
          <w:tcPr>
            <w:tcW w:w="462" w:type="dxa"/>
            <w:vAlign w:val="center"/>
          </w:tcPr>
          <w:p w14:paraId="31ABFFE7">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r>
              <w:rPr>
                <w:color w:val="auto"/>
                <w:spacing w:val="8"/>
                <w:sz w:val="21"/>
                <w:szCs w:val="21"/>
                <w:highlight w:val="none"/>
              </w:rPr>
              <w:t>b</w:t>
            </w:r>
          </w:p>
        </w:tc>
        <w:tc>
          <w:tcPr>
            <w:tcW w:w="4815" w:type="dxa"/>
            <w:vAlign w:val="center"/>
          </w:tcPr>
          <w:p w14:paraId="08A67AC9">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r>
              <w:rPr>
                <w:color w:val="auto"/>
                <w:spacing w:val="8"/>
                <w:sz w:val="21"/>
                <w:szCs w:val="21"/>
                <w:highlight w:val="none"/>
              </w:rPr>
              <w:t>安全性略低于本标准对a级的规定，尚不显著影响承载能力</w:t>
            </w:r>
          </w:p>
        </w:tc>
        <w:tc>
          <w:tcPr>
            <w:tcW w:w="2229" w:type="dxa"/>
            <w:tcBorders>
              <w:right w:val="single" w:color="000000" w:sz="10" w:space="0"/>
            </w:tcBorders>
            <w:vAlign w:val="center"/>
          </w:tcPr>
          <w:p w14:paraId="3EB5912F">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r>
              <w:rPr>
                <w:color w:val="auto"/>
                <w:spacing w:val="8"/>
                <w:sz w:val="21"/>
                <w:szCs w:val="21"/>
                <w:highlight w:val="none"/>
              </w:rPr>
              <w:t>可不采取措施</w:t>
            </w:r>
          </w:p>
        </w:tc>
      </w:tr>
      <w:tr w14:paraId="4F5EF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999" w:type="dxa"/>
            <w:vMerge w:val="continue"/>
            <w:tcBorders>
              <w:top w:val="nil"/>
              <w:left w:val="single" w:color="000000" w:sz="10" w:space="0"/>
              <w:bottom w:val="nil"/>
            </w:tcBorders>
            <w:vAlign w:val="center"/>
          </w:tcPr>
          <w:p w14:paraId="392C68E2">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p>
        </w:tc>
        <w:tc>
          <w:tcPr>
            <w:tcW w:w="462" w:type="dxa"/>
            <w:vAlign w:val="center"/>
          </w:tcPr>
          <w:p w14:paraId="3946C92E">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r>
              <w:rPr>
                <w:color w:val="auto"/>
                <w:spacing w:val="8"/>
                <w:sz w:val="21"/>
                <w:szCs w:val="21"/>
                <w:highlight w:val="none"/>
              </w:rPr>
              <w:t>c</w:t>
            </w:r>
          </w:p>
        </w:tc>
        <w:tc>
          <w:tcPr>
            <w:tcW w:w="4815" w:type="dxa"/>
            <w:vAlign w:val="center"/>
          </w:tcPr>
          <w:p w14:paraId="29959A27">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r>
              <w:rPr>
                <w:color w:val="auto"/>
                <w:spacing w:val="8"/>
                <w:sz w:val="21"/>
                <w:szCs w:val="21"/>
                <w:highlight w:val="none"/>
              </w:rPr>
              <w:t>安全性不符合本标准对a级的规定，显著影响承载能力</w:t>
            </w:r>
          </w:p>
        </w:tc>
        <w:tc>
          <w:tcPr>
            <w:tcW w:w="2229" w:type="dxa"/>
            <w:tcBorders>
              <w:right w:val="single" w:color="000000" w:sz="10" w:space="0"/>
            </w:tcBorders>
            <w:vAlign w:val="center"/>
          </w:tcPr>
          <w:p w14:paraId="7E6656A5">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r>
              <w:rPr>
                <w:color w:val="auto"/>
                <w:spacing w:val="8"/>
                <w:sz w:val="21"/>
                <w:szCs w:val="21"/>
                <w:highlight w:val="none"/>
              </w:rPr>
              <w:t>应采取措施</w:t>
            </w:r>
          </w:p>
        </w:tc>
      </w:tr>
      <w:tr w14:paraId="58256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999" w:type="dxa"/>
            <w:vMerge w:val="continue"/>
            <w:tcBorders>
              <w:top w:val="nil"/>
              <w:left w:val="single" w:color="000000" w:sz="10" w:space="0"/>
            </w:tcBorders>
            <w:vAlign w:val="center"/>
          </w:tcPr>
          <w:p w14:paraId="354E7E02">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p>
        </w:tc>
        <w:tc>
          <w:tcPr>
            <w:tcW w:w="462" w:type="dxa"/>
            <w:vAlign w:val="center"/>
          </w:tcPr>
          <w:p w14:paraId="1E73CA20">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r>
              <w:rPr>
                <w:color w:val="auto"/>
                <w:spacing w:val="8"/>
                <w:sz w:val="21"/>
                <w:szCs w:val="21"/>
                <w:highlight w:val="none"/>
              </w:rPr>
              <w:t>d</w:t>
            </w:r>
          </w:p>
        </w:tc>
        <w:tc>
          <w:tcPr>
            <w:tcW w:w="4815" w:type="dxa"/>
            <w:vAlign w:val="center"/>
          </w:tcPr>
          <w:p w14:paraId="62EA42BC">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r>
              <w:rPr>
                <w:color w:val="auto"/>
                <w:spacing w:val="8"/>
                <w:sz w:val="21"/>
                <w:szCs w:val="21"/>
                <w:highlight w:val="none"/>
              </w:rPr>
              <w:t>安全性不符合本标准对a级的规定，已严重影响承载能力</w:t>
            </w:r>
          </w:p>
        </w:tc>
        <w:tc>
          <w:tcPr>
            <w:tcW w:w="2229" w:type="dxa"/>
            <w:tcBorders>
              <w:right w:val="single" w:color="000000" w:sz="10" w:space="0"/>
            </w:tcBorders>
            <w:vAlign w:val="center"/>
          </w:tcPr>
          <w:p w14:paraId="0B1A5AD7">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r>
              <w:rPr>
                <w:color w:val="auto"/>
                <w:spacing w:val="8"/>
                <w:sz w:val="21"/>
                <w:szCs w:val="21"/>
                <w:highlight w:val="none"/>
              </w:rPr>
              <w:t>必须及时或立即采取措施</w:t>
            </w:r>
          </w:p>
        </w:tc>
      </w:tr>
      <w:tr w14:paraId="75ECE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999" w:type="dxa"/>
            <w:vMerge w:val="restart"/>
            <w:tcBorders>
              <w:left w:val="single" w:color="000000" w:sz="10" w:space="0"/>
            </w:tcBorders>
            <w:vAlign w:val="center"/>
          </w:tcPr>
          <w:p w14:paraId="7A980223">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olor w:val="auto"/>
                <w:spacing w:val="8"/>
                <w:sz w:val="21"/>
                <w:szCs w:val="21"/>
                <w:highlight w:val="none"/>
                <w:lang w:val="en-US" w:eastAsia="zh-CN"/>
              </w:rPr>
            </w:pPr>
            <w:r>
              <w:rPr>
                <w:color w:val="auto"/>
                <w:spacing w:val="8"/>
                <w:sz w:val="21"/>
                <w:szCs w:val="21"/>
                <w:highlight w:val="none"/>
              </w:rPr>
              <w:t>子单</w:t>
            </w:r>
            <w:r>
              <w:rPr>
                <w:rFonts w:hint="eastAsia"/>
                <w:color w:val="auto"/>
                <w:spacing w:val="8"/>
                <w:sz w:val="21"/>
                <w:szCs w:val="21"/>
                <w:highlight w:val="none"/>
                <w:lang w:val="en-US" w:eastAsia="zh-CN"/>
              </w:rPr>
              <w:t>元</w:t>
            </w:r>
          </w:p>
        </w:tc>
        <w:tc>
          <w:tcPr>
            <w:tcW w:w="462" w:type="dxa"/>
            <w:vAlign w:val="center"/>
          </w:tcPr>
          <w:p w14:paraId="46BD3EC4">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r>
              <w:rPr>
                <w:color w:val="auto"/>
                <w:spacing w:val="8"/>
                <w:sz w:val="21"/>
                <w:szCs w:val="21"/>
                <w:highlight w:val="none"/>
              </w:rPr>
              <w:t>A</w:t>
            </w:r>
          </w:p>
        </w:tc>
        <w:tc>
          <w:tcPr>
            <w:tcW w:w="4815" w:type="dxa"/>
            <w:vAlign w:val="center"/>
          </w:tcPr>
          <w:p w14:paraId="63D53BA0">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r>
              <w:rPr>
                <w:color w:val="auto"/>
                <w:spacing w:val="8"/>
                <w:sz w:val="21"/>
                <w:szCs w:val="21"/>
                <w:highlight w:val="none"/>
              </w:rPr>
              <w:t>安全性符合本标准对A级的规定，不影响整体承载</w:t>
            </w:r>
          </w:p>
        </w:tc>
        <w:tc>
          <w:tcPr>
            <w:tcW w:w="2229" w:type="dxa"/>
            <w:tcBorders>
              <w:right w:val="single" w:color="000000" w:sz="10" w:space="0"/>
            </w:tcBorders>
            <w:vAlign w:val="center"/>
          </w:tcPr>
          <w:p w14:paraId="3846D866">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r>
              <w:rPr>
                <w:color w:val="auto"/>
                <w:spacing w:val="8"/>
                <w:sz w:val="21"/>
                <w:szCs w:val="21"/>
                <w:highlight w:val="none"/>
              </w:rPr>
              <w:t>可能有个别构件宜采取适当措施</w:t>
            </w:r>
          </w:p>
        </w:tc>
      </w:tr>
      <w:tr w14:paraId="1466B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999" w:type="dxa"/>
            <w:vMerge w:val="continue"/>
            <w:tcBorders>
              <w:left w:val="single" w:color="000000" w:sz="10" w:space="0"/>
            </w:tcBorders>
            <w:vAlign w:val="center"/>
          </w:tcPr>
          <w:p w14:paraId="657C89B0">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p>
        </w:tc>
        <w:tc>
          <w:tcPr>
            <w:tcW w:w="462" w:type="dxa"/>
            <w:shd w:val="clear" w:color="auto" w:fill="auto"/>
            <w:vAlign w:val="center"/>
          </w:tcPr>
          <w:p w14:paraId="5475CF28">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spacing w:val="8"/>
                <w:kern w:val="2"/>
                <w:sz w:val="21"/>
                <w:szCs w:val="21"/>
                <w:highlight w:val="none"/>
                <w:lang w:val="en-US" w:eastAsia="en-US" w:bidi="ar-SA"/>
              </w:rPr>
            </w:pPr>
            <w:r>
              <w:rPr>
                <w:color w:val="auto"/>
                <w:spacing w:val="8"/>
                <w:sz w:val="21"/>
                <w:szCs w:val="21"/>
                <w:highlight w:val="none"/>
              </w:rPr>
              <w:t>B</w:t>
            </w:r>
          </w:p>
        </w:tc>
        <w:tc>
          <w:tcPr>
            <w:tcW w:w="4815" w:type="dxa"/>
            <w:shd w:val="clear" w:color="auto" w:fill="auto"/>
            <w:vAlign w:val="center"/>
          </w:tcPr>
          <w:p w14:paraId="2126B531">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spacing w:val="8"/>
                <w:kern w:val="2"/>
                <w:sz w:val="21"/>
                <w:szCs w:val="21"/>
                <w:highlight w:val="none"/>
                <w:lang w:val="en-US" w:eastAsia="en-US" w:bidi="ar-SA"/>
              </w:rPr>
            </w:pPr>
            <w:r>
              <w:rPr>
                <w:color w:val="auto"/>
                <w:spacing w:val="8"/>
                <w:sz w:val="21"/>
                <w:szCs w:val="21"/>
                <w:highlight w:val="none"/>
              </w:rPr>
              <w:t>安全性略低于本标准对A级的规定，尚不显著影响整体承载</w:t>
            </w:r>
          </w:p>
        </w:tc>
        <w:tc>
          <w:tcPr>
            <w:tcW w:w="2229" w:type="dxa"/>
            <w:tcBorders>
              <w:right w:val="single" w:color="000000" w:sz="10" w:space="0"/>
            </w:tcBorders>
            <w:shd w:val="clear" w:color="auto" w:fill="auto"/>
            <w:vAlign w:val="center"/>
          </w:tcPr>
          <w:p w14:paraId="7DC16188">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spacing w:val="8"/>
                <w:kern w:val="2"/>
                <w:sz w:val="21"/>
                <w:szCs w:val="21"/>
                <w:highlight w:val="none"/>
                <w:lang w:val="en-US" w:eastAsia="en-US" w:bidi="ar-SA"/>
              </w:rPr>
            </w:pPr>
            <w:r>
              <w:rPr>
                <w:color w:val="auto"/>
                <w:spacing w:val="8"/>
                <w:sz w:val="21"/>
                <w:szCs w:val="21"/>
                <w:highlight w:val="none"/>
              </w:rPr>
              <w:t>可能有极少数构件应采取措施</w:t>
            </w:r>
          </w:p>
        </w:tc>
      </w:tr>
      <w:tr w14:paraId="189BA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999" w:type="dxa"/>
            <w:vMerge w:val="continue"/>
            <w:tcBorders>
              <w:left w:val="single" w:color="000000" w:sz="10" w:space="0"/>
            </w:tcBorders>
            <w:vAlign w:val="center"/>
          </w:tcPr>
          <w:p w14:paraId="07599D4F">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p>
        </w:tc>
        <w:tc>
          <w:tcPr>
            <w:tcW w:w="462" w:type="dxa"/>
            <w:shd w:val="clear" w:color="auto" w:fill="auto"/>
            <w:vAlign w:val="center"/>
          </w:tcPr>
          <w:p w14:paraId="7BB39ACD">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spacing w:val="8"/>
                <w:kern w:val="2"/>
                <w:sz w:val="21"/>
                <w:szCs w:val="21"/>
                <w:highlight w:val="none"/>
                <w:lang w:val="en-US" w:eastAsia="en-US" w:bidi="ar-SA"/>
              </w:rPr>
            </w:pPr>
            <w:r>
              <w:rPr>
                <w:color w:val="auto"/>
                <w:spacing w:val="8"/>
                <w:sz w:val="21"/>
                <w:szCs w:val="21"/>
                <w:highlight w:val="none"/>
              </w:rPr>
              <w:t>C</w:t>
            </w:r>
          </w:p>
        </w:tc>
        <w:tc>
          <w:tcPr>
            <w:tcW w:w="4815" w:type="dxa"/>
            <w:shd w:val="clear" w:color="auto" w:fill="auto"/>
            <w:vAlign w:val="center"/>
          </w:tcPr>
          <w:p w14:paraId="391BF41D">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spacing w:val="8"/>
                <w:kern w:val="2"/>
                <w:sz w:val="21"/>
                <w:szCs w:val="21"/>
                <w:highlight w:val="none"/>
                <w:lang w:val="en-US" w:eastAsia="en-US" w:bidi="ar-SA"/>
              </w:rPr>
            </w:pPr>
            <w:r>
              <w:rPr>
                <w:color w:val="auto"/>
                <w:spacing w:val="8"/>
                <w:sz w:val="21"/>
                <w:szCs w:val="21"/>
                <w:highlight w:val="none"/>
              </w:rPr>
              <w:t>安全性不符合本标准对A级的规定，显著影响整体承载</w:t>
            </w:r>
          </w:p>
        </w:tc>
        <w:tc>
          <w:tcPr>
            <w:tcW w:w="2229" w:type="dxa"/>
            <w:tcBorders>
              <w:right w:val="single" w:color="000000" w:sz="10" w:space="0"/>
            </w:tcBorders>
            <w:shd w:val="clear" w:color="auto" w:fill="auto"/>
            <w:vAlign w:val="center"/>
          </w:tcPr>
          <w:p w14:paraId="76C9C1BA">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spacing w:val="8"/>
                <w:kern w:val="2"/>
                <w:sz w:val="21"/>
                <w:szCs w:val="21"/>
                <w:highlight w:val="none"/>
                <w:lang w:val="en-US" w:eastAsia="en-US" w:bidi="ar-SA"/>
              </w:rPr>
            </w:pPr>
            <w:r>
              <w:rPr>
                <w:rFonts w:hint="eastAsia"/>
                <w:color w:val="auto"/>
                <w:spacing w:val="8"/>
                <w:sz w:val="21"/>
                <w:szCs w:val="21"/>
                <w:highlight w:val="none"/>
                <w:lang w:val="en-US" w:eastAsia="zh-CN"/>
              </w:rPr>
              <w:t>应采取措施，且</w:t>
            </w:r>
            <w:r>
              <w:rPr>
                <w:color w:val="auto"/>
                <w:spacing w:val="8"/>
                <w:sz w:val="21"/>
                <w:szCs w:val="21"/>
                <w:highlight w:val="none"/>
              </w:rPr>
              <w:t>可能有极少数构件必须立即采取措施</w:t>
            </w:r>
          </w:p>
        </w:tc>
      </w:tr>
      <w:tr w14:paraId="3EFF1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999" w:type="dxa"/>
            <w:vMerge w:val="continue"/>
            <w:tcBorders>
              <w:left w:val="single" w:color="000000" w:sz="10" w:space="0"/>
            </w:tcBorders>
            <w:vAlign w:val="center"/>
          </w:tcPr>
          <w:p w14:paraId="7CBF8D01">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p>
        </w:tc>
        <w:tc>
          <w:tcPr>
            <w:tcW w:w="462" w:type="dxa"/>
            <w:shd w:val="clear" w:color="auto" w:fill="auto"/>
            <w:vAlign w:val="center"/>
          </w:tcPr>
          <w:p w14:paraId="68410387">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spacing w:val="8"/>
                <w:kern w:val="2"/>
                <w:sz w:val="21"/>
                <w:szCs w:val="21"/>
                <w:highlight w:val="none"/>
                <w:lang w:val="en-US" w:eastAsia="en-US" w:bidi="ar-SA"/>
              </w:rPr>
            </w:pPr>
            <w:r>
              <w:rPr>
                <w:color w:val="auto"/>
                <w:spacing w:val="8"/>
                <w:sz w:val="21"/>
                <w:szCs w:val="21"/>
                <w:highlight w:val="none"/>
              </w:rPr>
              <w:t>D</w:t>
            </w:r>
          </w:p>
        </w:tc>
        <w:tc>
          <w:tcPr>
            <w:tcW w:w="4815" w:type="dxa"/>
            <w:shd w:val="clear" w:color="auto" w:fill="auto"/>
            <w:vAlign w:val="center"/>
          </w:tcPr>
          <w:p w14:paraId="165842C9">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spacing w:val="8"/>
                <w:kern w:val="2"/>
                <w:sz w:val="21"/>
                <w:szCs w:val="21"/>
                <w:highlight w:val="none"/>
                <w:lang w:val="en-US" w:eastAsia="en-US" w:bidi="ar-SA"/>
              </w:rPr>
            </w:pPr>
            <w:r>
              <w:rPr>
                <w:color w:val="auto"/>
                <w:spacing w:val="8"/>
                <w:sz w:val="21"/>
                <w:szCs w:val="21"/>
                <w:highlight w:val="none"/>
              </w:rPr>
              <w:t>安全性极不符合本标准对A级的规定，严重影响整体承载</w:t>
            </w:r>
          </w:p>
        </w:tc>
        <w:tc>
          <w:tcPr>
            <w:tcW w:w="2229" w:type="dxa"/>
            <w:tcBorders>
              <w:right w:val="single" w:color="000000" w:sz="10" w:space="0"/>
            </w:tcBorders>
            <w:shd w:val="clear" w:color="auto" w:fill="auto"/>
            <w:vAlign w:val="center"/>
          </w:tcPr>
          <w:p w14:paraId="61A50707">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spacing w:val="8"/>
                <w:kern w:val="2"/>
                <w:sz w:val="21"/>
                <w:szCs w:val="21"/>
                <w:highlight w:val="none"/>
                <w:lang w:val="en-US" w:eastAsia="en-US" w:bidi="ar-SA"/>
              </w:rPr>
            </w:pPr>
            <w:r>
              <w:rPr>
                <w:color w:val="auto"/>
                <w:spacing w:val="8"/>
                <w:sz w:val="21"/>
                <w:szCs w:val="21"/>
                <w:highlight w:val="none"/>
              </w:rPr>
              <w:t>必须立即采取措施</w:t>
            </w:r>
          </w:p>
        </w:tc>
      </w:tr>
      <w:tr w14:paraId="65AFE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999" w:type="dxa"/>
            <w:vMerge w:val="restart"/>
            <w:tcBorders>
              <w:left w:val="single" w:color="000000" w:sz="10" w:space="0"/>
            </w:tcBorders>
            <w:shd w:val="clear" w:color="auto" w:fill="auto"/>
            <w:vAlign w:val="center"/>
          </w:tcPr>
          <w:p w14:paraId="7C2F083B">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spacing w:val="8"/>
                <w:kern w:val="2"/>
                <w:sz w:val="21"/>
                <w:szCs w:val="21"/>
                <w:highlight w:val="none"/>
                <w:lang w:val="en-US" w:eastAsia="en-US" w:bidi="ar-SA"/>
              </w:rPr>
            </w:pPr>
            <w:r>
              <w:rPr>
                <w:color w:val="auto"/>
                <w:spacing w:val="8"/>
                <w:sz w:val="21"/>
                <w:szCs w:val="21"/>
                <w:highlight w:val="none"/>
              </w:rPr>
              <w:t>鉴定单元</w:t>
            </w:r>
          </w:p>
        </w:tc>
        <w:tc>
          <w:tcPr>
            <w:tcW w:w="462" w:type="dxa"/>
            <w:shd w:val="clear" w:color="auto" w:fill="auto"/>
            <w:vAlign w:val="center"/>
          </w:tcPr>
          <w:p w14:paraId="0B6A2982">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spacing w:val="8"/>
                <w:kern w:val="2"/>
                <w:sz w:val="21"/>
                <w:szCs w:val="21"/>
                <w:highlight w:val="none"/>
                <w:lang w:val="en-US" w:eastAsia="zh-CN" w:bidi="ar-SA"/>
              </w:rPr>
            </w:pPr>
            <w:r>
              <w:rPr>
                <w:rFonts w:hint="eastAsia"/>
                <w:color w:val="auto"/>
                <w:spacing w:val="8"/>
                <w:sz w:val="21"/>
                <w:szCs w:val="21"/>
                <w:highlight w:val="none"/>
                <w:lang w:val="en-US" w:eastAsia="zh-CN"/>
              </w:rPr>
              <w:t>A</w:t>
            </w:r>
            <w:r>
              <w:rPr>
                <w:rFonts w:hint="eastAsia"/>
                <w:color w:val="auto"/>
                <w:spacing w:val="8"/>
                <w:sz w:val="21"/>
                <w:szCs w:val="21"/>
                <w:highlight w:val="none"/>
                <w:vertAlign w:val="subscript"/>
                <w:lang w:val="en-US" w:eastAsia="zh-CN"/>
              </w:rPr>
              <w:t>su</w:t>
            </w:r>
          </w:p>
        </w:tc>
        <w:tc>
          <w:tcPr>
            <w:tcW w:w="4815" w:type="dxa"/>
            <w:shd w:val="clear" w:color="auto" w:fill="auto"/>
            <w:vAlign w:val="center"/>
          </w:tcPr>
          <w:p w14:paraId="36F17316">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spacing w:val="8"/>
                <w:kern w:val="2"/>
                <w:sz w:val="21"/>
                <w:szCs w:val="21"/>
                <w:highlight w:val="none"/>
                <w:lang w:val="en-US" w:eastAsia="en-US" w:bidi="ar-SA"/>
              </w:rPr>
            </w:pPr>
            <w:r>
              <w:rPr>
                <w:color w:val="auto"/>
                <w:spacing w:val="8"/>
                <w:sz w:val="21"/>
                <w:szCs w:val="21"/>
                <w:highlight w:val="none"/>
              </w:rPr>
              <w:t>安全性符合本标准对</w:t>
            </w:r>
            <w:r>
              <w:rPr>
                <w:rFonts w:hint="eastAsia"/>
                <w:color w:val="auto"/>
                <w:spacing w:val="8"/>
                <w:sz w:val="21"/>
                <w:szCs w:val="21"/>
                <w:highlight w:val="none"/>
                <w:lang w:val="en-US" w:eastAsia="zh-CN"/>
              </w:rPr>
              <w:t>A</w:t>
            </w:r>
            <w:r>
              <w:rPr>
                <w:rFonts w:hint="eastAsia"/>
                <w:color w:val="auto"/>
                <w:spacing w:val="8"/>
                <w:sz w:val="21"/>
                <w:szCs w:val="21"/>
                <w:highlight w:val="none"/>
                <w:vertAlign w:val="subscript"/>
                <w:lang w:val="en-US" w:eastAsia="zh-CN"/>
              </w:rPr>
              <w:t>su</w:t>
            </w:r>
            <w:r>
              <w:rPr>
                <w:color w:val="auto"/>
                <w:spacing w:val="8"/>
                <w:sz w:val="21"/>
                <w:szCs w:val="21"/>
                <w:highlight w:val="none"/>
              </w:rPr>
              <w:t>级的规定，不影响整体承载</w:t>
            </w:r>
          </w:p>
        </w:tc>
        <w:tc>
          <w:tcPr>
            <w:tcW w:w="2229" w:type="dxa"/>
            <w:tcBorders>
              <w:right w:val="single" w:color="000000" w:sz="10" w:space="0"/>
            </w:tcBorders>
            <w:shd w:val="clear" w:color="auto" w:fill="auto"/>
            <w:vAlign w:val="center"/>
          </w:tcPr>
          <w:p w14:paraId="104C646B">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spacing w:val="8"/>
                <w:kern w:val="2"/>
                <w:sz w:val="21"/>
                <w:szCs w:val="21"/>
                <w:highlight w:val="none"/>
                <w:lang w:val="en-US" w:eastAsia="en-US" w:bidi="ar-SA"/>
              </w:rPr>
            </w:pPr>
            <w:r>
              <w:rPr>
                <w:color w:val="auto"/>
                <w:spacing w:val="8"/>
                <w:sz w:val="21"/>
                <w:szCs w:val="21"/>
                <w:highlight w:val="none"/>
              </w:rPr>
              <w:t>可能有个别构件宜采取适当措施</w:t>
            </w:r>
          </w:p>
        </w:tc>
      </w:tr>
      <w:tr w14:paraId="1B8AD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999" w:type="dxa"/>
            <w:vMerge w:val="continue"/>
            <w:tcBorders>
              <w:left w:val="single" w:color="000000" w:sz="10" w:space="0"/>
            </w:tcBorders>
            <w:vAlign w:val="center"/>
          </w:tcPr>
          <w:p w14:paraId="51DC681B">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p>
        </w:tc>
        <w:tc>
          <w:tcPr>
            <w:tcW w:w="462" w:type="dxa"/>
            <w:shd w:val="clear" w:color="auto" w:fill="auto"/>
            <w:vAlign w:val="center"/>
          </w:tcPr>
          <w:p w14:paraId="43E31392">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spacing w:val="8"/>
                <w:kern w:val="2"/>
                <w:sz w:val="21"/>
                <w:szCs w:val="21"/>
                <w:highlight w:val="none"/>
                <w:lang w:val="en-US" w:eastAsia="en-US" w:bidi="ar-SA"/>
              </w:rPr>
            </w:pPr>
            <w:r>
              <w:rPr>
                <w:rFonts w:hint="eastAsia"/>
                <w:color w:val="auto"/>
                <w:spacing w:val="8"/>
                <w:sz w:val="21"/>
                <w:szCs w:val="21"/>
                <w:highlight w:val="none"/>
                <w:lang w:val="en-US" w:eastAsia="zh-CN"/>
              </w:rPr>
              <w:t>B</w:t>
            </w:r>
            <w:r>
              <w:rPr>
                <w:rFonts w:hint="eastAsia"/>
                <w:color w:val="auto"/>
                <w:spacing w:val="8"/>
                <w:sz w:val="21"/>
                <w:szCs w:val="21"/>
                <w:highlight w:val="none"/>
                <w:vertAlign w:val="subscript"/>
                <w:lang w:val="en-US" w:eastAsia="zh-CN"/>
              </w:rPr>
              <w:t>su</w:t>
            </w:r>
          </w:p>
        </w:tc>
        <w:tc>
          <w:tcPr>
            <w:tcW w:w="4815" w:type="dxa"/>
            <w:shd w:val="clear" w:color="auto" w:fill="auto"/>
            <w:vAlign w:val="center"/>
          </w:tcPr>
          <w:p w14:paraId="6E48BA3E">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spacing w:val="8"/>
                <w:kern w:val="2"/>
                <w:sz w:val="21"/>
                <w:szCs w:val="21"/>
                <w:highlight w:val="none"/>
                <w:lang w:val="en-US" w:eastAsia="en-US" w:bidi="ar-SA"/>
              </w:rPr>
            </w:pPr>
            <w:r>
              <w:rPr>
                <w:color w:val="auto"/>
                <w:spacing w:val="8"/>
                <w:sz w:val="21"/>
                <w:szCs w:val="21"/>
                <w:highlight w:val="none"/>
              </w:rPr>
              <w:t>安全性略低于本标准对</w:t>
            </w:r>
            <w:r>
              <w:rPr>
                <w:rFonts w:hint="eastAsia"/>
                <w:color w:val="auto"/>
                <w:spacing w:val="8"/>
                <w:sz w:val="21"/>
                <w:szCs w:val="21"/>
                <w:highlight w:val="none"/>
                <w:lang w:val="en-US" w:eastAsia="zh-CN"/>
              </w:rPr>
              <w:t>A</w:t>
            </w:r>
            <w:r>
              <w:rPr>
                <w:rFonts w:hint="eastAsia"/>
                <w:color w:val="auto"/>
                <w:spacing w:val="8"/>
                <w:sz w:val="21"/>
                <w:szCs w:val="21"/>
                <w:highlight w:val="none"/>
                <w:vertAlign w:val="subscript"/>
                <w:lang w:val="en-US" w:eastAsia="zh-CN"/>
              </w:rPr>
              <w:t>su</w:t>
            </w:r>
            <w:r>
              <w:rPr>
                <w:color w:val="auto"/>
                <w:spacing w:val="8"/>
                <w:sz w:val="21"/>
                <w:szCs w:val="21"/>
                <w:highlight w:val="none"/>
              </w:rPr>
              <w:t>级的规定，尚不显著影响整体承载</w:t>
            </w:r>
          </w:p>
        </w:tc>
        <w:tc>
          <w:tcPr>
            <w:tcW w:w="2229" w:type="dxa"/>
            <w:tcBorders>
              <w:right w:val="single" w:color="000000" w:sz="10" w:space="0"/>
            </w:tcBorders>
            <w:shd w:val="clear" w:color="auto" w:fill="auto"/>
            <w:vAlign w:val="center"/>
          </w:tcPr>
          <w:p w14:paraId="2853C994">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spacing w:val="8"/>
                <w:kern w:val="2"/>
                <w:sz w:val="21"/>
                <w:szCs w:val="21"/>
                <w:highlight w:val="none"/>
                <w:lang w:val="en-US" w:eastAsia="en-US" w:bidi="ar-SA"/>
              </w:rPr>
            </w:pPr>
            <w:r>
              <w:rPr>
                <w:color w:val="auto"/>
                <w:spacing w:val="8"/>
                <w:sz w:val="21"/>
                <w:szCs w:val="21"/>
                <w:highlight w:val="none"/>
              </w:rPr>
              <w:t>可能有极少数构件应采取措施</w:t>
            </w:r>
          </w:p>
        </w:tc>
      </w:tr>
      <w:tr w14:paraId="2EE70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999" w:type="dxa"/>
            <w:vMerge w:val="continue"/>
            <w:tcBorders>
              <w:left w:val="single" w:color="000000" w:sz="10" w:space="0"/>
            </w:tcBorders>
            <w:vAlign w:val="center"/>
          </w:tcPr>
          <w:p w14:paraId="5B63358B">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p>
        </w:tc>
        <w:tc>
          <w:tcPr>
            <w:tcW w:w="462" w:type="dxa"/>
            <w:shd w:val="clear" w:color="auto" w:fill="auto"/>
            <w:vAlign w:val="center"/>
          </w:tcPr>
          <w:p w14:paraId="33675056">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spacing w:val="8"/>
                <w:kern w:val="2"/>
                <w:sz w:val="21"/>
                <w:szCs w:val="21"/>
                <w:highlight w:val="none"/>
                <w:lang w:val="en-US" w:eastAsia="en-US" w:bidi="ar-SA"/>
              </w:rPr>
            </w:pPr>
            <w:r>
              <w:rPr>
                <w:rFonts w:hint="eastAsia"/>
                <w:color w:val="auto"/>
                <w:spacing w:val="8"/>
                <w:sz w:val="21"/>
                <w:szCs w:val="21"/>
                <w:highlight w:val="none"/>
                <w:lang w:val="en-US" w:eastAsia="zh-CN"/>
              </w:rPr>
              <w:t>C</w:t>
            </w:r>
            <w:r>
              <w:rPr>
                <w:rFonts w:hint="eastAsia"/>
                <w:color w:val="auto"/>
                <w:spacing w:val="8"/>
                <w:sz w:val="21"/>
                <w:szCs w:val="21"/>
                <w:highlight w:val="none"/>
                <w:vertAlign w:val="subscript"/>
                <w:lang w:val="en-US" w:eastAsia="zh-CN"/>
              </w:rPr>
              <w:t>su</w:t>
            </w:r>
          </w:p>
        </w:tc>
        <w:tc>
          <w:tcPr>
            <w:tcW w:w="4815" w:type="dxa"/>
            <w:shd w:val="clear" w:color="auto" w:fill="auto"/>
            <w:vAlign w:val="center"/>
          </w:tcPr>
          <w:p w14:paraId="43C7CBAE">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spacing w:val="8"/>
                <w:kern w:val="2"/>
                <w:sz w:val="21"/>
                <w:szCs w:val="21"/>
                <w:highlight w:val="none"/>
                <w:lang w:val="en-US" w:eastAsia="en-US" w:bidi="ar-SA"/>
              </w:rPr>
            </w:pPr>
            <w:r>
              <w:rPr>
                <w:color w:val="auto"/>
                <w:spacing w:val="8"/>
                <w:sz w:val="21"/>
                <w:szCs w:val="21"/>
                <w:highlight w:val="none"/>
              </w:rPr>
              <w:t>安全性不符合本标准对</w:t>
            </w:r>
            <w:r>
              <w:rPr>
                <w:rFonts w:hint="eastAsia"/>
                <w:color w:val="auto"/>
                <w:spacing w:val="8"/>
                <w:sz w:val="21"/>
                <w:szCs w:val="21"/>
                <w:highlight w:val="none"/>
                <w:lang w:val="en-US" w:eastAsia="zh-CN"/>
              </w:rPr>
              <w:t>A</w:t>
            </w:r>
            <w:r>
              <w:rPr>
                <w:rFonts w:hint="eastAsia"/>
                <w:color w:val="auto"/>
                <w:spacing w:val="8"/>
                <w:sz w:val="21"/>
                <w:szCs w:val="21"/>
                <w:highlight w:val="none"/>
                <w:vertAlign w:val="subscript"/>
                <w:lang w:val="en-US" w:eastAsia="zh-CN"/>
              </w:rPr>
              <w:t>su</w:t>
            </w:r>
            <w:r>
              <w:rPr>
                <w:color w:val="auto"/>
                <w:spacing w:val="8"/>
                <w:sz w:val="21"/>
                <w:szCs w:val="21"/>
                <w:highlight w:val="none"/>
              </w:rPr>
              <w:t>级的规定，显著影响整体承载</w:t>
            </w:r>
          </w:p>
        </w:tc>
        <w:tc>
          <w:tcPr>
            <w:tcW w:w="2229" w:type="dxa"/>
            <w:tcBorders>
              <w:right w:val="single" w:color="000000" w:sz="10" w:space="0"/>
            </w:tcBorders>
            <w:shd w:val="clear" w:color="auto" w:fill="auto"/>
            <w:vAlign w:val="center"/>
          </w:tcPr>
          <w:p w14:paraId="1D21D1E5">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spacing w:val="8"/>
                <w:kern w:val="2"/>
                <w:sz w:val="21"/>
                <w:szCs w:val="21"/>
                <w:highlight w:val="none"/>
                <w:lang w:val="en-US" w:eastAsia="en-US" w:bidi="ar-SA"/>
              </w:rPr>
            </w:pPr>
            <w:r>
              <w:rPr>
                <w:rFonts w:hint="eastAsia"/>
                <w:color w:val="auto"/>
                <w:spacing w:val="8"/>
                <w:sz w:val="21"/>
                <w:szCs w:val="21"/>
                <w:highlight w:val="none"/>
                <w:lang w:val="en-US" w:eastAsia="zh-CN"/>
              </w:rPr>
              <w:t>应采取措施，且</w:t>
            </w:r>
            <w:r>
              <w:rPr>
                <w:color w:val="auto"/>
                <w:spacing w:val="8"/>
                <w:sz w:val="21"/>
                <w:szCs w:val="21"/>
                <w:highlight w:val="none"/>
              </w:rPr>
              <w:t>可能有极少数构件必须立即采取措施</w:t>
            </w:r>
          </w:p>
        </w:tc>
      </w:tr>
      <w:tr w14:paraId="05568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999" w:type="dxa"/>
            <w:vMerge w:val="continue"/>
            <w:tcBorders>
              <w:left w:val="single" w:color="000000" w:sz="10" w:space="0"/>
              <w:bottom w:val="single" w:color="000000" w:sz="10" w:space="0"/>
            </w:tcBorders>
            <w:vAlign w:val="center"/>
          </w:tcPr>
          <w:p w14:paraId="1F2B3442">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p>
        </w:tc>
        <w:tc>
          <w:tcPr>
            <w:tcW w:w="462" w:type="dxa"/>
            <w:tcBorders>
              <w:bottom w:val="single" w:color="000000" w:sz="10" w:space="0"/>
            </w:tcBorders>
            <w:shd w:val="clear" w:color="auto" w:fill="auto"/>
            <w:vAlign w:val="center"/>
          </w:tcPr>
          <w:p w14:paraId="30D68420">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spacing w:val="8"/>
                <w:kern w:val="2"/>
                <w:sz w:val="21"/>
                <w:szCs w:val="21"/>
                <w:highlight w:val="none"/>
                <w:lang w:val="en-US" w:eastAsia="en-US" w:bidi="ar-SA"/>
              </w:rPr>
            </w:pPr>
            <w:r>
              <w:rPr>
                <w:rFonts w:hint="eastAsia"/>
                <w:color w:val="auto"/>
                <w:spacing w:val="8"/>
                <w:sz w:val="21"/>
                <w:szCs w:val="21"/>
                <w:highlight w:val="none"/>
                <w:lang w:val="en-US" w:eastAsia="zh-CN"/>
              </w:rPr>
              <w:t>D</w:t>
            </w:r>
            <w:r>
              <w:rPr>
                <w:rFonts w:hint="eastAsia"/>
                <w:color w:val="auto"/>
                <w:spacing w:val="8"/>
                <w:sz w:val="21"/>
                <w:szCs w:val="21"/>
                <w:highlight w:val="none"/>
                <w:vertAlign w:val="subscript"/>
                <w:lang w:val="en-US" w:eastAsia="zh-CN"/>
              </w:rPr>
              <w:t>su</w:t>
            </w:r>
          </w:p>
        </w:tc>
        <w:tc>
          <w:tcPr>
            <w:tcW w:w="4815" w:type="dxa"/>
            <w:tcBorders>
              <w:bottom w:val="single" w:color="000000" w:sz="10" w:space="0"/>
            </w:tcBorders>
            <w:shd w:val="clear" w:color="auto" w:fill="auto"/>
            <w:vAlign w:val="center"/>
          </w:tcPr>
          <w:p w14:paraId="6AA8F29C">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spacing w:val="8"/>
                <w:kern w:val="2"/>
                <w:sz w:val="21"/>
                <w:szCs w:val="21"/>
                <w:highlight w:val="none"/>
                <w:lang w:val="en-US" w:eastAsia="en-US" w:bidi="ar-SA"/>
              </w:rPr>
            </w:pPr>
            <w:r>
              <w:rPr>
                <w:color w:val="auto"/>
                <w:spacing w:val="8"/>
                <w:sz w:val="21"/>
                <w:szCs w:val="21"/>
                <w:highlight w:val="none"/>
              </w:rPr>
              <w:t>安全性极不符合本标准对</w:t>
            </w:r>
            <w:r>
              <w:rPr>
                <w:rFonts w:hint="eastAsia"/>
                <w:color w:val="auto"/>
                <w:spacing w:val="8"/>
                <w:sz w:val="21"/>
                <w:szCs w:val="21"/>
                <w:highlight w:val="none"/>
                <w:lang w:val="en-US" w:eastAsia="zh-CN"/>
              </w:rPr>
              <w:t>A</w:t>
            </w:r>
            <w:r>
              <w:rPr>
                <w:rFonts w:hint="eastAsia"/>
                <w:color w:val="auto"/>
                <w:spacing w:val="8"/>
                <w:sz w:val="21"/>
                <w:szCs w:val="21"/>
                <w:highlight w:val="none"/>
                <w:vertAlign w:val="subscript"/>
                <w:lang w:val="en-US" w:eastAsia="zh-CN"/>
              </w:rPr>
              <w:t>su</w:t>
            </w:r>
            <w:r>
              <w:rPr>
                <w:color w:val="auto"/>
                <w:spacing w:val="8"/>
                <w:sz w:val="21"/>
                <w:szCs w:val="21"/>
                <w:highlight w:val="none"/>
              </w:rPr>
              <w:t>级的规定，严重影响整体承载</w:t>
            </w:r>
          </w:p>
        </w:tc>
        <w:tc>
          <w:tcPr>
            <w:tcW w:w="2229" w:type="dxa"/>
            <w:tcBorders>
              <w:bottom w:val="single" w:color="000000" w:sz="10" w:space="0"/>
              <w:right w:val="single" w:color="000000" w:sz="10" w:space="0"/>
            </w:tcBorders>
            <w:shd w:val="clear" w:color="auto" w:fill="auto"/>
            <w:vAlign w:val="center"/>
          </w:tcPr>
          <w:p w14:paraId="6655BC80">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spacing w:val="8"/>
                <w:kern w:val="2"/>
                <w:sz w:val="21"/>
                <w:szCs w:val="21"/>
                <w:highlight w:val="none"/>
                <w:lang w:val="en-US" w:eastAsia="en-US" w:bidi="ar-SA"/>
              </w:rPr>
            </w:pPr>
            <w:r>
              <w:rPr>
                <w:color w:val="auto"/>
                <w:spacing w:val="8"/>
                <w:sz w:val="21"/>
                <w:szCs w:val="21"/>
                <w:highlight w:val="none"/>
              </w:rPr>
              <w:t>必须立即采取措施</w:t>
            </w:r>
          </w:p>
        </w:tc>
      </w:tr>
    </w:tbl>
    <w:p w14:paraId="63D17619">
      <w:pPr>
        <w:keepNext w:val="0"/>
        <w:keepLines w:val="0"/>
        <w:widowControl w:val="0"/>
        <w:suppressLineNumbers w:val="0"/>
        <w:spacing w:before="0" w:beforeAutospacing="0" w:after="0" w:afterAutospacing="0" w:line="360" w:lineRule="auto"/>
        <w:ind w:left="0" w:leftChars="0" w:right="0"/>
        <w:jc w:val="both"/>
        <w:rPr>
          <w:rFonts w:hint="eastAsia" w:ascii="楷体" w:hAnsi="楷体" w:eastAsia="楷体" w:cs="楷体"/>
          <w:color w:val="auto"/>
          <w:kern w:val="2"/>
          <w:sz w:val="24"/>
          <w:szCs w:val="24"/>
          <w:highlight w:val="none"/>
          <w:u w:val="single"/>
          <w:lang w:val="en-US" w:eastAsia="zh-CN" w:bidi="ar"/>
        </w:rPr>
      </w:pPr>
      <w:bookmarkStart w:id="31" w:name="bookmark98"/>
      <w:bookmarkEnd w:id="31"/>
      <w:r>
        <w:rPr>
          <w:rFonts w:hint="eastAsia" w:ascii="楷体" w:hAnsi="楷体" w:eastAsia="楷体" w:cs="楷体"/>
          <w:color w:val="auto"/>
          <w:kern w:val="2"/>
          <w:sz w:val="24"/>
          <w:szCs w:val="24"/>
          <w:highlight w:val="none"/>
          <w:u w:val="single"/>
          <w:lang w:val="en-US" w:eastAsia="zh-CN" w:bidi="ar"/>
        </w:rPr>
        <w:t>【条文说明】本条结合既有基坑工程特点,并参考现行国家标准《民用建筑可靠性鉴定标准》GB50292和《工业建筑可靠性鉴定标准》GB50144的有关规定,将基坑工程鉴定的评级按构件、子单元和鉴定单元分别进行评级,以鉴定单元的评定为最终目标。构件、子单元和鉴定单元的评级范围依次递进,根据三者的相互关系、连接构造和当地可靠有效的工程实践经验综合分析确定。</w:t>
      </w:r>
    </w:p>
    <w:p w14:paraId="7B7546E6">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Ⅱ</w:t>
      </w:r>
      <w:r>
        <w:rPr>
          <w:rFonts w:hint="eastAsia" w:ascii="Times New Roman" w:hAnsi="Times New Roman" w:eastAsia="宋体" w:cs="Times New Roman"/>
          <w:color w:val="auto"/>
          <w:lang w:val="en-US" w:eastAsia="zh-CN"/>
        </w:rPr>
        <w:t xml:space="preserve"> 支护</w:t>
      </w:r>
      <w:r>
        <w:rPr>
          <w:rFonts w:hint="default" w:ascii="Times New Roman" w:hAnsi="Times New Roman" w:eastAsia="宋体" w:cs="Times New Roman"/>
          <w:color w:val="auto"/>
          <w:lang w:val="en-US" w:eastAsia="zh-CN"/>
        </w:rPr>
        <w:t>构件鉴定与评级</w:t>
      </w:r>
    </w:p>
    <w:p w14:paraId="0BE3CA92">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b w:val="0"/>
          <w:bCs w:val="0"/>
          <w:color w:val="auto"/>
          <w:kern w:val="2"/>
          <w:sz w:val="24"/>
          <w:szCs w:val="24"/>
          <w:highlight w:val="none"/>
          <w:lang w:val="en-US" w:eastAsia="zh-CN" w:bidi="ar"/>
        </w:rPr>
      </w:pPr>
      <w:r>
        <w:rPr>
          <w:rFonts w:hint="default" w:ascii="Times New Roman" w:hAnsi="Times New Roman" w:eastAsia="宋体" w:cs="Times New Roman"/>
          <w:b/>
          <w:bCs/>
          <w:color w:val="auto"/>
          <w:kern w:val="2"/>
          <w:sz w:val="24"/>
          <w:szCs w:val="24"/>
          <w:highlight w:val="none"/>
          <w:lang w:val="en-US" w:eastAsia="zh-CN" w:bidi="ar"/>
        </w:rPr>
        <w:t>4.</w:t>
      </w:r>
      <w:r>
        <w:rPr>
          <w:rFonts w:hint="default" w:ascii="Times New Roman" w:hAnsi="Times New Roman" w:cs="Times New Roman"/>
          <w:b/>
          <w:bCs/>
          <w:color w:val="auto"/>
          <w:kern w:val="2"/>
          <w:sz w:val="24"/>
          <w:szCs w:val="24"/>
          <w:highlight w:val="none"/>
          <w:lang w:val="en-US" w:eastAsia="zh-CN" w:bidi="ar"/>
        </w:rPr>
        <w:t>6</w:t>
      </w:r>
      <w:r>
        <w:rPr>
          <w:rFonts w:hint="default" w:ascii="Times New Roman" w:hAnsi="Times New Roman" w:eastAsia="宋体" w:cs="Times New Roman"/>
          <w:b/>
          <w:bCs/>
          <w:color w:val="auto"/>
          <w:kern w:val="2"/>
          <w:sz w:val="24"/>
          <w:szCs w:val="24"/>
          <w:highlight w:val="none"/>
          <w:lang w:val="en-US" w:eastAsia="zh-CN" w:bidi="ar"/>
        </w:rPr>
        <w:t xml:space="preserve">.3 </w:t>
      </w:r>
      <w:r>
        <w:rPr>
          <w:rFonts w:hint="default" w:ascii="Times New Roman" w:hAnsi="Times New Roman" w:cs="Times New Roman"/>
          <w:b w:val="0"/>
          <w:bCs w:val="0"/>
          <w:color w:val="auto"/>
          <w:kern w:val="2"/>
          <w:sz w:val="24"/>
          <w:szCs w:val="24"/>
          <w:highlight w:val="none"/>
          <w:lang w:val="en-US" w:eastAsia="zh-CN" w:bidi="ar"/>
        </w:rPr>
        <w:t>基坑工程根据构件的不同类型，单个构件的划分应符合下列规定：</w:t>
      </w:r>
    </w:p>
    <w:p w14:paraId="2327C4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1</w:t>
      </w:r>
      <w:r>
        <w:rPr>
          <w:rFonts w:hint="eastAsia" w:eastAsia="宋体" w:cs="Times New Roman"/>
          <w:b w:val="0"/>
          <w:bCs w:val="0"/>
          <w:color w:val="auto"/>
          <w:kern w:val="2"/>
          <w:sz w:val="24"/>
          <w:szCs w:val="24"/>
          <w:highlight w:val="none"/>
          <w:lang w:val="en-US" w:eastAsia="zh-CN" w:bidi="ar"/>
        </w:rPr>
        <w:t xml:space="preserve">  </w:t>
      </w:r>
      <w:r>
        <w:rPr>
          <w:rFonts w:hint="eastAsia" w:ascii="Times New Roman" w:hAnsi="Times New Roman" w:cs="Times New Roman"/>
          <w:b w:val="0"/>
          <w:bCs w:val="0"/>
          <w:color w:val="auto"/>
          <w:kern w:val="2"/>
          <w:sz w:val="24"/>
          <w:szCs w:val="24"/>
          <w:highlight w:val="none"/>
          <w:lang w:val="en-US" w:eastAsia="zh-CN" w:bidi="ar"/>
        </w:rPr>
        <w:t>土钉、</w:t>
      </w:r>
      <w:r>
        <w:rPr>
          <w:rFonts w:hint="default" w:ascii="Times New Roman" w:hAnsi="Times New Roman" w:eastAsia="宋体" w:cs="Times New Roman"/>
          <w:b w:val="0"/>
          <w:bCs w:val="0"/>
          <w:color w:val="auto"/>
          <w:kern w:val="2"/>
          <w:sz w:val="24"/>
          <w:szCs w:val="24"/>
          <w:highlight w:val="none"/>
          <w:lang w:val="en-US" w:eastAsia="zh-CN" w:bidi="ar"/>
        </w:rPr>
        <w:t>锚杆</w:t>
      </w:r>
      <w:r>
        <w:rPr>
          <w:rFonts w:hint="eastAsia" w:ascii="Times New Roman" w:hAnsi="Times New Roman" w:cs="Times New Roman"/>
          <w:b w:val="0"/>
          <w:bCs w:val="0"/>
          <w:color w:val="auto"/>
          <w:kern w:val="2"/>
          <w:sz w:val="24"/>
          <w:szCs w:val="24"/>
          <w:highlight w:val="none"/>
          <w:lang w:val="en-US" w:eastAsia="zh-CN" w:bidi="ar"/>
        </w:rPr>
        <w:t>（索）</w:t>
      </w:r>
      <w:r>
        <w:rPr>
          <w:rFonts w:hint="default" w:ascii="Times New Roman" w:hAnsi="Times New Roman" w:eastAsia="宋体" w:cs="Times New Roman"/>
          <w:b w:val="0"/>
          <w:bCs w:val="0"/>
          <w:color w:val="auto"/>
          <w:kern w:val="2"/>
          <w:sz w:val="24"/>
          <w:szCs w:val="24"/>
          <w:highlight w:val="none"/>
          <w:lang w:val="en-US" w:eastAsia="zh-CN" w:bidi="ar"/>
        </w:rPr>
        <w:t>：一根</w:t>
      </w:r>
      <w:r>
        <w:rPr>
          <w:rFonts w:hint="eastAsia" w:ascii="Times New Roman" w:hAnsi="Times New Roman" w:cs="Times New Roman"/>
          <w:b w:val="0"/>
          <w:bCs w:val="0"/>
          <w:color w:val="auto"/>
          <w:kern w:val="2"/>
          <w:sz w:val="24"/>
          <w:szCs w:val="24"/>
          <w:highlight w:val="none"/>
          <w:lang w:val="en-US" w:eastAsia="zh-CN" w:bidi="ar"/>
        </w:rPr>
        <w:t>土钉、</w:t>
      </w:r>
      <w:r>
        <w:rPr>
          <w:rFonts w:hint="default" w:ascii="Times New Roman" w:hAnsi="Times New Roman" w:eastAsia="宋体" w:cs="Times New Roman"/>
          <w:b w:val="0"/>
          <w:bCs w:val="0"/>
          <w:color w:val="auto"/>
          <w:kern w:val="2"/>
          <w:sz w:val="24"/>
          <w:szCs w:val="24"/>
          <w:highlight w:val="none"/>
          <w:lang w:val="en-US" w:eastAsia="zh-CN" w:bidi="ar"/>
        </w:rPr>
        <w:t>锚杆</w:t>
      </w:r>
      <w:r>
        <w:rPr>
          <w:rFonts w:hint="eastAsia" w:ascii="Times New Roman" w:hAnsi="Times New Roman" w:cs="Times New Roman"/>
          <w:b w:val="0"/>
          <w:bCs w:val="0"/>
          <w:color w:val="auto"/>
          <w:kern w:val="2"/>
          <w:sz w:val="24"/>
          <w:szCs w:val="24"/>
          <w:highlight w:val="none"/>
          <w:lang w:val="en-US" w:eastAsia="zh-CN" w:bidi="ar"/>
        </w:rPr>
        <w:t>（索）</w:t>
      </w:r>
      <w:r>
        <w:rPr>
          <w:rFonts w:hint="default" w:ascii="Times New Roman" w:hAnsi="Times New Roman" w:eastAsia="宋体" w:cs="Times New Roman"/>
          <w:b w:val="0"/>
          <w:bCs w:val="0"/>
          <w:color w:val="auto"/>
          <w:kern w:val="2"/>
          <w:sz w:val="24"/>
          <w:szCs w:val="24"/>
          <w:highlight w:val="none"/>
          <w:lang w:val="en-US" w:eastAsia="zh-CN" w:bidi="ar"/>
        </w:rPr>
        <w:t>为一个构件；</w:t>
      </w:r>
    </w:p>
    <w:p w14:paraId="339885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2</w:t>
      </w:r>
      <w:r>
        <w:rPr>
          <w:rFonts w:hint="eastAsia" w:eastAsia="宋体" w:cs="Times New Roman"/>
          <w:b w:val="0"/>
          <w:bCs w:val="0"/>
          <w:color w:val="auto"/>
          <w:kern w:val="2"/>
          <w:sz w:val="24"/>
          <w:szCs w:val="24"/>
          <w:highlight w:val="none"/>
          <w:lang w:val="en-US" w:eastAsia="zh-CN" w:bidi="ar"/>
        </w:rPr>
        <w:t xml:space="preserve">  </w:t>
      </w:r>
      <w:r>
        <w:rPr>
          <w:rFonts w:hint="default" w:ascii="Times New Roman" w:hAnsi="Times New Roman" w:eastAsia="宋体" w:cs="Times New Roman"/>
          <w:b w:val="0"/>
          <w:bCs w:val="0"/>
          <w:color w:val="auto"/>
          <w:kern w:val="2"/>
          <w:sz w:val="24"/>
          <w:szCs w:val="24"/>
          <w:highlight w:val="none"/>
          <w:lang w:val="en-US" w:eastAsia="zh-CN" w:bidi="ar"/>
        </w:rPr>
        <w:t>支护桩：一根支护桩为一个构件；</w:t>
      </w:r>
      <w:r>
        <w:rPr>
          <w:rFonts w:hint="eastAsia" w:cs="Times New Roman"/>
          <w:b w:val="0"/>
          <w:bCs w:val="0"/>
          <w:color w:val="auto"/>
          <w:kern w:val="2"/>
          <w:sz w:val="24"/>
          <w:szCs w:val="24"/>
          <w:highlight w:val="none"/>
          <w:lang w:val="en-US" w:eastAsia="zh-CN" w:bidi="ar"/>
        </w:rPr>
        <w:t>钢板桩：一块钢板桩为一个构件；</w:t>
      </w:r>
    </w:p>
    <w:p w14:paraId="7ADBD4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3</w:t>
      </w:r>
      <w:r>
        <w:rPr>
          <w:rFonts w:hint="eastAsia" w:eastAsia="宋体" w:cs="Times New Roman"/>
          <w:b w:val="0"/>
          <w:bCs w:val="0"/>
          <w:color w:val="auto"/>
          <w:kern w:val="2"/>
          <w:sz w:val="24"/>
          <w:szCs w:val="24"/>
          <w:highlight w:val="none"/>
          <w:lang w:val="en-US" w:eastAsia="zh-CN" w:bidi="ar"/>
        </w:rPr>
        <w:t xml:space="preserve">  </w:t>
      </w:r>
      <w:r>
        <w:rPr>
          <w:rFonts w:hint="default" w:ascii="Times New Roman" w:hAnsi="Times New Roman" w:eastAsia="宋体" w:cs="Times New Roman"/>
          <w:b w:val="0"/>
          <w:bCs w:val="0"/>
          <w:color w:val="auto"/>
          <w:kern w:val="2"/>
          <w:sz w:val="24"/>
          <w:szCs w:val="24"/>
          <w:highlight w:val="none"/>
          <w:lang w:val="en-US" w:eastAsia="zh-CN" w:bidi="ar"/>
        </w:rPr>
        <w:t>混凝土支撑：一段混凝土支撑为一个构件；</w:t>
      </w:r>
    </w:p>
    <w:p w14:paraId="5335BC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4</w:t>
      </w:r>
      <w:r>
        <w:rPr>
          <w:rFonts w:hint="eastAsia" w:eastAsia="宋体" w:cs="Times New Roman"/>
          <w:b w:val="0"/>
          <w:bCs w:val="0"/>
          <w:color w:val="auto"/>
          <w:kern w:val="2"/>
          <w:sz w:val="24"/>
          <w:szCs w:val="24"/>
          <w:highlight w:val="none"/>
          <w:lang w:val="en-US" w:eastAsia="zh-CN" w:bidi="ar"/>
        </w:rPr>
        <w:t xml:space="preserve">  </w:t>
      </w:r>
      <w:r>
        <w:rPr>
          <w:rFonts w:hint="default" w:ascii="Times New Roman" w:hAnsi="Times New Roman" w:eastAsia="宋体" w:cs="Times New Roman"/>
          <w:b w:val="0"/>
          <w:bCs w:val="0"/>
          <w:color w:val="auto"/>
          <w:kern w:val="2"/>
          <w:sz w:val="24"/>
          <w:szCs w:val="24"/>
          <w:highlight w:val="none"/>
          <w:lang w:val="en-US" w:eastAsia="zh-CN" w:bidi="ar"/>
        </w:rPr>
        <w:t>钢支撑：一根钢支撑为一个构件；</w:t>
      </w:r>
    </w:p>
    <w:p w14:paraId="4101AF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5</w:t>
      </w:r>
      <w:r>
        <w:rPr>
          <w:rFonts w:hint="eastAsia" w:eastAsia="宋体" w:cs="Times New Roman"/>
          <w:b w:val="0"/>
          <w:bCs w:val="0"/>
          <w:color w:val="auto"/>
          <w:kern w:val="2"/>
          <w:sz w:val="24"/>
          <w:szCs w:val="24"/>
          <w:highlight w:val="none"/>
          <w:lang w:val="en-US" w:eastAsia="zh-CN" w:bidi="ar"/>
        </w:rPr>
        <w:t xml:space="preserve">  </w:t>
      </w:r>
      <w:r>
        <w:rPr>
          <w:rFonts w:hint="default" w:ascii="Times New Roman" w:hAnsi="Times New Roman" w:eastAsia="宋体" w:cs="Times New Roman"/>
          <w:b w:val="0"/>
          <w:bCs w:val="0"/>
          <w:color w:val="auto"/>
          <w:kern w:val="2"/>
          <w:sz w:val="24"/>
          <w:szCs w:val="24"/>
          <w:highlight w:val="none"/>
          <w:lang w:val="en-US" w:eastAsia="zh-CN" w:bidi="ar"/>
        </w:rPr>
        <w:t>地下连续墙：一个槽段为一个构件</w:t>
      </w:r>
      <w:r>
        <w:rPr>
          <w:rFonts w:hint="eastAsia" w:ascii="Times New Roman" w:hAnsi="Times New Roman" w:cs="Times New Roman"/>
          <w:b w:val="0"/>
          <w:bCs w:val="0"/>
          <w:color w:val="auto"/>
          <w:kern w:val="2"/>
          <w:sz w:val="24"/>
          <w:szCs w:val="24"/>
          <w:highlight w:val="none"/>
          <w:lang w:val="en-US" w:eastAsia="zh-CN" w:bidi="ar"/>
        </w:rPr>
        <w:t>；</w:t>
      </w:r>
    </w:p>
    <w:p w14:paraId="248AFC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cs="Times New Roman"/>
          <w:b w:val="0"/>
          <w:bCs w:val="0"/>
          <w:color w:val="auto"/>
          <w:kern w:val="2"/>
          <w:sz w:val="24"/>
          <w:szCs w:val="24"/>
          <w:highlight w:val="none"/>
          <w:lang w:val="en-US" w:eastAsia="zh-CN" w:bidi="ar"/>
        </w:rPr>
      </w:pPr>
      <w:r>
        <w:rPr>
          <w:rFonts w:hint="eastAsia" w:ascii="Times New Roman" w:hAnsi="Times New Roman" w:cs="Times New Roman"/>
          <w:b w:val="0"/>
          <w:bCs w:val="0"/>
          <w:color w:val="auto"/>
          <w:kern w:val="2"/>
          <w:sz w:val="24"/>
          <w:szCs w:val="24"/>
          <w:highlight w:val="none"/>
          <w:lang w:val="en-US" w:eastAsia="zh-CN" w:bidi="ar"/>
        </w:rPr>
        <w:t>6</w:t>
      </w:r>
      <w:r>
        <w:rPr>
          <w:rFonts w:hint="eastAsia" w:cs="Times New Roman"/>
          <w:b w:val="0"/>
          <w:bCs w:val="0"/>
          <w:color w:val="auto"/>
          <w:kern w:val="2"/>
          <w:sz w:val="24"/>
          <w:szCs w:val="24"/>
          <w:highlight w:val="none"/>
          <w:lang w:val="en-US" w:eastAsia="zh-CN" w:bidi="ar"/>
        </w:rPr>
        <w:t xml:space="preserve">  冠梁：一个支护区段冠梁为一个构件；</w:t>
      </w:r>
    </w:p>
    <w:p w14:paraId="74CD6D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imes New Roman" w:hAnsi="Times New Roman" w:cs="Times New Roman"/>
          <w:b w:val="0"/>
          <w:bCs w:val="0"/>
          <w:color w:val="auto"/>
          <w:kern w:val="2"/>
          <w:sz w:val="24"/>
          <w:szCs w:val="24"/>
          <w:highlight w:val="none"/>
          <w:lang w:val="en-US" w:eastAsia="zh-CN" w:bidi="ar"/>
        </w:rPr>
      </w:pPr>
      <w:r>
        <w:rPr>
          <w:rFonts w:hint="eastAsia" w:cs="Times New Roman"/>
          <w:b w:val="0"/>
          <w:bCs w:val="0"/>
          <w:color w:val="auto"/>
          <w:kern w:val="2"/>
          <w:sz w:val="24"/>
          <w:szCs w:val="24"/>
          <w:highlight w:val="none"/>
          <w:lang w:val="en-US" w:eastAsia="zh-CN" w:bidi="ar"/>
        </w:rPr>
        <w:t xml:space="preserve">7  </w:t>
      </w:r>
      <w:r>
        <w:rPr>
          <w:rFonts w:hint="eastAsia" w:ascii="Times New Roman" w:hAnsi="Times New Roman" w:cs="Times New Roman"/>
          <w:b w:val="0"/>
          <w:bCs w:val="0"/>
          <w:color w:val="auto"/>
          <w:kern w:val="2"/>
          <w:sz w:val="24"/>
          <w:szCs w:val="24"/>
          <w:highlight w:val="none"/>
          <w:lang w:val="en-US" w:eastAsia="zh-CN" w:bidi="ar"/>
        </w:rPr>
        <w:t>腰梁：一段型钢腰梁为一个构件；同一道相邻两根锚索</w:t>
      </w:r>
      <w:r>
        <w:rPr>
          <w:rFonts w:hint="eastAsia" w:cs="Times New Roman"/>
          <w:b w:val="0"/>
          <w:bCs w:val="0"/>
          <w:color w:val="auto"/>
          <w:kern w:val="2"/>
          <w:sz w:val="24"/>
          <w:szCs w:val="24"/>
          <w:highlight w:val="none"/>
          <w:lang w:val="en-US" w:eastAsia="zh-CN" w:bidi="ar"/>
        </w:rPr>
        <w:t>（内支撑）</w:t>
      </w:r>
      <w:r>
        <w:rPr>
          <w:rFonts w:hint="eastAsia" w:ascii="Times New Roman" w:hAnsi="Times New Roman" w:cs="Times New Roman"/>
          <w:b w:val="0"/>
          <w:bCs w:val="0"/>
          <w:color w:val="auto"/>
          <w:kern w:val="2"/>
          <w:sz w:val="24"/>
          <w:szCs w:val="24"/>
          <w:highlight w:val="none"/>
          <w:lang w:val="en-US" w:eastAsia="zh-CN" w:bidi="ar"/>
        </w:rPr>
        <w:t>之间的区段混凝土腰梁为一个构件；</w:t>
      </w:r>
    </w:p>
    <w:p w14:paraId="258694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b w:val="0"/>
          <w:bCs w:val="0"/>
          <w:color w:val="auto"/>
          <w:kern w:val="2"/>
          <w:sz w:val="24"/>
          <w:szCs w:val="24"/>
          <w:highlight w:val="none"/>
          <w:lang w:val="en-US" w:eastAsia="zh-CN" w:bidi="ar"/>
        </w:rPr>
      </w:pPr>
      <w:r>
        <w:rPr>
          <w:rFonts w:hint="eastAsia" w:cs="Times New Roman"/>
          <w:b w:val="0"/>
          <w:bCs w:val="0"/>
          <w:color w:val="auto"/>
          <w:kern w:val="2"/>
          <w:sz w:val="24"/>
          <w:szCs w:val="24"/>
          <w:highlight w:val="none"/>
          <w:lang w:val="en-US" w:eastAsia="zh-CN" w:bidi="ar"/>
        </w:rPr>
        <w:t xml:space="preserve">8  </w:t>
      </w:r>
      <w:r>
        <w:rPr>
          <w:rFonts w:hint="eastAsia" w:ascii="Times New Roman" w:hAnsi="Times New Roman" w:cs="Times New Roman"/>
          <w:b w:val="0"/>
          <w:bCs w:val="0"/>
          <w:color w:val="auto"/>
          <w:kern w:val="2"/>
          <w:sz w:val="24"/>
          <w:szCs w:val="24"/>
          <w:highlight w:val="none"/>
          <w:lang w:val="en-US" w:eastAsia="zh-CN" w:bidi="ar"/>
        </w:rPr>
        <w:t>桩间网喷：相邻两桩之间的支护部分为一个构件；</w:t>
      </w:r>
    </w:p>
    <w:p w14:paraId="1E23B2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cs="Times New Roman"/>
          <w:b w:val="0"/>
          <w:bCs w:val="0"/>
          <w:color w:val="auto"/>
          <w:kern w:val="2"/>
          <w:sz w:val="24"/>
          <w:szCs w:val="24"/>
          <w:highlight w:val="none"/>
          <w:lang w:val="en-US" w:eastAsia="zh-CN" w:bidi="ar"/>
        </w:rPr>
      </w:pPr>
      <w:r>
        <w:rPr>
          <w:rFonts w:hint="eastAsia" w:cs="Times New Roman"/>
          <w:b w:val="0"/>
          <w:bCs w:val="0"/>
          <w:color w:val="auto"/>
          <w:kern w:val="2"/>
          <w:sz w:val="24"/>
          <w:szCs w:val="24"/>
          <w:highlight w:val="none"/>
          <w:lang w:val="en-US" w:eastAsia="zh-CN" w:bidi="ar"/>
        </w:rPr>
        <w:t xml:space="preserve">9  </w:t>
      </w:r>
      <w:r>
        <w:rPr>
          <w:rFonts w:hint="eastAsia" w:ascii="Times New Roman" w:hAnsi="Times New Roman" w:cs="Times New Roman"/>
          <w:b w:val="0"/>
          <w:bCs w:val="0"/>
          <w:color w:val="auto"/>
          <w:kern w:val="2"/>
          <w:sz w:val="24"/>
          <w:szCs w:val="24"/>
          <w:highlight w:val="none"/>
          <w:lang w:val="en-US" w:eastAsia="zh-CN" w:bidi="ar"/>
        </w:rPr>
        <w:t>挡墙：两个变形缝所分割的挡墙段为一个构件；桩顶挡墙以两构造柱之间的挡墙段为一个构件</w:t>
      </w:r>
      <w:r>
        <w:rPr>
          <w:rFonts w:hint="eastAsia" w:cs="Times New Roman"/>
          <w:b w:val="0"/>
          <w:bCs w:val="0"/>
          <w:color w:val="auto"/>
          <w:kern w:val="2"/>
          <w:sz w:val="24"/>
          <w:szCs w:val="24"/>
          <w:highlight w:val="none"/>
          <w:lang w:val="en-US" w:eastAsia="zh-CN" w:bidi="ar"/>
        </w:rPr>
        <w:t>；</w:t>
      </w:r>
    </w:p>
    <w:p w14:paraId="0B997C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b w:val="0"/>
          <w:bCs w:val="0"/>
          <w:color w:val="auto"/>
          <w:kern w:val="2"/>
          <w:sz w:val="24"/>
          <w:szCs w:val="24"/>
          <w:highlight w:val="none"/>
          <w:lang w:val="en-US" w:eastAsia="zh-CN" w:bidi="ar"/>
        </w:rPr>
      </w:pPr>
      <w:r>
        <w:rPr>
          <w:rFonts w:hint="eastAsia" w:cs="Times New Roman"/>
          <w:b w:val="0"/>
          <w:bCs w:val="0"/>
          <w:color w:val="auto"/>
          <w:kern w:val="2"/>
          <w:sz w:val="24"/>
          <w:szCs w:val="24"/>
          <w:highlight w:val="none"/>
          <w:lang w:val="en-US" w:eastAsia="zh-CN" w:bidi="ar"/>
        </w:rPr>
        <w:t>10  土钉墙（复合土钉墙）喷射砼面层：以受检土钉或锚杆（索）中心间距四周围成的部分为一个构件</w:t>
      </w:r>
      <w:r>
        <w:rPr>
          <w:rFonts w:hint="eastAsia" w:ascii="Times New Roman" w:hAnsi="Times New Roman" w:cs="Times New Roman"/>
          <w:b w:val="0"/>
          <w:bCs w:val="0"/>
          <w:color w:val="auto"/>
          <w:kern w:val="2"/>
          <w:sz w:val="24"/>
          <w:szCs w:val="24"/>
          <w:highlight w:val="none"/>
          <w:lang w:val="en-US" w:eastAsia="zh-CN" w:bidi="ar"/>
        </w:rPr>
        <w:t>。</w:t>
      </w:r>
    </w:p>
    <w:p w14:paraId="016FD417">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楷体" w:cs="Times New Roman"/>
          <w:color w:val="auto"/>
          <w:kern w:val="2"/>
          <w:sz w:val="24"/>
          <w:szCs w:val="24"/>
          <w:highlight w:val="none"/>
          <w:u w:val="single"/>
          <w:lang w:val="en-US" w:eastAsia="zh-CN" w:bidi="ar"/>
        </w:rPr>
      </w:pPr>
      <w:r>
        <w:rPr>
          <w:rFonts w:hint="default" w:ascii="Times New Roman" w:hAnsi="Times New Roman" w:eastAsia="楷体" w:cs="Times New Roman"/>
          <w:color w:val="auto"/>
          <w:kern w:val="2"/>
          <w:sz w:val="24"/>
          <w:szCs w:val="24"/>
          <w:highlight w:val="none"/>
          <w:u w:val="single"/>
          <w:lang w:val="en-US" w:eastAsia="zh-CN" w:bidi="ar"/>
        </w:rPr>
        <w:t>【条文说明】4.</w:t>
      </w:r>
      <w:r>
        <w:rPr>
          <w:rFonts w:hint="eastAsia" w:eastAsia="楷体" w:cs="Times New Roman"/>
          <w:color w:val="auto"/>
          <w:kern w:val="2"/>
          <w:sz w:val="24"/>
          <w:szCs w:val="24"/>
          <w:highlight w:val="none"/>
          <w:u w:val="single"/>
          <w:lang w:val="en-US" w:eastAsia="zh-CN" w:bidi="ar"/>
        </w:rPr>
        <w:t>6</w:t>
      </w:r>
      <w:r>
        <w:rPr>
          <w:rFonts w:hint="default" w:ascii="Times New Roman" w:hAnsi="Times New Roman" w:eastAsia="楷体" w:cs="Times New Roman"/>
          <w:color w:val="auto"/>
          <w:kern w:val="2"/>
          <w:sz w:val="24"/>
          <w:szCs w:val="24"/>
          <w:highlight w:val="none"/>
          <w:u w:val="single"/>
          <w:lang w:val="en-US" w:eastAsia="zh-CN" w:bidi="ar"/>
        </w:rPr>
        <w:t>.</w:t>
      </w:r>
      <w:r>
        <w:rPr>
          <w:rFonts w:hint="eastAsia" w:eastAsia="楷体" w:cs="Times New Roman"/>
          <w:color w:val="auto"/>
          <w:kern w:val="2"/>
          <w:sz w:val="24"/>
          <w:szCs w:val="24"/>
          <w:highlight w:val="none"/>
          <w:u w:val="single"/>
          <w:lang w:val="en-US" w:eastAsia="zh-CN" w:bidi="ar"/>
        </w:rPr>
        <w:t>3</w:t>
      </w:r>
      <w:r>
        <w:rPr>
          <w:rFonts w:hint="default" w:ascii="Times New Roman" w:hAnsi="Times New Roman" w:eastAsia="楷体" w:cs="Times New Roman"/>
          <w:color w:val="auto"/>
          <w:kern w:val="2"/>
          <w:sz w:val="24"/>
          <w:szCs w:val="24"/>
          <w:highlight w:val="none"/>
          <w:u w:val="single"/>
          <w:lang w:val="en-US" w:eastAsia="zh-CN" w:bidi="ar"/>
        </w:rPr>
        <w:t>为使用方便，本条给出了支护结构构件划分方法。</w:t>
      </w:r>
    </w:p>
    <w:p w14:paraId="5219F8FE">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bCs/>
          <w:color w:val="auto"/>
          <w:kern w:val="2"/>
          <w:sz w:val="24"/>
          <w:szCs w:val="24"/>
          <w:highlight w:val="none"/>
          <w:lang w:val="en-US" w:eastAsia="zh-CN" w:bidi="ar"/>
        </w:rPr>
        <w:t>4.</w:t>
      </w:r>
      <w:r>
        <w:rPr>
          <w:rFonts w:hint="default" w:ascii="Times New Roman" w:hAnsi="Times New Roman" w:cs="Times New Roman"/>
          <w:b/>
          <w:bCs/>
          <w:color w:val="auto"/>
          <w:kern w:val="2"/>
          <w:sz w:val="24"/>
          <w:szCs w:val="24"/>
          <w:highlight w:val="none"/>
          <w:lang w:val="en-US" w:eastAsia="zh-CN" w:bidi="ar"/>
        </w:rPr>
        <w:t>6</w:t>
      </w:r>
      <w:r>
        <w:rPr>
          <w:rFonts w:hint="default" w:ascii="Times New Roman" w:hAnsi="Times New Roman" w:eastAsia="宋体" w:cs="Times New Roman"/>
          <w:b/>
          <w:bCs/>
          <w:color w:val="auto"/>
          <w:kern w:val="2"/>
          <w:sz w:val="24"/>
          <w:szCs w:val="24"/>
          <w:highlight w:val="none"/>
          <w:lang w:val="en-US" w:eastAsia="zh-CN" w:bidi="ar"/>
        </w:rPr>
        <w:t>.</w:t>
      </w:r>
      <w:r>
        <w:rPr>
          <w:rFonts w:hint="default" w:ascii="Times New Roman" w:hAnsi="Times New Roman" w:cs="Times New Roman"/>
          <w:b/>
          <w:bCs/>
          <w:color w:val="auto"/>
          <w:kern w:val="2"/>
          <w:sz w:val="24"/>
          <w:szCs w:val="24"/>
          <w:highlight w:val="none"/>
          <w:lang w:val="en-US" w:eastAsia="zh-CN" w:bidi="ar"/>
        </w:rPr>
        <w:t>4</w:t>
      </w:r>
      <w:r>
        <w:rPr>
          <w:rFonts w:hint="default" w:ascii="Times New Roman" w:hAnsi="Times New Roman" w:eastAsia="宋体" w:cs="Times New Roman"/>
          <w:b/>
          <w:bCs/>
          <w:color w:val="auto"/>
          <w:kern w:val="2"/>
          <w:sz w:val="24"/>
          <w:szCs w:val="24"/>
          <w:highlight w:val="none"/>
          <w:lang w:val="en-US" w:eastAsia="zh-CN" w:bidi="ar"/>
        </w:rPr>
        <w:t xml:space="preserve"> </w:t>
      </w:r>
      <w:r>
        <w:rPr>
          <w:rFonts w:hint="default" w:ascii="Times New Roman" w:hAnsi="Times New Roman" w:eastAsia="宋体" w:cs="Times New Roman"/>
          <w:b w:val="0"/>
          <w:bCs w:val="0"/>
          <w:color w:val="auto"/>
          <w:kern w:val="2"/>
          <w:sz w:val="24"/>
          <w:szCs w:val="24"/>
          <w:highlight w:val="none"/>
          <w:lang w:val="en-US" w:eastAsia="zh-CN" w:bidi="ar"/>
        </w:rPr>
        <w:t>构件的安全性鉴定评级应通过承载力校核和连接构造分析确定。</w:t>
      </w:r>
    </w:p>
    <w:p w14:paraId="6E3A3996">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bCs/>
          <w:color w:val="auto"/>
          <w:kern w:val="2"/>
          <w:sz w:val="24"/>
          <w:szCs w:val="24"/>
          <w:highlight w:val="none"/>
          <w:lang w:val="en-US" w:eastAsia="zh-CN" w:bidi="ar"/>
        </w:rPr>
        <w:t>4.</w:t>
      </w:r>
      <w:r>
        <w:rPr>
          <w:rFonts w:hint="default" w:ascii="Times New Roman" w:hAnsi="Times New Roman" w:cs="Times New Roman"/>
          <w:b/>
          <w:bCs/>
          <w:color w:val="auto"/>
          <w:kern w:val="2"/>
          <w:sz w:val="24"/>
          <w:szCs w:val="24"/>
          <w:highlight w:val="none"/>
          <w:lang w:val="en-US" w:eastAsia="zh-CN" w:bidi="ar"/>
        </w:rPr>
        <w:t>6</w:t>
      </w:r>
      <w:r>
        <w:rPr>
          <w:rFonts w:hint="default" w:ascii="Times New Roman" w:hAnsi="Times New Roman" w:eastAsia="宋体" w:cs="Times New Roman"/>
          <w:b/>
          <w:bCs/>
          <w:color w:val="auto"/>
          <w:kern w:val="2"/>
          <w:sz w:val="24"/>
          <w:szCs w:val="24"/>
          <w:highlight w:val="none"/>
          <w:lang w:val="en-US" w:eastAsia="zh-CN" w:bidi="ar"/>
        </w:rPr>
        <w:t>.</w:t>
      </w:r>
      <w:r>
        <w:rPr>
          <w:rFonts w:hint="eastAsia" w:cs="Times New Roman"/>
          <w:b/>
          <w:bCs/>
          <w:color w:val="auto"/>
          <w:kern w:val="2"/>
          <w:sz w:val="24"/>
          <w:szCs w:val="24"/>
          <w:highlight w:val="none"/>
          <w:lang w:val="en-US" w:eastAsia="zh-CN" w:bidi="ar"/>
        </w:rPr>
        <w:t>5</w:t>
      </w:r>
      <w:r>
        <w:rPr>
          <w:rFonts w:hint="default" w:ascii="Times New Roman" w:hAnsi="Times New Roman" w:eastAsia="宋体" w:cs="Times New Roman"/>
          <w:b/>
          <w:bCs/>
          <w:color w:val="auto"/>
          <w:kern w:val="2"/>
          <w:sz w:val="24"/>
          <w:szCs w:val="24"/>
          <w:highlight w:val="none"/>
          <w:lang w:val="en-US" w:eastAsia="zh-CN" w:bidi="ar"/>
        </w:rPr>
        <w:t xml:space="preserve"> </w:t>
      </w:r>
      <w:r>
        <w:rPr>
          <w:rFonts w:hint="default" w:ascii="Times New Roman" w:hAnsi="Times New Roman" w:eastAsia="宋体" w:cs="Times New Roman"/>
          <w:b w:val="0"/>
          <w:bCs w:val="0"/>
          <w:color w:val="auto"/>
          <w:kern w:val="2"/>
          <w:sz w:val="24"/>
          <w:szCs w:val="24"/>
          <w:highlight w:val="none"/>
          <w:lang w:val="en-US" w:eastAsia="zh-CN" w:bidi="ar"/>
        </w:rPr>
        <w:t>挡土结构中单个构件应按下列规定进行评级：</w:t>
      </w:r>
    </w:p>
    <w:p w14:paraId="00478291">
      <w:pPr>
        <w:spacing w:line="360" w:lineRule="auto"/>
        <w:jc w:val="center"/>
        <w:rPr>
          <w:rFonts w:hint="default" w:ascii="Times New Roman" w:hAnsi="Times New Roman" w:cs="Times New Roman"/>
          <w:b/>
          <w:color w:val="auto"/>
          <w:szCs w:val="21"/>
          <w:highlight w:val="none"/>
          <w:lang w:val="en-US" w:eastAsia="zh-CN"/>
        </w:rPr>
      </w:pPr>
      <w:r>
        <w:rPr>
          <w:rFonts w:hint="default" w:ascii="Times New Roman" w:hAnsi="Times New Roman" w:cs="Times New Roman"/>
          <w:b/>
          <w:color w:val="auto"/>
          <w:szCs w:val="21"/>
          <w:highlight w:val="none"/>
          <w:lang w:val="en-US" w:eastAsia="zh-CN"/>
        </w:rPr>
        <w:t>表4.</w:t>
      </w:r>
      <w:r>
        <w:rPr>
          <w:rFonts w:hint="eastAsia" w:cs="Times New Roman"/>
          <w:b/>
          <w:color w:val="auto"/>
          <w:szCs w:val="21"/>
          <w:highlight w:val="none"/>
          <w:lang w:val="en-US" w:eastAsia="zh-CN"/>
        </w:rPr>
        <w:t>6</w:t>
      </w:r>
      <w:r>
        <w:rPr>
          <w:rFonts w:hint="eastAsia" w:ascii="Times New Roman" w:hAnsi="Times New Roman" w:cs="Times New Roman"/>
          <w:b/>
          <w:color w:val="auto"/>
          <w:szCs w:val="21"/>
          <w:highlight w:val="none"/>
          <w:lang w:val="en-US" w:eastAsia="zh-CN"/>
        </w:rPr>
        <w:t>.</w:t>
      </w:r>
      <w:r>
        <w:rPr>
          <w:rFonts w:hint="eastAsia" w:cs="Times New Roman"/>
          <w:b/>
          <w:color w:val="auto"/>
          <w:szCs w:val="21"/>
          <w:highlight w:val="none"/>
          <w:lang w:val="en-US" w:eastAsia="zh-CN"/>
        </w:rPr>
        <w:t>5</w:t>
      </w:r>
      <w:r>
        <w:rPr>
          <w:rFonts w:hint="default" w:ascii="Times New Roman" w:hAnsi="Times New Roman" w:cs="Times New Roman"/>
          <w:b/>
          <w:color w:val="auto"/>
          <w:szCs w:val="21"/>
          <w:highlight w:val="none"/>
          <w:lang w:val="en-US" w:eastAsia="zh-CN"/>
        </w:rPr>
        <w:t>挡土结构构件</w:t>
      </w:r>
      <w:r>
        <w:rPr>
          <w:rFonts w:hint="eastAsia" w:cs="Times New Roman"/>
          <w:b/>
          <w:color w:val="auto"/>
          <w:szCs w:val="21"/>
          <w:highlight w:val="none"/>
          <w:lang w:val="en-US" w:eastAsia="zh-CN"/>
        </w:rPr>
        <w:t>评</w:t>
      </w:r>
      <w:r>
        <w:rPr>
          <w:rFonts w:hint="default" w:ascii="Times New Roman" w:hAnsi="Times New Roman" w:cs="Times New Roman"/>
          <w:b/>
          <w:color w:val="auto"/>
          <w:szCs w:val="21"/>
          <w:highlight w:val="none"/>
          <w:lang w:val="en-US" w:eastAsia="zh-CN"/>
        </w:rPr>
        <w:t>级</w:t>
      </w:r>
    </w:p>
    <w:tbl>
      <w:tblPr>
        <w:tblStyle w:val="32"/>
        <w:tblW w:w="8348" w:type="dxa"/>
        <w:tblInd w:w="4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6"/>
        <w:gridCol w:w="7782"/>
      </w:tblGrid>
      <w:tr w14:paraId="2D583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66" w:type="dxa"/>
            <w:tcBorders>
              <w:top w:val="single" w:color="000000" w:sz="10" w:space="0"/>
            </w:tcBorders>
            <w:vAlign w:val="center"/>
          </w:tcPr>
          <w:p w14:paraId="0B9C0DD9">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r>
              <w:rPr>
                <w:color w:val="auto"/>
                <w:spacing w:val="8"/>
                <w:sz w:val="21"/>
                <w:szCs w:val="21"/>
                <w:highlight w:val="none"/>
              </w:rPr>
              <w:t>等级</w:t>
            </w:r>
          </w:p>
        </w:tc>
        <w:tc>
          <w:tcPr>
            <w:tcW w:w="7782" w:type="dxa"/>
            <w:tcBorders>
              <w:top w:val="single" w:color="000000" w:sz="10" w:space="0"/>
            </w:tcBorders>
            <w:vAlign w:val="center"/>
          </w:tcPr>
          <w:p w14:paraId="53D9DA90">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r>
              <w:rPr>
                <w:color w:val="auto"/>
                <w:spacing w:val="8"/>
                <w:sz w:val="21"/>
                <w:szCs w:val="21"/>
                <w:highlight w:val="none"/>
              </w:rPr>
              <w:t>分级标准</w:t>
            </w:r>
          </w:p>
        </w:tc>
      </w:tr>
      <w:tr w14:paraId="50FF7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566" w:type="dxa"/>
            <w:vAlign w:val="center"/>
          </w:tcPr>
          <w:p w14:paraId="1D9F362E">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pacing w:val="8"/>
                <w:sz w:val="21"/>
                <w:szCs w:val="21"/>
                <w:highlight w:val="none"/>
                <w:lang w:val="en-US" w:eastAsia="zh-CN"/>
              </w:rPr>
            </w:pPr>
            <w:r>
              <w:rPr>
                <w:rFonts w:hint="eastAsia"/>
                <w:color w:val="auto"/>
                <w:spacing w:val="8"/>
                <w:sz w:val="21"/>
                <w:szCs w:val="21"/>
                <w:highlight w:val="none"/>
                <w:lang w:eastAsia="zh-CN"/>
              </w:rPr>
              <w:t>a</w:t>
            </w:r>
          </w:p>
        </w:tc>
        <w:tc>
          <w:tcPr>
            <w:tcW w:w="7782" w:type="dxa"/>
            <w:vAlign w:val="center"/>
          </w:tcPr>
          <w:p w14:paraId="706EF60A">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pacing w:val="8"/>
                <w:sz w:val="21"/>
                <w:szCs w:val="21"/>
                <w:highlight w:val="none"/>
                <w:lang w:eastAsia="zh-CN"/>
              </w:rPr>
            </w:pPr>
            <w:r>
              <w:rPr>
                <w:rFonts w:hint="eastAsia"/>
                <w:color w:val="auto"/>
                <w:spacing w:val="8"/>
                <w:sz w:val="21"/>
                <w:szCs w:val="21"/>
                <w:highlight w:val="none"/>
                <w:lang w:eastAsia="zh-CN"/>
              </w:rPr>
              <w:t>挡土结构承载力不低于设计要求的100% ，挡土结构实测变形不大于设计要求的80% ，且挡土结构稳定性安全系数不小于设计要求的100%</w:t>
            </w:r>
          </w:p>
        </w:tc>
      </w:tr>
      <w:tr w14:paraId="72FA6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566" w:type="dxa"/>
            <w:vAlign w:val="center"/>
          </w:tcPr>
          <w:p w14:paraId="52B4223A">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pacing w:val="8"/>
                <w:sz w:val="21"/>
                <w:szCs w:val="21"/>
                <w:highlight w:val="none"/>
                <w:lang w:eastAsia="zh-CN"/>
              </w:rPr>
            </w:pPr>
            <w:r>
              <w:rPr>
                <w:rFonts w:hint="eastAsia"/>
                <w:color w:val="auto"/>
                <w:spacing w:val="8"/>
                <w:sz w:val="21"/>
                <w:szCs w:val="21"/>
                <w:highlight w:val="none"/>
                <w:lang w:eastAsia="zh-CN"/>
              </w:rPr>
              <w:t>b</w:t>
            </w:r>
          </w:p>
        </w:tc>
        <w:tc>
          <w:tcPr>
            <w:tcW w:w="7782" w:type="dxa"/>
            <w:vAlign w:val="center"/>
          </w:tcPr>
          <w:p w14:paraId="6ED32332">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pacing w:val="8"/>
                <w:sz w:val="21"/>
                <w:szCs w:val="21"/>
                <w:highlight w:val="none"/>
                <w:lang w:eastAsia="zh-CN"/>
              </w:rPr>
            </w:pPr>
            <w:r>
              <w:rPr>
                <w:rFonts w:hint="eastAsia"/>
                <w:color w:val="auto"/>
                <w:spacing w:val="8"/>
                <w:sz w:val="21"/>
                <w:szCs w:val="21"/>
                <w:highlight w:val="none"/>
                <w:lang w:eastAsia="zh-CN"/>
              </w:rPr>
              <w:t>挡土结构承载力不低于设计要求的95%，挡土结构实测变形不大于设计要求的 100% ，且挡土结构稳定性安全系数不小于设计要求的95%</w:t>
            </w:r>
          </w:p>
        </w:tc>
      </w:tr>
      <w:tr w14:paraId="02C4C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566" w:type="dxa"/>
            <w:vAlign w:val="center"/>
          </w:tcPr>
          <w:p w14:paraId="6A4965DB">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pacing w:val="8"/>
                <w:sz w:val="21"/>
                <w:szCs w:val="21"/>
                <w:highlight w:val="none"/>
                <w:lang w:eastAsia="zh-CN"/>
              </w:rPr>
            </w:pPr>
            <w:r>
              <w:rPr>
                <w:rFonts w:hint="eastAsia"/>
                <w:color w:val="auto"/>
                <w:spacing w:val="8"/>
                <w:sz w:val="21"/>
                <w:szCs w:val="21"/>
                <w:highlight w:val="none"/>
                <w:lang w:eastAsia="zh-CN"/>
              </w:rPr>
              <w:t>c</w:t>
            </w:r>
          </w:p>
        </w:tc>
        <w:tc>
          <w:tcPr>
            <w:tcW w:w="7782" w:type="dxa"/>
            <w:vAlign w:val="center"/>
          </w:tcPr>
          <w:p w14:paraId="7D015286">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pacing w:val="8"/>
                <w:sz w:val="21"/>
                <w:szCs w:val="21"/>
                <w:highlight w:val="none"/>
                <w:lang w:eastAsia="zh-CN"/>
              </w:rPr>
            </w:pPr>
            <w:r>
              <w:rPr>
                <w:rFonts w:hint="eastAsia"/>
                <w:color w:val="auto"/>
                <w:spacing w:val="8"/>
                <w:sz w:val="21"/>
                <w:szCs w:val="21"/>
                <w:highlight w:val="none"/>
                <w:lang w:eastAsia="zh-CN"/>
              </w:rPr>
              <w:t>挡土结构承载力不低于设计要求的90%，挡土结构实测变形不大于设计要求的 110% ，且挡土结构稳定性安全系数不小于设计要求的90%</w:t>
            </w:r>
          </w:p>
        </w:tc>
      </w:tr>
      <w:tr w14:paraId="771C3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566" w:type="dxa"/>
            <w:vAlign w:val="center"/>
          </w:tcPr>
          <w:p w14:paraId="7A6E0C4F">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pacing w:val="8"/>
                <w:sz w:val="21"/>
                <w:szCs w:val="21"/>
                <w:highlight w:val="none"/>
                <w:lang w:eastAsia="zh-CN"/>
              </w:rPr>
            </w:pPr>
            <w:r>
              <w:rPr>
                <w:rFonts w:hint="eastAsia"/>
                <w:color w:val="auto"/>
                <w:spacing w:val="8"/>
                <w:sz w:val="21"/>
                <w:szCs w:val="21"/>
                <w:highlight w:val="none"/>
                <w:lang w:eastAsia="zh-CN"/>
              </w:rPr>
              <w:t>d</w:t>
            </w:r>
          </w:p>
        </w:tc>
        <w:tc>
          <w:tcPr>
            <w:tcW w:w="7782" w:type="dxa"/>
            <w:vAlign w:val="center"/>
          </w:tcPr>
          <w:p w14:paraId="2930517E">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pacing w:val="8"/>
                <w:sz w:val="21"/>
                <w:szCs w:val="21"/>
                <w:highlight w:val="none"/>
                <w:lang w:eastAsia="zh-CN"/>
              </w:rPr>
            </w:pPr>
            <w:r>
              <w:rPr>
                <w:rFonts w:hint="eastAsia"/>
                <w:color w:val="auto"/>
                <w:spacing w:val="8"/>
                <w:sz w:val="21"/>
                <w:szCs w:val="21"/>
                <w:highlight w:val="none"/>
                <w:lang w:eastAsia="zh-CN"/>
              </w:rPr>
              <w:t>挡土结构承载力低于设计要求的90% ，挡土结构实测变形大于设计要求的 110% ，且挡土结构稳定性安全系数小于设计要求的90%</w:t>
            </w:r>
          </w:p>
        </w:tc>
      </w:tr>
    </w:tbl>
    <w:p w14:paraId="2EBB48A0">
      <w:pPr>
        <w:keepNext w:val="0"/>
        <w:keepLines w:val="0"/>
        <w:widowControl w:val="0"/>
        <w:suppressLineNumbers w:val="0"/>
        <w:spacing w:before="0" w:beforeAutospacing="0" w:after="0" w:afterAutospacing="0" w:line="360" w:lineRule="auto"/>
        <w:ind w:left="0" w:right="0"/>
        <w:jc w:val="both"/>
        <w:rPr>
          <w:rFonts w:hint="default" w:ascii="楷体" w:hAnsi="楷体" w:eastAsia="楷体" w:cs="楷体"/>
          <w:color w:val="auto"/>
          <w:kern w:val="2"/>
          <w:sz w:val="24"/>
          <w:szCs w:val="24"/>
          <w:highlight w:val="none"/>
          <w:u w:val="single"/>
          <w:lang w:val="en-US" w:eastAsia="zh-CN" w:bidi="ar"/>
        </w:rPr>
      </w:pPr>
      <w:r>
        <w:rPr>
          <w:rFonts w:hint="default" w:ascii="楷体" w:hAnsi="楷体" w:eastAsia="楷体" w:cs="楷体"/>
          <w:color w:val="auto"/>
          <w:kern w:val="2"/>
          <w:sz w:val="24"/>
          <w:szCs w:val="24"/>
          <w:highlight w:val="none"/>
          <w:u w:val="single"/>
          <w:lang w:val="en-US" w:eastAsia="zh-CN" w:bidi="ar"/>
        </w:rPr>
        <w:t>【条文说明】根据国家行业标准《民用建筑可靠性鉴定标准》GB 50292 和《建筑基坑支护技术规程》JGJ120 的要求，按承载能力、不适于承载的位移或变形、稳定性安全系数综合评定挡土结构构件的安全性等级。</w:t>
      </w:r>
    </w:p>
    <w:p w14:paraId="72A08EAD">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bCs/>
          <w:color w:val="auto"/>
          <w:kern w:val="2"/>
          <w:sz w:val="24"/>
          <w:szCs w:val="24"/>
          <w:highlight w:val="none"/>
          <w:lang w:val="en-US" w:eastAsia="zh-CN" w:bidi="ar"/>
        </w:rPr>
        <w:t>4.</w:t>
      </w:r>
      <w:r>
        <w:rPr>
          <w:rFonts w:hint="default" w:ascii="Times New Roman" w:hAnsi="Times New Roman" w:cs="Times New Roman"/>
          <w:b/>
          <w:bCs/>
          <w:color w:val="auto"/>
          <w:kern w:val="2"/>
          <w:sz w:val="24"/>
          <w:szCs w:val="24"/>
          <w:highlight w:val="none"/>
          <w:lang w:val="en-US" w:eastAsia="zh-CN" w:bidi="ar"/>
        </w:rPr>
        <w:t>6</w:t>
      </w:r>
      <w:r>
        <w:rPr>
          <w:rFonts w:hint="default" w:ascii="Times New Roman" w:hAnsi="Times New Roman" w:eastAsia="宋体" w:cs="Times New Roman"/>
          <w:b/>
          <w:bCs/>
          <w:color w:val="auto"/>
          <w:kern w:val="2"/>
          <w:sz w:val="24"/>
          <w:szCs w:val="24"/>
          <w:highlight w:val="none"/>
          <w:lang w:val="en-US" w:eastAsia="zh-CN" w:bidi="ar"/>
        </w:rPr>
        <w:t>.</w:t>
      </w:r>
      <w:r>
        <w:rPr>
          <w:rFonts w:hint="eastAsia" w:cs="Times New Roman"/>
          <w:b/>
          <w:bCs/>
          <w:color w:val="auto"/>
          <w:kern w:val="2"/>
          <w:sz w:val="24"/>
          <w:szCs w:val="24"/>
          <w:highlight w:val="none"/>
          <w:lang w:val="en-US" w:eastAsia="zh-CN" w:bidi="ar"/>
        </w:rPr>
        <w:t>6</w:t>
      </w:r>
      <w:r>
        <w:rPr>
          <w:rFonts w:hint="default" w:ascii="Times New Roman" w:hAnsi="Times New Roman" w:eastAsia="宋体" w:cs="Times New Roman"/>
          <w:b/>
          <w:bCs/>
          <w:color w:val="auto"/>
          <w:kern w:val="2"/>
          <w:sz w:val="24"/>
          <w:szCs w:val="24"/>
          <w:highlight w:val="none"/>
          <w:lang w:val="en-US" w:eastAsia="zh-CN" w:bidi="ar"/>
        </w:rPr>
        <w:t xml:space="preserve"> </w:t>
      </w:r>
      <w:r>
        <w:rPr>
          <w:rFonts w:hint="default" w:ascii="Times New Roman" w:hAnsi="Times New Roman" w:eastAsia="宋体" w:cs="Times New Roman"/>
          <w:b w:val="0"/>
          <w:bCs w:val="0"/>
          <w:color w:val="auto"/>
          <w:kern w:val="2"/>
          <w:sz w:val="24"/>
          <w:szCs w:val="24"/>
          <w:highlight w:val="none"/>
          <w:lang w:val="en-US" w:eastAsia="zh-CN" w:bidi="ar"/>
        </w:rPr>
        <w:t>其它单个构件应按下列规定进行评级：</w:t>
      </w:r>
    </w:p>
    <w:p w14:paraId="1425DAEF">
      <w:pPr>
        <w:spacing w:line="360" w:lineRule="auto"/>
        <w:jc w:val="center"/>
        <w:rPr>
          <w:rFonts w:hint="default" w:ascii="Times New Roman" w:hAnsi="Times New Roman" w:cs="Times New Roman"/>
          <w:b/>
          <w:color w:val="auto"/>
          <w:szCs w:val="21"/>
          <w:highlight w:val="none"/>
          <w:lang w:val="en-US" w:eastAsia="zh-CN"/>
        </w:rPr>
      </w:pPr>
      <w:r>
        <w:rPr>
          <w:rFonts w:hint="default" w:ascii="Times New Roman" w:hAnsi="Times New Roman" w:cs="Times New Roman"/>
          <w:b/>
          <w:color w:val="auto"/>
          <w:szCs w:val="21"/>
          <w:highlight w:val="none"/>
          <w:lang w:val="en-US" w:eastAsia="zh-CN"/>
        </w:rPr>
        <w:t>表4.</w:t>
      </w:r>
      <w:r>
        <w:rPr>
          <w:rFonts w:hint="eastAsia" w:ascii="Times New Roman" w:hAnsi="Times New Roman" w:cs="Times New Roman"/>
          <w:b/>
          <w:color w:val="auto"/>
          <w:szCs w:val="21"/>
          <w:highlight w:val="none"/>
          <w:lang w:val="en-US" w:eastAsia="zh-CN"/>
        </w:rPr>
        <w:t>6.</w:t>
      </w:r>
      <w:r>
        <w:rPr>
          <w:rFonts w:hint="eastAsia" w:cs="Times New Roman"/>
          <w:b/>
          <w:color w:val="auto"/>
          <w:szCs w:val="21"/>
          <w:highlight w:val="none"/>
          <w:lang w:val="en-US" w:eastAsia="zh-CN"/>
        </w:rPr>
        <w:t>6</w:t>
      </w:r>
      <w:r>
        <w:rPr>
          <w:rFonts w:hint="eastAsia" w:ascii="Times New Roman" w:hAnsi="Times New Roman" w:cs="Times New Roman"/>
          <w:b/>
          <w:color w:val="auto"/>
          <w:szCs w:val="21"/>
          <w:highlight w:val="none"/>
          <w:lang w:val="en-US" w:eastAsia="zh-CN"/>
        </w:rPr>
        <w:t>其它</w:t>
      </w:r>
      <w:r>
        <w:rPr>
          <w:rFonts w:hint="default" w:ascii="Times New Roman" w:hAnsi="Times New Roman" w:cs="Times New Roman"/>
          <w:b/>
          <w:color w:val="auto"/>
          <w:szCs w:val="21"/>
          <w:highlight w:val="none"/>
          <w:lang w:val="en-US" w:eastAsia="zh-CN"/>
        </w:rPr>
        <w:t>单个构件</w:t>
      </w:r>
      <w:r>
        <w:rPr>
          <w:rFonts w:hint="eastAsia" w:ascii="Times New Roman" w:hAnsi="Times New Roman" w:cs="Times New Roman"/>
          <w:b/>
          <w:color w:val="auto"/>
          <w:szCs w:val="21"/>
          <w:highlight w:val="none"/>
          <w:lang w:val="en-US" w:eastAsia="zh-CN"/>
        </w:rPr>
        <w:t>评</w:t>
      </w:r>
      <w:r>
        <w:rPr>
          <w:rFonts w:hint="default" w:ascii="Times New Roman" w:hAnsi="Times New Roman" w:cs="Times New Roman"/>
          <w:b/>
          <w:color w:val="auto"/>
          <w:szCs w:val="21"/>
          <w:highlight w:val="none"/>
          <w:lang w:val="en-US" w:eastAsia="zh-CN"/>
        </w:rPr>
        <w:t>级</w:t>
      </w:r>
    </w:p>
    <w:tbl>
      <w:tblPr>
        <w:tblStyle w:val="32"/>
        <w:tblW w:w="8348" w:type="dxa"/>
        <w:tblInd w:w="4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6"/>
        <w:gridCol w:w="7782"/>
      </w:tblGrid>
      <w:tr w14:paraId="23B36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66" w:type="dxa"/>
            <w:tcBorders>
              <w:top w:val="single" w:color="000000" w:sz="10" w:space="0"/>
            </w:tcBorders>
            <w:vAlign w:val="center"/>
          </w:tcPr>
          <w:p w14:paraId="3C78017C">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r>
              <w:rPr>
                <w:color w:val="auto"/>
                <w:spacing w:val="8"/>
                <w:sz w:val="21"/>
                <w:szCs w:val="21"/>
                <w:highlight w:val="none"/>
              </w:rPr>
              <w:t>等级</w:t>
            </w:r>
          </w:p>
        </w:tc>
        <w:tc>
          <w:tcPr>
            <w:tcW w:w="7782" w:type="dxa"/>
            <w:tcBorders>
              <w:top w:val="single" w:color="000000" w:sz="10" w:space="0"/>
            </w:tcBorders>
            <w:vAlign w:val="center"/>
          </w:tcPr>
          <w:p w14:paraId="6703E91A">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r>
              <w:rPr>
                <w:color w:val="auto"/>
                <w:spacing w:val="8"/>
                <w:sz w:val="21"/>
                <w:szCs w:val="21"/>
                <w:highlight w:val="none"/>
              </w:rPr>
              <w:t>分级标准</w:t>
            </w:r>
          </w:p>
        </w:tc>
      </w:tr>
      <w:tr w14:paraId="19761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566" w:type="dxa"/>
            <w:vAlign w:val="center"/>
          </w:tcPr>
          <w:p w14:paraId="08C8D7ED">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pacing w:val="8"/>
                <w:sz w:val="21"/>
                <w:szCs w:val="21"/>
                <w:highlight w:val="none"/>
                <w:lang w:val="en-US" w:eastAsia="zh-CN"/>
              </w:rPr>
            </w:pPr>
            <w:r>
              <w:rPr>
                <w:rFonts w:hint="eastAsia"/>
                <w:color w:val="auto"/>
                <w:spacing w:val="8"/>
                <w:sz w:val="21"/>
                <w:szCs w:val="21"/>
                <w:highlight w:val="none"/>
                <w:lang w:eastAsia="zh-CN"/>
              </w:rPr>
              <w:t>a</w:t>
            </w:r>
          </w:p>
        </w:tc>
        <w:tc>
          <w:tcPr>
            <w:tcW w:w="7782" w:type="dxa"/>
            <w:shd w:val="clear" w:color="auto" w:fill="auto"/>
            <w:vAlign w:val="center"/>
          </w:tcPr>
          <w:p w14:paraId="408DD36E">
            <w:pPr>
              <w:pStyle w:val="3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spacing w:val="8"/>
                <w:kern w:val="2"/>
                <w:sz w:val="21"/>
                <w:szCs w:val="21"/>
                <w:highlight w:val="none"/>
                <w:lang w:val="en-US" w:eastAsia="zh-CN" w:bidi="ar-SA"/>
              </w:rPr>
            </w:pPr>
            <w:r>
              <w:rPr>
                <w:rFonts w:hint="eastAsia"/>
                <w:color w:val="auto"/>
                <w:spacing w:val="8"/>
                <w:sz w:val="21"/>
                <w:szCs w:val="21"/>
                <w:highlight w:val="none"/>
              </w:rPr>
              <w:t>构件承载能力不低于设计要求的100%</w:t>
            </w:r>
            <w:r>
              <w:rPr>
                <w:rFonts w:hint="eastAsia"/>
                <w:color w:val="auto"/>
                <w:spacing w:val="8"/>
                <w:sz w:val="21"/>
                <w:szCs w:val="21"/>
                <w:highlight w:val="none"/>
                <w:lang w:eastAsia="zh-CN"/>
              </w:rPr>
              <w:t>，</w:t>
            </w:r>
            <w:r>
              <w:rPr>
                <w:rFonts w:hint="eastAsia"/>
                <w:color w:val="auto"/>
                <w:spacing w:val="8"/>
                <w:sz w:val="21"/>
                <w:szCs w:val="21"/>
                <w:highlight w:val="none"/>
                <w:lang w:val="en-US" w:eastAsia="zh-CN"/>
              </w:rPr>
              <w:t>连接构造和安全性符合</w:t>
            </w:r>
            <w:r>
              <w:rPr>
                <w:rFonts w:hint="eastAsia"/>
                <w:color w:val="auto"/>
                <w:spacing w:val="8"/>
                <w:sz w:val="21"/>
                <w:szCs w:val="21"/>
                <w:highlight w:val="none"/>
              </w:rPr>
              <w:t>符合</w:t>
            </w:r>
            <w:r>
              <w:rPr>
                <w:rFonts w:hint="eastAsia"/>
                <w:color w:val="auto"/>
                <w:spacing w:val="8"/>
                <w:sz w:val="21"/>
                <w:szCs w:val="21"/>
                <w:highlight w:val="none"/>
                <w:lang w:eastAsia="zh-CN"/>
              </w:rPr>
              <w:t>国家现行标准</w:t>
            </w:r>
            <w:r>
              <w:rPr>
                <w:rFonts w:hint="eastAsia"/>
                <w:color w:val="auto"/>
                <w:spacing w:val="8"/>
                <w:sz w:val="21"/>
                <w:szCs w:val="21"/>
                <w:highlight w:val="none"/>
              </w:rPr>
              <w:t>要求</w:t>
            </w:r>
          </w:p>
        </w:tc>
      </w:tr>
      <w:tr w14:paraId="30A28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566" w:type="dxa"/>
            <w:vAlign w:val="center"/>
          </w:tcPr>
          <w:p w14:paraId="2BD5C240">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pacing w:val="8"/>
                <w:sz w:val="21"/>
                <w:szCs w:val="21"/>
                <w:highlight w:val="none"/>
                <w:lang w:eastAsia="zh-CN"/>
              </w:rPr>
            </w:pPr>
            <w:r>
              <w:rPr>
                <w:rFonts w:hint="eastAsia"/>
                <w:color w:val="auto"/>
                <w:spacing w:val="8"/>
                <w:sz w:val="21"/>
                <w:szCs w:val="21"/>
                <w:highlight w:val="none"/>
                <w:lang w:eastAsia="zh-CN"/>
              </w:rPr>
              <w:t>b</w:t>
            </w:r>
          </w:p>
        </w:tc>
        <w:tc>
          <w:tcPr>
            <w:tcW w:w="7782" w:type="dxa"/>
            <w:shd w:val="clear" w:color="auto" w:fill="auto"/>
            <w:vAlign w:val="center"/>
          </w:tcPr>
          <w:p w14:paraId="7B3C52FF">
            <w:pPr>
              <w:pStyle w:val="3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spacing w:val="8"/>
                <w:kern w:val="2"/>
                <w:sz w:val="21"/>
                <w:szCs w:val="21"/>
                <w:highlight w:val="none"/>
                <w:lang w:val="en-US" w:eastAsia="zh-CN" w:bidi="ar-SA"/>
              </w:rPr>
            </w:pPr>
            <w:r>
              <w:rPr>
                <w:rFonts w:hint="eastAsia"/>
                <w:color w:val="auto"/>
                <w:spacing w:val="8"/>
                <w:sz w:val="21"/>
                <w:szCs w:val="21"/>
                <w:highlight w:val="none"/>
              </w:rPr>
              <w:t>构件承载能力不低于设计要求的95%</w:t>
            </w:r>
            <w:r>
              <w:rPr>
                <w:rFonts w:hint="eastAsia"/>
                <w:color w:val="auto"/>
                <w:spacing w:val="8"/>
                <w:sz w:val="21"/>
                <w:szCs w:val="21"/>
                <w:highlight w:val="none"/>
                <w:lang w:eastAsia="zh-CN"/>
              </w:rPr>
              <w:t>，</w:t>
            </w:r>
            <w:r>
              <w:rPr>
                <w:rFonts w:hint="eastAsia"/>
                <w:color w:val="auto"/>
                <w:spacing w:val="8"/>
                <w:sz w:val="21"/>
                <w:szCs w:val="21"/>
                <w:highlight w:val="none"/>
                <w:lang w:val="en-US" w:eastAsia="zh-CN"/>
              </w:rPr>
              <w:t>连接构造和安全性</w:t>
            </w:r>
            <w:r>
              <w:rPr>
                <w:rFonts w:hint="eastAsia"/>
                <w:color w:val="auto"/>
                <w:spacing w:val="8"/>
                <w:sz w:val="21"/>
                <w:szCs w:val="21"/>
                <w:highlight w:val="none"/>
              </w:rPr>
              <w:t>基本符合</w:t>
            </w:r>
            <w:r>
              <w:rPr>
                <w:rFonts w:hint="eastAsia"/>
                <w:color w:val="auto"/>
                <w:spacing w:val="8"/>
                <w:sz w:val="21"/>
                <w:szCs w:val="21"/>
                <w:highlight w:val="none"/>
                <w:lang w:eastAsia="zh-CN"/>
              </w:rPr>
              <w:t>国家现行标准</w:t>
            </w:r>
            <w:r>
              <w:rPr>
                <w:rFonts w:hint="eastAsia"/>
                <w:color w:val="auto"/>
                <w:spacing w:val="8"/>
                <w:sz w:val="21"/>
                <w:szCs w:val="21"/>
                <w:highlight w:val="none"/>
              </w:rPr>
              <w:t>要求</w:t>
            </w:r>
          </w:p>
        </w:tc>
      </w:tr>
      <w:tr w14:paraId="04039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566" w:type="dxa"/>
            <w:vAlign w:val="center"/>
          </w:tcPr>
          <w:p w14:paraId="5B2A9FA7">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pacing w:val="8"/>
                <w:sz w:val="21"/>
                <w:szCs w:val="21"/>
                <w:highlight w:val="none"/>
                <w:lang w:eastAsia="zh-CN"/>
              </w:rPr>
            </w:pPr>
            <w:r>
              <w:rPr>
                <w:rFonts w:hint="eastAsia"/>
                <w:color w:val="auto"/>
                <w:spacing w:val="8"/>
                <w:sz w:val="21"/>
                <w:szCs w:val="21"/>
                <w:highlight w:val="none"/>
                <w:lang w:eastAsia="zh-CN"/>
              </w:rPr>
              <w:t>c</w:t>
            </w:r>
          </w:p>
        </w:tc>
        <w:tc>
          <w:tcPr>
            <w:tcW w:w="7782" w:type="dxa"/>
            <w:shd w:val="clear" w:color="auto" w:fill="auto"/>
            <w:vAlign w:val="center"/>
          </w:tcPr>
          <w:p w14:paraId="1D9E637A">
            <w:pPr>
              <w:pStyle w:val="3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spacing w:val="8"/>
                <w:kern w:val="2"/>
                <w:sz w:val="21"/>
                <w:szCs w:val="21"/>
                <w:highlight w:val="none"/>
                <w:lang w:val="en-US" w:eastAsia="zh-CN" w:bidi="ar-SA"/>
              </w:rPr>
            </w:pPr>
            <w:r>
              <w:rPr>
                <w:rFonts w:hint="eastAsia"/>
                <w:color w:val="auto"/>
                <w:spacing w:val="8"/>
                <w:sz w:val="21"/>
                <w:szCs w:val="21"/>
                <w:highlight w:val="none"/>
              </w:rPr>
              <w:t>构件承载能力不低于设计要求的90%</w:t>
            </w:r>
            <w:r>
              <w:rPr>
                <w:rFonts w:hint="eastAsia"/>
                <w:color w:val="auto"/>
                <w:spacing w:val="8"/>
                <w:sz w:val="21"/>
                <w:szCs w:val="21"/>
                <w:highlight w:val="none"/>
                <w:lang w:eastAsia="zh-CN"/>
              </w:rPr>
              <w:t>，</w:t>
            </w:r>
            <w:r>
              <w:rPr>
                <w:rFonts w:hint="eastAsia"/>
                <w:color w:val="auto"/>
                <w:spacing w:val="8"/>
                <w:sz w:val="21"/>
                <w:szCs w:val="21"/>
                <w:highlight w:val="none"/>
                <w:lang w:val="en-US" w:eastAsia="zh-CN"/>
              </w:rPr>
              <w:t>连接构造和安全性</w:t>
            </w:r>
            <w:r>
              <w:rPr>
                <w:rFonts w:hint="eastAsia"/>
                <w:color w:val="auto"/>
                <w:spacing w:val="8"/>
                <w:sz w:val="21"/>
                <w:szCs w:val="21"/>
                <w:highlight w:val="none"/>
              </w:rPr>
              <w:t>不符合</w:t>
            </w:r>
            <w:r>
              <w:rPr>
                <w:rFonts w:hint="eastAsia"/>
                <w:color w:val="auto"/>
                <w:spacing w:val="8"/>
                <w:sz w:val="21"/>
                <w:szCs w:val="21"/>
                <w:highlight w:val="none"/>
                <w:lang w:eastAsia="zh-CN"/>
              </w:rPr>
              <w:t>国家现行标准</w:t>
            </w:r>
            <w:r>
              <w:rPr>
                <w:rFonts w:hint="eastAsia"/>
                <w:color w:val="auto"/>
                <w:spacing w:val="8"/>
                <w:sz w:val="21"/>
                <w:szCs w:val="21"/>
                <w:highlight w:val="none"/>
              </w:rPr>
              <w:t>要求，影响安全</w:t>
            </w:r>
          </w:p>
        </w:tc>
      </w:tr>
      <w:tr w14:paraId="49A3F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566" w:type="dxa"/>
            <w:vAlign w:val="center"/>
          </w:tcPr>
          <w:p w14:paraId="5964768E">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pacing w:val="8"/>
                <w:sz w:val="21"/>
                <w:szCs w:val="21"/>
                <w:highlight w:val="none"/>
                <w:lang w:eastAsia="zh-CN"/>
              </w:rPr>
            </w:pPr>
            <w:r>
              <w:rPr>
                <w:rFonts w:hint="eastAsia"/>
                <w:color w:val="auto"/>
                <w:spacing w:val="8"/>
                <w:sz w:val="21"/>
                <w:szCs w:val="21"/>
                <w:highlight w:val="none"/>
                <w:lang w:eastAsia="zh-CN"/>
              </w:rPr>
              <w:t>d</w:t>
            </w:r>
          </w:p>
        </w:tc>
        <w:tc>
          <w:tcPr>
            <w:tcW w:w="7782" w:type="dxa"/>
            <w:shd w:val="clear" w:color="auto" w:fill="auto"/>
            <w:vAlign w:val="center"/>
          </w:tcPr>
          <w:p w14:paraId="0761ACD9">
            <w:pPr>
              <w:pStyle w:val="3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spacing w:val="8"/>
                <w:kern w:val="2"/>
                <w:sz w:val="21"/>
                <w:szCs w:val="21"/>
                <w:highlight w:val="none"/>
                <w:lang w:val="en-US" w:eastAsia="zh-CN" w:bidi="ar-SA"/>
              </w:rPr>
            </w:pPr>
            <w:r>
              <w:rPr>
                <w:rFonts w:hint="eastAsia"/>
                <w:color w:val="auto"/>
                <w:spacing w:val="8"/>
                <w:sz w:val="21"/>
                <w:szCs w:val="21"/>
                <w:highlight w:val="none"/>
              </w:rPr>
              <w:t>构件承载能力低于设计要求的90%</w:t>
            </w:r>
            <w:r>
              <w:rPr>
                <w:rFonts w:hint="eastAsia"/>
                <w:color w:val="auto"/>
                <w:spacing w:val="8"/>
                <w:sz w:val="21"/>
                <w:szCs w:val="21"/>
                <w:highlight w:val="none"/>
                <w:lang w:eastAsia="zh-CN"/>
              </w:rPr>
              <w:t>，</w:t>
            </w:r>
            <w:r>
              <w:rPr>
                <w:rFonts w:hint="eastAsia"/>
                <w:color w:val="auto"/>
                <w:spacing w:val="8"/>
                <w:sz w:val="21"/>
                <w:szCs w:val="21"/>
                <w:highlight w:val="none"/>
                <w:lang w:val="en-US" w:eastAsia="zh-CN"/>
              </w:rPr>
              <w:t>连接构造和安全性</w:t>
            </w:r>
            <w:r>
              <w:rPr>
                <w:rFonts w:hint="eastAsia"/>
                <w:color w:val="auto"/>
                <w:spacing w:val="8"/>
                <w:sz w:val="21"/>
                <w:szCs w:val="21"/>
                <w:highlight w:val="none"/>
              </w:rPr>
              <w:t>严重不符合</w:t>
            </w:r>
            <w:r>
              <w:rPr>
                <w:rFonts w:hint="eastAsia"/>
                <w:color w:val="auto"/>
                <w:spacing w:val="8"/>
                <w:sz w:val="21"/>
                <w:szCs w:val="21"/>
                <w:highlight w:val="none"/>
                <w:lang w:eastAsia="zh-CN"/>
              </w:rPr>
              <w:t>国家现行标准</w:t>
            </w:r>
            <w:r>
              <w:rPr>
                <w:rFonts w:hint="eastAsia"/>
                <w:color w:val="auto"/>
                <w:spacing w:val="8"/>
                <w:sz w:val="21"/>
                <w:szCs w:val="21"/>
                <w:highlight w:val="none"/>
              </w:rPr>
              <w:t>要求，已严重影响安全</w:t>
            </w:r>
          </w:p>
        </w:tc>
      </w:tr>
    </w:tbl>
    <w:p w14:paraId="6CD4CA28">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bCs/>
          <w:color w:val="auto"/>
          <w:kern w:val="2"/>
          <w:sz w:val="24"/>
          <w:szCs w:val="24"/>
          <w:highlight w:val="none"/>
          <w:lang w:val="en-US" w:eastAsia="zh-CN" w:bidi="ar"/>
        </w:rPr>
        <w:t>4.</w:t>
      </w:r>
      <w:r>
        <w:rPr>
          <w:rFonts w:hint="eastAsia" w:cs="Times New Roman"/>
          <w:b/>
          <w:bCs/>
          <w:color w:val="auto"/>
          <w:kern w:val="2"/>
          <w:sz w:val="24"/>
          <w:szCs w:val="24"/>
          <w:highlight w:val="none"/>
          <w:lang w:val="en-US" w:eastAsia="zh-CN" w:bidi="ar"/>
        </w:rPr>
        <w:t>6</w:t>
      </w:r>
      <w:r>
        <w:rPr>
          <w:rFonts w:hint="default" w:ascii="Times New Roman" w:hAnsi="Times New Roman" w:eastAsia="宋体" w:cs="Times New Roman"/>
          <w:b/>
          <w:bCs/>
          <w:color w:val="auto"/>
          <w:kern w:val="2"/>
          <w:sz w:val="24"/>
          <w:szCs w:val="24"/>
          <w:highlight w:val="none"/>
          <w:lang w:val="en-US" w:eastAsia="zh-CN" w:bidi="ar"/>
        </w:rPr>
        <w:t>.</w:t>
      </w:r>
      <w:r>
        <w:rPr>
          <w:rFonts w:hint="eastAsia" w:cs="Times New Roman"/>
          <w:b/>
          <w:bCs/>
          <w:color w:val="auto"/>
          <w:kern w:val="2"/>
          <w:sz w:val="24"/>
          <w:szCs w:val="24"/>
          <w:highlight w:val="none"/>
          <w:lang w:val="en-US" w:eastAsia="zh-CN" w:bidi="ar"/>
        </w:rPr>
        <w:t xml:space="preserve">7 </w:t>
      </w:r>
      <w:r>
        <w:rPr>
          <w:rFonts w:hint="eastAsia" w:ascii="Times New Roman" w:hAnsi="Times New Roman" w:cs="Times New Roman"/>
          <w:b w:val="0"/>
          <w:bCs w:val="0"/>
          <w:color w:val="auto"/>
          <w:kern w:val="2"/>
          <w:sz w:val="24"/>
          <w:szCs w:val="24"/>
          <w:highlight w:val="none"/>
          <w:lang w:val="en-US" w:eastAsia="zh-CN" w:bidi="ar"/>
        </w:rPr>
        <w:t>构件</w:t>
      </w:r>
      <w:r>
        <w:rPr>
          <w:rFonts w:hint="default" w:ascii="Times New Roman" w:hAnsi="Times New Roman" w:eastAsia="宋体" w:cs="Times New Roman"/>
          <w:b w:val="0"/>
          <w:bCs w:val="0"/>
          <w:color w:val="auto"/>
          <w:kern w:val="2"/>
          <w:sz w:val="24"/>
          <w:szCs w:val="24"/>
          <w:highlight w:val="none"/>
          <w:lang w:val="en-US" w:eastAsia="zh-CN" w:bidi="ar"/>
        </w:rPr>
        <w:t>的耐久性应根据</w:t>
      </w:r>
      <w:r>
        <w:rPr>
          <w:rFonts w:hint="eastAsia" w:ascii="Times New Roman" w:hAnsi="Times New Roman" w:cs="Times New Roman"/>
          <w:b w:val="0"/>
          <w:bCs w:val="0"/>
          <w:color w:val="auto"/>
          <w:kern w:val="2"/>
          <w:sz w:val="24"/>
          <w:szCs w:val="24"/>
          <w:highlight w:val="none"/>
          <w:lang w:val="en-US" w:eastAsia="zh-CN" w:bidi="ar"/>
        </w:rPr>
        <w:t>基坑深度、安全</w:t>
      </w:r>
      <w:r>
        <w:rPr>
          <w:rFonts w:hint="default" w:ascii="Times New Roman" w:hAnsi="Times New Roman" w:eastAsia="宋体" w:cs="Times New Roman"/>
          <w:b w:val="0"/>
          <w:bCs w:val="0"/>
          <w:color w:val="auto"/>
          <w:kern w:val="2"/>
          <w:sz w:val="24"/>
          <w:szCs w:val="24"/>
          <w:highlight w:val="none"/>
          <w:lang w:val="en-US" w:eastAsia="zh-CN" w:bidi="ar"/>
        </w:rPr>
        <w:t>等级</w:t>
      </w:r>
      <w:r>
        <w:rPr>
          <w:rFonts w:hint="eastAsia" w:cs="Times New Roman"/>
          <w:b w:val="0"/>
          <w:bCs w:val="0"/>
          <w:color w:val="auto"/>
          <w:kern w:val="2"/>
          <w:sz w:val="24"/>
          <w:szCs w:val="24"/>
          <w:highlight w:val="none"/>
          <w:lang w:val="en-US" w:eastAsia="zh-CN" w:bidi="ar"/>
        </w:rPr>
        <w:t>、</w:t>
      </w:r>
      <w:r>
        <w:rPr>
          <w:rFonts w:hint="eastAsia" w:ascii="Times New Roman" w:hAnsi="Times New Roman" w:cs="Times New Roman"/>
          <w:b w:val="0"/>
          <w:bCs w:val="0"/>
          <w:color w:val="auto"/>
          <w:kern w:val="2"/>
          <w:sz w:val="24"/>
          <w:szCs w:val="24"/>
          <w:highlight w:val="none"/>
          <w:lang w:val="en-US" w:eastAsia="zh-CN" w:bidi="ar"/>
        </w:rPr>
        <w:t>构件施工时间</w:t>
      </w:r>
      <w:r>
        <w:rPr>
          <w:rFonts w:hint="default" w:ascii="Times New Roman" w:hAnsi="Times New Roman" w:eastAsia="宋体" w:cs="Times New Roman"/>
          <w:b w:val="0"/>
          <w:bCs w:val="0"/>
          <w:color w:val="auto"/>
          <w:kern w:val="2"/>
          <w:sz w:val="24"/>
          <w:szCs w:val="24"/>
          <w:highlight w:val="none"/>
          <w:lang w:val="en-US" w:eastAsia="zh-CN" w:bidi="ar"/>
        </w:rPr>
        <w:t>、材料</w:t>
      </w:r>
      <w:r>
        <w:rPr>
          <w:rFonts w:hint="eastAsia" w:cs="Times New Roman"/>
          <w:b w:val="0"/>
          <w:bCs w:val="0"/>
          <w:color w:val="auto"/>
          <w:kern w:val="2"/>
          <w:sz w:val="24"/>
          <w:szCs w:val="24"/>
          <w:highlight w:val="none"/>
          <w:lang w:val="en-US" w:eastAsia="zh-CN" w:bidi="ar"/>
        </w:rPr>
        <w:t>和</w:t>
      </w:r>
      <w:r>
        <w:rPr>
          <w:rFonts w:hint="default" w:ascii="Times New Roman" w:hAnsi="Times New Roman" w:eastAsia="宋体" w:cs="Times New Roman"/>
          <w:b w:val="0"/>
          <w:bCs w:val="0"/>
          <w:color w:val="auto"/>
          <w:kern w:val="2"/>
          <w:sz w:val="24"/>
          <w:szCs w:val="24"/>
          <w:highlight w:val="none"/>
          <w:lang w:val="en-US" w:eastAsia="zh-CN" w:bidi="ar"/>
        </w:rPr>
        <w:t>环境类别，按国家现行有关标准</w:t>
      </w:r>
      <w:r>
        <w:rPr>
          <w:rFonts w:hint="eastAsia" w:ascii="Times New Roman" w:hAnsi="Times New Roman" w:cs="Times New Roman"/>
          <w:b w:val="0"/>
          <w:bCs w:val="0"/>
          <w:color w:val="auto"/>
          <w:kern w:val="2"/>
          <w:sz w:val="24"/>
          <w:szCs w:val="24"/>
          <w:highlight w:val="none"/>
          <w:lang w:val="en-US" w:eastAsia="zh-CN" w:bidi="ar"/>
        </w:rPr>
        <w:t>并结合</w:t>
      </w:r>
      <w:r>
        <w:rPr>
          <w:rFonts w:hint="default" w:ascii="Times New Roman" w:hAnsi="Times New Roman" w:eastAsia="宋体" w:cs="Times New Roman"/>
          <w:b w:val="0"/>
          <w:bCs w:val="0"/>
          <w:color w:val="auto"/>
          <w:kern w:val="2"/>
          <w:sz w:val="24"/>
          <w:szCs w:val="24"/>
          <w:highlight w:val="none"/>
          <w:lang w:val="en-US" w:eastAsia="zh-CN" w:bidi="ar"/>
        </w:rPr>
        <w:t>当地工程经验类比评估其耐久年限。</w:t>
      </w:r>
    </w:p>
    <w:p w14:paraId="0AA0BDE1">
      <w:pPr>
        <w:keepNext w:val="0"/>
        <w:keepLines w:val="0"/>
        <w:widowControl w:val="0"/>
        <w:suppressLineNumbers w:val="0"/>
        <w:spacing w:before="0" w:beforeAutospacing="0" w:after="0" w:afterAutospacing="0" w:line="360" w:lineRule="auto"/>
        <w:ind w:left="0" w:leftChars="0" w:right="0"/>
        <w:jc w:val="both"/>
        <w:rPr>
          <w:rFonts w:hint="default" w:ascii="Times New Roman" w:hAnsi="Times New Roman" w:eastAsia="宋体" w:cs="Times New Roman"/>
          <w:b/>
          <w:bCs/>
          <w:color w:val="auto"/>
          <w:kern w:val="2"/>
          <w:sz w:val="24"/>
          <w:szCs w:val="24"/>
          <w:highlight w:val="none"/>
          <w:lang w:val="en-US" w:eastAsia="zh-CN" w:bidi="ar"/>
        </w:rPr>
      </w:pPr>
      <w:r>
        <w:rPr>
          <w:rFonts w:hint="default" w:ascii="Times New Roman" w:hAnsi="Times New Roman" w:eastAsia="宋体" w:cs="Times New Roman"/>
          <w:b/>
          <w:bCs/>
          <w:color w:val="auto"/>
          <w:kern w:val="2"/>
          <w:sz w:val="24"/>
          <w:szCs w:val="24"/>
          <w:highlight w:val="none"/>
          <w:lang w:val="en-US" w:eastAsia="zh-CN" w:bidi="ar"/>
        </w:rPr>
        <w:t>4.</w:t>
      </w:r>
      <w:r>
        <w:rPr>
          <w:rFonts w:hint="eastAsia" w:cs="Times New Roman"/>
          <w:b/>
          <w:bCs/>
          <w:color w:val="auto"/>
          <w:kern w:val="2"/>
          <w:sz w:val="24"/>
          <w:szCs w:val="24"/>
          <w:highlight w:val="none"/>
          <w:lang w:val="en-US" w:eastAsia="zh-CN" w:bidi="ar"/>
        </w:rPr>
        <w:t>6</w:t>
      </w:r>
      <w:r>
        <w:rPr>
          <w:rFonts w:hint="default" w:ascii="Times New Roman" w:hAnsi="Times New Roman" w:eastAsia="宋体" w:cs="Times New Roman"/>
          <w:b/>
          <w:bCs/>
          <w:color w:val="auto"/>
          <w:kern w:val="2"/>
          <w:sz w:val="24"/>
          <w:szCs w:val="24"/>
          <w:highlight w:val="none"/>
          <w:lang w:val="en-US" w:eastAsia="zh-CN" w:bidi="ar"/>
        </w:rPr>
        <w:t>.</w:t>
      </w:r>
      <w:r>
        <w:rPr>
          <w:rFonts w:hint="eastAsia" w:cs="Times New Roman"/>
          <w:b/>
          <w:bCs/>
          <w:color w:val="auto"/>
          <w:kern w:val="2"/>
          <w:sz w:val="24"/>
          <w:szCs w:val="24"/>
          <w:highlight w:val="none"/>
          <w:lang w:val="en-US" w:eastAsia="zh-CN" w:bidi="ar"/>
        </w:rPr>
        <w:t xml:space="preserve">8 </w:t>
      </w:r>
      <w:r>
        <w:rPr>
          <w:rFonts w:hint="default" w:ascii="Times New Roman" w:hAnsi="Times New Roman" w:eastAsia="宋体" w:cs="Times New Roman"/>
          <w:b w:val="0"/>
          <w:bCs w:val="0"/>
          <w:color w:val="auto"/>
          <w:kern w:val="2"/>
          <w:sz w:val="24"/>
          <w:szCs w:val="24"/>
          <w:highlight w:val="none"/>
          <w:lang w:val="en-US" w:eastAsia="zh-CN" w:bidi="ar"/>
        </w:rPr>
        <w:t>按坡率法</w:t>
      </w:r>
      <w:r>
        <w:rPr>
          <w:rFonts w:hint="eastAsia" w:ascii="Times New Roman" w:hAnsi="Times New Roman" w:cs="Times New Roman"/>
          <w:b w:val="0"/>
          <w:bCs w:val="0"/>
          <w:color w:val="auto"/>
          <w:kern w:val="2"/>
          <w:sz w:val="24"/>
          <w:szCs w:val="24"/>
          <w:highlight w:val="none"/>
          <w:lang w:val="en-US" w:eastAsia="zh-CN" w:bidi="ar"/>
        </w:rPr>
        <w:t>施工</w:t>
      </w:r>
      <w:r>
        <w:rPr>
          <w:rFonts w:hint="default" w:ascii="Times New Roman" w:hAnsi="Times New Roman" w:eastAsia="宋体" w:cs="Times New Roman"/>
          <w:b w:val="0"/>
          <w:bCs w:val="0"/>
          <w:color w:val="auto"/>
          <w:kern w:val="2"/>
          <w:sz w:val="24"/>
          <w:szCs w:val="24"/>
          <w:highlight w:val="none"/>
          <w:lang w:val="en-US" w:eastAsia="zh-CN" w:bidi="ar"/>
        </w:rPr>
        <w:t>的基坑工程，应根据基坑工程的地质</w:t>
      </w:r>
      <w:r>
        <w:rPr>
          <w:rFonts w:hint="eastAsia" w:ascii="Times New Roman" w:hAnsi="Times New Roman" w:cs="Times New Roman"/>
          <w:b w:val="0"/>
          <w:bCs w:val="0"/>
          <w:color w:val="auto"/>
          <w:kern w:val="2"/>
          <w:sz w:val="24"/>
          <w:szCs w:val="24"/>
          <w:highlight w:val="none"/>
          <w:lang w:val="en-US" w:eastAsia="zh-CN" w:bidi="ar"/>
        </w:rPr>
        <w:t>条件</w:t>
      </w:r>
      <w:r>
        <w:rPr>
          <w:rFonts w:hint="default" w:ascii="Times New Roman" w:hAnsi="Times New Roman" w:eastAsia="宋体" w:cs="Times New Roman"/>
          <w:b w:val="0"/>
          <w:bCs w:val="0"/>
          <w:color w:val="auto"/>
          <w:kern w:val="2"/>
          <w:sz w:val="24"/>
          <w:szCs w:val="24"/>
          <w:highlight w:val="none"/>
          <w:lang w:val="en-US" w:eastAsia="zh-CN" w:bidi="ar"/>
        </w:rPr>
        <w:t>、</w:t>
      </w:r>
      <w:r>
        <w:rPr>
          <w:rFonts w:hint="eastAsia" w:ascii="Times New Roman" w:hAnsi="Times New Roman" w:cs="Times New Roman"/>
          <w:b w:val="0"/>
          <w:bCs w:val="0"/>
          <w:color w:val="auto"/>
          <w:kern w:val="2"/>
          <w:sz w:val="24"/>
          <w:szCs w:val="24"/>
          <w:highlight w:val="none"/>
          <w:lang w:val="en-US" w:eastAsia="zh-CN" w:bidi="ar"/>
        </w:rPr>
        <w:t>基坑开挖深度</w:t>
      </w:r>
      <w:r>
        <w:rPr>
          <w:rFonts w:hint="default" w:ascii="Times New Roman" w:hAnsi="Times New Roman" w:eastAsia="宋体" w:cs="Times New Roman"/>
          <w:b w:val="0"/>
          <w:bCs w:val="0"/>
          <w:color w:val="auto"/>
          <w:kern w:val="2"/>
          <w:sz w:val="24"/>
          <w:szCs w:val="24"/>
          <w:highlight w:val="none"/>
          <w:lang w:val="en-US" w:eastAsia="zh-CN" w:bidi="ar"/>
        </w:rPr>
        <w:t>和已使用年限，划分成若干鉴定单元，</w:t>
      </w:r>
      <w:r>
        <w:rPr>
          <w:rFonts w:hint="eastAsia" w:ascii="Times New Roman" w:hAnsi="Times New Roman" w:cs="Times New Roman"/>
          <w:b w:val="0"/>
          <w:bCs w:val="0"/>
          <w:color w:val="auto"/>
          <w:kern w:val="2"/>
          <w:sz w:val="24"/>
          <w:szCs w:val="24"/>
          <w:highlight w:val="none"/>
          <w:lang w:val="en-US" w:eastAsia="zh-CN" w:bidi="ar"/>
        </w:rPr>
        <w:t>根据</w:t>
      </w:r>
      <w:r>
        <w:rPr>
          <w:rFonts w:hint="default" w:ascii="Times New Roman" w:hAnsi="Times New Roman" w:eastAsia="宋体" w:cs="Times New Roman"/>
          <w:b w:val="0"/>
          <w:bCs w:val="0"/>
          <w:color w:val="auto"/>
          <w:kern w:val="2"/>
          <w:sz w:val="24"/>
          <w:szCs w:val="24"/>
          <w:highlight w:val="none"/>
          <w:lang w:val="en-US" w:eastAsia="zh-CN" w:bidi="ar"/>
        </w:rPr>
        <w:t>调查各鉴定单元的外露岩土体的</w:t>
      </w:r>
      <w:r>
        <w:rPr>
          <w:rFonts w:hint="eastAsia" w:ascii="Times New Roman" w:hAnsi="Times New Roman" w:cs="Times New Roman"/>
          <w:b w:val="0"/>
          <w:bCs w:val="0"/>
          <w:color w:val="auto"/>
          <w:kern w:val="2"/>
          <w:sz w:val="24"/>
          <w:szCs w:val="24"/>
          <w:highlight w:val="none"/>
          <w:lang w:val="en-US" w:eastAsia="zh-CN" w:bidi="ar"/>
        </w:rPr>
        <w:t>岩土类别、</w:t>
      </w:r>
      <w:r>
        <w:rPr>
          <w:rFonts w:hint="default" w:ascii="Times New Roman" w:hAnsi="Times New Roman" w:eastAsia="宋体" w:cs="Times New Roman"/>
          <w:b w:val="0"/>
          <w:bCs w:val="0"/>
          <w:color w:val="auto"/>
          <w:kern w:val="2"/>
          <w:sz w:val="24"/>
          <w:szCs w:val="24"/>
          <w:highlight w:val="none"/>
          <w:lang w:val="en-US" w:eastAsia="zh-CN" w:bidi="ar"/>
        </w:rPr>
        <w:t>风化程度、裂隙</w:t>
      </w:r>
      <w:r>
        <w:rPr>
          <w:rFonts w:hint="eastAsia" w:ascii="Times New Roman" w:hAnsi="Times New Roman" w:cs="Times New Roman"/>
          <w:b w:val="0"/>
          <w:bCs w:val="0"/>
          <w:color w:val="auto"/>
          <w:kern w:val="2"/>
          <w:sz w:val="24"/>
          <w:szCs w:val="24"/>
          <w:highlight w:val="none"/>
          <w:lang w:val="en-US" w:eastAsia="zh-CN" w:bidi="ar"/>
        </w:rPr>
        <w:t>发育程度</w:t>
      </w:r>
      <w:r>
        <w:rPr>
          <w:rFonts w:hint="default" w:ascii="Times New Roman" w:hAnsi="Times New Roman" w:eastAsia="宋体" w:cs="Times New Roman"/>
          <w:b w:val="0"/>
          <w:bCs w:val="0"/>
          <w:color w:val="auto"/>
          <w:kern w:val="2"/>
          <w:sz w:val="24"/>
          <w:szCs w:val="24"/>
          <w:highlight w:val="none"/>
          <w:lang w:val="en-US" w:eastAsia="zh-CN" w:bidi="ar"/>
        </w:rPr>
        <w:t>、损伤</w:t>
      </w:r>
      <w:r>
        <w:rPr>
          <w:rFonts w:hint="eastAsia" w:ascii="Times New Roman" w:hAnsi="Times New Roman" w:cs="Times New Roman"/>
          <w:b w:val="0"/>
          <w:bCs w:val="0"/>
          <w:color w:val="auto"/>
          <w:kern w:val="2"/>
          <w:sz w:val="24"/>
          <w:szCs w:val="24"/>
          <w:highlight w:val="none"/>
          <w:lang w:val="en-US" w:eastAsia="zh-CN" w:bidi="ar"/>
        </w:rPr>
        <w:t>破坏</w:t>
      </w:r>
      <w:r>
        <w:rPr>
          <w:rFonts w:hint="default" w:ascii="Times New Roman" w:hAnsi="Times New Roman" w:eastAsia="宋体" w:cs="Times New Roman"/>
          <w:b w:val="0"/>
          <w:bCs w:val="0"/>
          <w:color w:val="auto"/>
          <w:kern w:val="2"/>
          <w:sz w:val="24"/>
          <w:szCs w:val="24"/>
          <w:highlight w:val="none"/>
          <w:lang w:val="en-US" w:eastAsia="zh-CN" w:bidi="ar"/>
        </w:rPr>
        <w:t>程度</w:t>
      </w:r>
      <w:r>
        <w:rPr>
          <w:rFonts w:hint="eastAsia" w:ascii="Times New Roman" w:hAnsi="Times New Roman" w:cs="Times New Roman"/>
          <w:b w:val="0"/>
          <w:bCs w:val="0"/>
          <w:color w:val="auto"/>
          <w:kern w:val="2"/>
          <w:sz w:val="24"/>
          <w:szCs w:val="24"/>
          <w:highlight w:val="none"/>
          <w:lang w:val="en-US" w:eastAsia="zh-CN" w:bidi="ar"/>
        </w:rPr>
        <w:t>、附属工程情况</w:t>
      </w:r>
      <w:r>
        <w:rPr>
          <w:rFonts w:hint="default" w:ascii="Times New Roman" w:hAnsi="Times New Roman" w:eastAsia="宋体" w:cs="Times New Roman"/>
          <w:b w:val="0"/>
          <w:bCs w:val="0"/>
          <w:color w:val="auto"/>
          <w:kern w:val="2"/>
          <w:sz w:val="24"/>
          <w:szCs w:val="24"/>
          <w:highlight w:val="none"/>
          <w:lang w:val="en-US" w:eastAsia="zh-CN" w:bidi="ar"/>
        </w:rPr>
        <w:t>，根据其整体或局部滑动的可能性、危害后果的严重程度及当地工程经验，确定其耐久年限。</w:t>
      </w:r>
    </w:p>
    <w:p w14:paraId="6DB72B2B">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楷体" w:hAnsi="楷体" w:eastAsia="楷体" w:cs="楷体"/>
          <w:color w:val="auto"/>
          <w:kern w:val="2"/>
          <w:sz w:val="24"/>
          <w:szCs w:val="24"/>
          <w:highlight w:val="none"/>
          <w:u w:val="single"/>
          <w:lang w:val="en-US" w:eastAsia="zh-CN" w:bidi="ar"/>
        </w:rPr>
        <w:t>【条文说明】在实际使用这些规定时，工程技术人员应充分考虑</w:t>
      </w:r>
      <w:r>
        <w:rPr>
          <w:rFonts w:hint="eastAsia" w:ascii="楷体" w:hAnsi="楷体" w:eastAsia="楷体" w:cs="楷体"/>
          <w:color w:val="auto"/>
          <w:kern w:val="2"/>
          <w:sz w:val="24"/>
          <w:szCs w:val="24"/>
          <w:highlight w:val="none"/>
          <w:u w:val="single"/>
          <w:lang w:val="en-US" w:eastAsia="zh-CN" w:bidi="ar"/>
        </w:rPr>
        <w:t>四川</w:t>
      </w:r>
      <w:r>
        <w:rPr>
          <w:rFonts w:hint="default" w:ascii="楷体" w:hAnsi="楷体" w:eastAsia="楷体" w:cs="楷体"/>
          <w:color w:val="auto"/>
          <w:kern w:val="2"/>
          <w:sz w:val="24"/>
          <w:szCs w:val="24"/>
          <w:highlight w:val="none"/>
          <w:u w:val="single"/>
          <w:lang w:val="en-US" w:eastAsia="zh-CN" w:bidi="ar"/>
        </w:rPr>
        <w:t>省同类基坑工程经验，</w:t>
      </w:r>
      <w:r>
        <w:rPr>
          <w:rFonts w:hint="eastAsia" w:ascii="楷体" w:hAnsi="楷体" w:eastAsia="楷体" w:cs="楷体"/>
          <w:color w:val="auto"/>
          <w:kern w:val="2"/>
          <w:sz w:val="24"/>
          <w:szCs w:val="24"/>
          <w:highlight w:val="none"/>
          <w:u w:val="single"/>
          <w:lang w:val="en-US" w:eastAsia="zh-CN" w:bidi="ar"/>
        </w:rPr>
        <w:t>基坑深度、</w:t>
      </w:r>
      <w:r>
        <w:rPr>
          <w:rFonts w:hint="default" w:ascii="楷体" w:hAnsi="楷体" w:eastAsia="楷体" w:cs="楷体"/>
          <w:color w:val="auto"/>
          <w:kern w:val="2"/>
          <w:sz w:val="24"/>
          <w:szCs w:val="24"/>
          <w:highlight w:val="none"/>
          <w:u w:val="single"/>
          <w:lang w:val="en-US" w:eastAsia="zh-CN" w:bidi="ar"/>
        </w:rPr>
        <w:t>地质</w:t>
      </w:r>
      <w:r>
        <w:rPr>
          <w:rFonts w:hint="eastAsia" w:ascii="楷体" w:hAnsi="楷体" w:eastAsia="楷体" w:cs="楷体"/>
          <w:color w:val="auto"/>
          <w:kern w:val="2"/>
          <w:sz w:val="24"/>
          <w:szCs w:val="24"/>
          <w:highlight w:val="none"/>
          <w:u w:val="single"/>
          <w:lang w:val="en-US" w:eastAsia="zh-CN" w:bidi="ar"/>
        </w:rPr>
        <w:t>条件</w:t>
      </w:r>
      <w:r>
        <w:rPr>
          <w:rFonts w:hint="default" w:ascii="楷体" w:hAnsi="楷体" w:eastAsia="楷体" w:cs="楷体"/>
          <w:color w:val="auto"/>
          <w:kern w:val="2"/>
          <w:sz w:val="24"/>
          <w:szCs w:val="24"/>
          <w:highlight w:val="none"/>
          <w:u w:val="single"/>
          <w:lang w:val="en-US" w:eastAsia="zh-CN" w:bidi="ar"/>
        </w:rPr>
        <w:t>、设计水平、材料特性、</w:t>
      </w:r>
      <w:r>
        <w:rPr>
          <w:rFonts w:hint="eastAsia" w:ascii="楷体" w:hAnsi="楷体" w:eastAsia="楷体" w:cs="楷体"/>
          <w:color w:val="auto"/>
          <w:kern w:val="2"/>
          <w:sz w:val="24"/>
          <w:szCs w:val="24"/>
          <w:highlight w:val="none"/>
          <w:u w:val="single"/>
          <w:lang w:val="en-US" w:eastAsia="zh-CN" w:bidi="ar"/>
        </w:rPr>
        <w:t>施工时间、</w:t>
      </w:r>
      <w:r>
        <w:rPr>
          <w:rFonts w:hint="default" w:ascii="楷体" w:hAnsi="楷体" w:eastAsia="楷体" w:cs="楷体"/>
          <w:color w:val="auto"/>
          <w:kern w:val="2"/>
          <w:sz w:val="24"/>
          <w:szCs w:val="24"/>
          <w:highlight w:val="none"/>
          <w:u w:val="single"/>
          <w:lang w:val="en-US" w:eastAsia="zh-CN" w:bidi="ar"/>
        </w:rPr>
        <w:t>基坑工程施工技术水平、危害后果的严重程度，综合评定基坑工程支护结构、构件的耐久性。</w:t>
      </w:r>
    </w:p>
    <w:p w14:paraId="00907CAF">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Ⅲ</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子单元鉴定评级</w:t>
      </w:r>
    </w:p>
    <w:p w14:paraId="0325FA4C">
      <w:pPr>
        <w:keepNext w:val="0"/>
        <w:keepLines w:val="0"/>
        <w:widowControl w:val="0"/>
        <w:suppressLineNumbers w:val="0"/>
        <w:spacing w:before="0" w:beforeAutospacing="0" w:after="0" w:afterAutospacing="0" w:line="360" w:lineRule="auto"/>
        <w:ind w:right="0"/>
        <w:jc w:val="both"/>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bCs/>
          <w:color w:val="auto"/>
          <w:kern w:val="2"/>
          <w:sz w:val="24"/>
          <w:szCs w:val="24"/>
          <w:highlight w:val="none"/>
          <w:lang w:val="en-US" w:eastAsia="zh-CN" w:bidi="ar"/>
        </w:rPr>
        <w:t>4.</w:t>
      </w:r>
      <w:r>
        <w:rPr>
          <w:rFonts w:hint="eastAsia" w:cs="Times New Roman"/>
          <w:b/>
          <w:bCs/>
          <w:color w:val="auto"/>
          <w:kern w:val="2"/>
          <w:sz w:val="24"/>
          <w:szCs w:val="24"/>
          <w:highlight w:val="none"/>
          <w:lang w:val="en-US" w:eastAsia="zh-CN" w:bidi="ar"/>
        </w:rPr>
        <w:t>6</w:t>
      </w:r>
      <w:r>
        <w:rPr>
          <w:rFonts w:hint="default" w:ascii="Times New Roman" w:hAnsi="Times New Roman" w:eastAsia="宋体" w:cs="Times New Roman"/>
          <w:b/>
          <w:bCs/>
          <w:color w:val="auto"/>
          <w:kern w:val="2"/>
          <w:sz w:val="24"/>
          <w:szCs w:val="24"/>
          <w:highlight w:val="none"/>
          <w:lang w:val="en-US" w:eastAsia="zh-CN" w:bidi="ar"/>
        </w:rPr>
        <w:t>.</w:t>
      </w:r>
      <w:r>
        <w:rPr>
          <w:rFonts w:hint="eastAsia" w:cs="Times New Roman"/>
          <w:b/>
          <w:bCs/>
          <w:color w:val="auto"/>
          <w:kern w:val="2"/>
          <w:sz w:val="24"/>
          <w:szCs w:val="24"/>
          <w:highlight w:val="none"/>
          <w:lang w:val="en-US" w:eastAsia="zh-CN" w:bidi="ar"/>
        </w:rPr>
        <w:t>9</w:t>
      </w:r>
      <w:r>
        <w:rPr>
          <w:rFonts w:hint="default" w:ascii="Times New Roman" w:hAnsi="Times New Roman" w:eastAsia="宋体" w:cs="Times New Roman"/>
          <w:b w:val="0"/>
          <w:bCs w:val="0"/>
          <w:color w:val="auto"/>
          <w:kern w:val="2"/>
          <w:sz w:val="24"/>
          <w:szCs w:val="24"/>
          <w:highlight w:val="none"/>
          <w:lang w:val="en-US" w:eastAsia="zh-CN" w:bidi="ar"/>
        </w:rPr>
        <w:t>支护结构的安全性应按支护结构的整体性、承载功能和变形</w:t>
      </w:r>
      <w:r>
        <w:rPr>
          <w:rFonts w:hint="eastAsia" w:ascii="Times New Roman" w:hAnsi="Times New Roman" w:cs="Times New Roman"/>
          <w:b w:val="0"/>
          <w:bCs w:val="0"/>
          <w:color w:val="auto"/>
          <w:kern w:val="2"/>
          <w:sz w:val="24"/>
          <w:szCs w:val="24"/>
          <w:highlight w:val="none"/>
          <w:lang w:val="en-US" w:eastAsia="zh-CN" w:bidi="ar"/>
        </w:rPr>
        <w:t>、稳定性三</w:t>
      </w:r>
      <w:r>
        <w:rPr>
          <w:rFonts w:hint="default" w:ascii="Times New Roman" w:hAnsi="Times New Roman" w:eastAsia="宋体" w:cs="Times New Roman"/>
          <w:b w:val="0"/>
          <w:bCs w:val="0"/>
          <w:color w:val="auto"/>
          <w:kern w:val="2"/>
          <w:sz w:val="24"/>
          <w:szCs w:val="24"/>
          <w:highlight w:val="none"/>
          <w:lang w:val="en-US" w:eastAsia="zh-CN" w:bidi="ar"/>
        </w:rPr>
        <w:t>个项目进行评级，评级应符合下列规定：</w:t>
      </w:r>
    </w:p>
    <w:p w14:paraId="2E4268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1支护结构整体性评定等级应符合表4.</w:t>
      </w:r>
      <w:r>
        <w:rPr>
          <w:rFonts w:hint="eastAsia" w:cs="Times New Roman"/>
          <w:b w:val="0"/>
          <w:bCs w:val="0"/>
          <w:color w:val="auto"/>
          <w:kern w:val="2"/>
          <w:sz w:val="24"/>
          <w:szCs w:val="24"/>
          <w:highlight w:val="none"/>
          <w:lang w:val="en-US" w:eastAsia="zh-CN" w:bidi="ar"/>
        </w:rPr>
        <w:t>6</w:t>
      </w:r>
      <w:r>
        <w:rPr>
          <w:rFonts w:hint="default" w:ascii="Times New Roman" w:hAnsi="Times New Roman" w:eastAsia="宋体" w:cs="Times New Roman"/>
          <w:b w:val="0"/>
          <w:bCs w:val="0"/>
          <w:color w:val="auto"/>
          <w:kern w:val="2"/>
          <w:sz w:val="24"/>
          <w:szCs w:val="24"/>
          <w:highlight w:val="none"/>
          <w:lang w:val="en-US" w:eastAsia="zh-CN" w:bidi="ar"/>
        </w:rPr>
        <w:t>.</w:t>
      </w:r>
      <w:r>
        <w:rPr>
          <w:rFonts w:hint="eastAsia" w:cs="Times New Roman"/>
          <w:b w:val="0"/>
          <w:bCs w:val="0"/>
          <w:color w:val="auto"/>
          <w:kern w:val="2"/>
          <w:sz w:val="24"/>
          <w:szCs w:val="24"/>
          <w:highlight w:val="none"/>
          <w:lang w:val="en-US" w:eastAsia="zh-CN" w:bidi="ar"/>
        </w:rPr>
        <w:t>9</w:t>
      </w:r>
      <w:r>
        <w:rPr>
          <w:rFonts w:hint="default" w:ascii="Times New Roman" w:hAnsi="Times New Roman" w:eastAsia="宋体" w:cs="Times New Roman"/>
          <w:b w:val="0"/>
          <w:bCs w:val="0"/>
          <w:color w:val="auto"/>
          <w:kern w:val="2"/>
          <w:sz w:val="24"/>
          <w:szCs w:val="24"/>
          <w:highlight w:val="none"/>
          <w:lang w:val="en-US" w:eastAsia="zh-CN" w:bidi="ar"/>
        </w:rPr>
        <w:t>-1规定；</w:t>
      </w:r>
    </w:p>
    <w:p w14:paraId="4A95E4DA">
      <w:pPr>
        <w:spacing w:line="360" w:lineRule="auto"/>
        <w:jc w:val="center"/>
        <w:rPr>
          <w:rFonts w:hint="default" w:ascii="Times New Roman" w:hAnsi="Times New Roman" w:cs="Times New Roman"/>
          <w:b/>
          <w:color w:val="auto"/>
          <w:szCs w:val="21"/>
          <w:highlight w:val="none"/>
          <w:lang w:val="en-US" w:eastAsia="zh-CN"/>
        </w:rPr>
      </w:pPr>
      <w:r>
        <w:rPr>
          <w:rFonts w:hint="default" w:ascii="Times New Roman" w:hAnsi="Times New Roman" w:cs="Times New Roman"/>
          <w:b/>
          <w:color w:val="auto"/>
          <w:szCs w:val="21"/>
          <w:highlight w:val="none"/>
          <w:lang w:val="en-US" w:eastAsia="zh-CN"/>
        </w:rPr>
        <w:t>表4.</w:t>
      </w:r>
      <w:r>
        <w:rPr>
          <w:rFonts w:hint="eastAsia" w:cs="Times New Roman"/>
          <w:b/>
          <w:color w:val="auto"/>
          <w:szCs w:val="21"/>
          <w:highlight w:val="none"/>
          <w:lang w:val="en-US" w:eastAsia="zh-CN"/>
        </w:rPr>
        <w:t>6</w:t>
      </w:r>
      <w:r>
        <w:rPr>
          <w:rFonts w:hint="eastAsia" w:ascii="Times New Roman" w:hAnsi="Times New Roman" w:cs="Times New Roman"/>
          <w:b/>
          <w:color w:val="auto"/>
          <w:szCs w:val="21"/>
          <w:highlight w:val="none"/>
          <w:lang w:val="en-US" w:eastAsia="zh-CN"/>
        </w:rPr>
        <w:t>.</w:t>
      </w:r>
      <w:r>
        <w:rPr>
          <w:rFonts w:hint="eastAsia" w:cs="Times New Roman"/>
          <w:b/>
          <w:color w:val="auto"/>
          <w:szCs w:val="21"/>
          <w:highlight w:val="none"/>
          <w:lang w:val="en-US" w:eastAsia="zh-CN"/>
        </w:rPr>
        <w:t>9</w:t>
      </w:r>
      <w:r>
        <w:rPr>
          <w:rFonts w:hint="default" w:ascii="Times New Roman" w:hAnsi="Times New Roman" w:cs="Times New Roman"/>
          <w:b/>
          <w:color w:val="auto"/>
          <w:szCs w:val="21"/>
          <w:highlight w:val="none"/>
          <w:lang w:val="en-US" w:eastAsia="zh-CN"/>
        </w:rPr>
        <w:t>-1支护结构整体性评定等级</w:t>
      </w:r>
    </w:p>
    <w:tbl>
      <w:tblPr>
        <w:tblStyle w:val="32"/>
        <w:tblW w:w="8348" w:type="dxa"/>
        <w:tblInd w:w="4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6"/>
        <w:gridCol w:w="7782"/>
      </w:tblGrid>
      <w:tr w14:paraId="0D8AD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66" w:type="dxa"/>
            <w:tcBorders>
              <w:top w:val="single" w:color="000000" w:sz="10" w:space="0"/>
            </w:tcBorders>
            <w:vAlign w:val="center"/>
          </w:tcPr>
          <w:p w14:paraId="4669B949">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r>
              <w:rPr>
                <w:color w:val="auto"/>
                <w:spacing w:val="8"/>
                <w:sz w:val="21"/>
                <w:szCs w:val="21"/>
                <w:highlight w:val="none"/>
              </w:rPr>
              <w:t>等级</w:t>
            </w:r>
          </w:p>
        </w:tc>
        <w:tc>
          <w:tcPr>
            <w:tcW w:w="7782" w:type="dxa"/>
            <w:tcBorders>
              <w:top w:val="single" w:color="000000" w:sz="10" w:space="0"/>
            </w:tcBorders>
            <w:vAlign w:val="center"/>
          </w:tcPr>
          <w:p w14:paraId="20D10063">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r>
              <w:rPr>
                <w:color w:val="auto"/>
                <w:spacing w:val="8"/>
                <w:sz w:val="21"/>
                <w:szCs w:val="21"/>
                <w:highlight w:val="none"/>
              </w:rPr>
              <w:t>分级标准</w:t>
            </w:r>
          </w:p>
        </w:tc>
      </w:tr>
      <w:tr w14:paraId="59CC1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566" w:type="dxa"/>
            <w:vAlign w:val="center"/>
          </w:tcPr>
          <w:p w14:paraId="59D0E414">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pacing w:val="8"/>
                <w:sz w:val="21"/>
                <w:szCs w:val="21"/>
                <w:highlight w:val="none"/>
                <w:lang w:val="en-US" w:eastAsia="zh-CN"/>
              </w:rPr>
            </w:pPr>
            <w:r>
              <w:rPr>
                <w:rFonts w:hint="eastAsia"/>
                <w:color w:val="auto"/>
                <w:spacing w:val="8"/>
                <w:sz w:val="21"/>
                <w:szCs w:val="21"/>
                <w:highlight w:val="none"/>
                <w:lang w:eastAsia="zh-CN"/>
              </w:rPr>
              <w:t>A</w:t>
            </w:r>
          </w:p>
        </w:tc>
        <w:tc>
          <w:tcPr>
            <w:tcW w:w="7782" w:type="dxa"/>
            <w:shd w:val="clear" w:color="auto" w:fill="auto"/>
            <w:vAlign w:val="center"/>
          </w:tcPr>
          <w:p w14:paraId="7DFCA32A">
            <w:pPr>
              <w:pStyle w:val="3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olor w:val="auto"/>
                <w:spacing w:val="8"/>
                <w:sz w:val="21"/>
                <w:szCs w:val="21"/>
                <w:highlight w:val="none"/>
                <w:lang w:val="en-US" w:eastAsia="zh-CN"/>
              </w:rPr>
            </w:pPr>
            <w:r>
              <w:rPr>
                <w:rFonts w:hint="eastAsia"/>
                <w:color w:val="auto"/>
                <w:spacing w:val="8"/>
                <w:sz w:val="21"/>
                <w:szCs w:val="21"/>
                <w:highlight w:val="none"/>
                <w:lang w:eastAsia="zh-CN"/>
              </w:rPr>
              <w:t>支护结构布置合理，形成完整的体系；传力路径明确；结构形式和构件选型、整体性构造和连接等符合国家现行标准的规定，满足安全性要求</w:t>
            </w:r>
          </w:p>
        </w:tc>
      </w:tr>
      <w:tr w14:paraId="3E393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566" w:type="dxa"/>
            <w:shd w:val="clear" w:color="auto" w:fill="auto"/>
            <w:vAlign w:val="center"/>
          </w:tcPr>
          <w:p w14:paraId="3C0FF122">
            <w:pPr>
              <w:pStyle w:val="3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spacing w:val="8"/>
                <w:kern w:val="2"/>
                <w:sz w:val="21"/>
                <w:szCs w:val="21"/>
                <w:highlight w:val="none"/>
                <w:lang w:val="en-US" w:eastAsia="zh-CN" w:bidi="ar-SA"/>
              </w:rPr>
            </w:pPr>
            <w:r>
              <w:rPr>
                <w:rFonts w:hint="eastAsia"/>
                <w:color w:val="auto"/>
                <w:spacing w:val="8"/>
                <w:sz w:val="21"/>
                <w:szCs w:val="21"/>
                <w:highlight w:val="none"/>
                <w:lang w:eastAsia="zh-CN"/>
              </w:rPr>
              <w:t>B</w:t>
            </w:r>
          </w:p>
        </w:tc>
        <w:tc>
          <w:tcPr>
            <w:tcW w:w="7782" w:type="dxa"/>
            <w:shd w:val="clear" w:color="auto" w:fill="auto"/>
            <w:vAlign w:val="center"/>
          </w:tcPr>
          <w:p w14:paraId="0081EAF7">
            <w:pPr>
              <w:pStyle w:val="3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olor w:val="auto"/>
                <w:spacing w:val="8"/>
                <w:sz w:val="21"/>
                <w:szCs w:val="21"/>
                <w:highlight w:val="none"/>
                <w:lang w:val="en-US" w:eastAsia="zh-CN"/>
              </w:rPr>
            </w:pPr>
            <w:r>
              <w:rPr>
                <w:rFonts w:hint="eastAsia"/>
                <w:color w:val="auto"/>
                <w:spacing w:val="8"/>
                <w:sz w:val="21"/>
                <w:szCs w:val="21"/>
                <w:highlight w:val="none"/>
                <w:lang w:eastAsia="zh-CN"/>
              </w:rPr>
              <w:t>支护结构布置合理，形成完整的体系；传力路径基本明确；结构形式和构件选型、整体性构造和连接等基本符合国家现行标准的规定，</w:t>
            </w:r>
            <w:r>
              <w:rPr>
                <w:rFonts w:hint="eastAsia"/>
                <w:color w:val="auto"/>
                <w:spacing w:val="8"/>
                <w:sz w:val="21"/>
                <w:szCs w:val="21"/>
                <w:highlight w:val="none"/>
                <w:lang w:val="en-US" w:eastAsia="zh-CN"/>
              </w:rPr>
              <w:t>基本满足</w:t>
            </w:r>
            <w:r>
              <w:rPr>
                <w:rFonts w:hint="eastAsia"/>
                <w:color w:val="auto"/>
                <w:spacing w:val="8"/>
                <w:sz w:val="21"/>
                <w:szCs w:val="21"/>
                <w:highlight w:val="none"/>
                <w:lang w:eastAsia="zh-CN"/>
              </w:rPr>
              <w:t>安全性要求</w:t>
            </w:r>
          </w:p>
        </w:tc>
      </w:tr>
      <w:tr w14:paraId="2B1F8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566" w:type="dxa"/>
            <w:shd w:val="clear" w:color="auto" w:fill="auto"/>
            <w:vAlign w:val="center"/>
          </w:tcPr>
          <w:p w14:paraId="7FC90F56">
            <w:pPr>
              <w:pStyle w:val="3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spacing w:val="8"/>
                <w:kern w:val="2"/>
                <w:sz w:val="21"/>
                <w:szCs w:val="21"/>
                <w:highlight w:val="none"/>
                <w:lang w:val="en-US" w:eastAsia="zh-CN" w:bidi="ar-SA"/>
              </w:rPr>
            </w:pPr>
            <w:r>
              <w:rPr>
                <w:rFonts w:hint="eastAsia"/>
                <w:color w:val="auto"/>
                <w:spacing w:val="8"/>
                <w:sz w:val="21"/>
                <w:szCs w:val="21"/>
                <w:highlight w:val="none"/>
                <w:lang w:eastAsia="zh-CN"/>
              </w:rPr>
              <w:t>C</w:t>
            </w:r>
          </w:p>
        </w:tc>
        <w:tc>
          <w:tcPr>
            <w:tcW w:w="7782" w:type="dxa"/>
            <w:shd w:val="clear" w:color="auto" w:fill="auto"/>
            <w:vAlign w:val="center"/>
          </w:tcPr>
          <w:p w14:paraId="6A006367">
            <w:pPr>
              <w:pStyle w:val="3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olor w:val="auto"/>
                <w:spacing w:val="8"/>
                <w:sz w:val="21"/>
                <w:szCs w:val="21"/>
                <w:highlight w:val="none"/>
                <w:lang w:val="en-US" w:eastAsia="zh-CN"/>
              </w:rPr>
            </w:pPr>
            <w:r>
              <w:rPr>
                <w:rFonts w:hint="eastAsia"/>
                <w:color w:val="auto"/>
                <w:spacing w:val="8"/>
                <w:sz w:val="21"/>
                <w:szCs w:val="21"/>
                <w:highlight w:val="none"/>
                <w:lang w:eastAsia="zh-CN"/>
              </w:rPr>
              <w:t>支护结构布置不合理，基本上未形成完整的体系；传力路径不明确；结构形式和构件选型、整体性构造和连接等不符合国家现行标准的规定，影响安全</w:t>
            </w:r>
          </w:p>
        </w:tc>
      </w:tr>
      <w:tr w14:paraId="01698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566" w:type="dxa"/>
            <w:shd w:val="clear" w:color="auto" w:fill="auto"/>
            <w:vAlign w:val="center"/>
          </w:tcPr>
          <w:p w14:paraId="1E306C4C">
            <w:pPr>
              <w:pStyle w:val="3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spacing w:val="8"/>
                <w:kern w:val="2"/>
                <w:sz w:val="21"/>
                <w:szCs w:val="21"/>
                <w:highlight w:val="none"/>
                <w:lang w:val="en-US" w:eastAsia="zh-CN" w:bidi="ar-SA"/>
              </w:rPr>
            </w:pPr>
            <w:r>
              <w:rPr>
                <w:rFonts w:hint="eastAsia"/>
                <w:color w:val="auto"/>
                <w:spacing w:val="8"/>
                <w:sz w:val="21"/>
                <w:szCs w:val="21"/>
                <w:highlight w:val="none"/>
                <w:lang w:eastAsia="zh-CN"/>
              </w:rPr>
              <w:t>D</w:t>
            </w:r>
          </w:p>
        </w:tc>
        <w:tc>
          <w:tcPr>
            <w:tcW w:w="7782" w:type="dxa"/>
            <w:shd w:val="clear" w:color="auto" w:fill="auto"/>
            <w:vAlign w:val="center"/>
          </w:tcPr>
          <w:p w14:paraId="48FAF03D">
            <w:pPr>
              <w:pStyle w:val="3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olor w:val="auto"/>
                <w:spacing w:val="8"/>
                <w:sz w:val="21"/>
                <w:szCs w:val="21"/>
                <w:highlight w:val="none"/>
                <w:lang w:val="en-US" w:eastAsia="zh-CN"/>
              </w:rPr>
            </w:pPr>
            <w:r>
              <w:rPr>
                <w:rFonts w:hint="eastAsia"/>
                <w:color w:val="auto"/>
                <w:spacing w:val="8"/>
                <w:sz w:val="21"/>
                <w:szCs w:val="21"/>
                <w:highlight w:val="none"/>
                <w:lang w:eastAsia="zh-CN"/>
              </w:rPr>
              <w:t>支护结构布置不合理，未形成完整的体系；传力路径不当；结构形式和构件选型、整体性构造和连接等严重不符合国家现行标准的规定，严重影响安全</w:t>
            </w:r>
          </w:p>
        </w:tc>
      </w:tr>
    </w:tbl>
    <w:p w14:paraId="4FC361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2按承载功能和变形评定支护结构的等级应符合表4.</w:t>
      </w:r>
      <w:r>
        <w:rPr>
          <w:rFonts w:hint="eastAsia" w:cs="Times New Roman"/>
          <w:b w:val="0"/>
          <w:bCs w:val="0"/>
          <w:color w:val="auto"/>
          <w:kern w:val="2"/>
          <w:sz w:val="24"/>
          <w:szCs w:val="24"/>
          <w:highlight w:val="none"/>
          <w:lang w:val="en-US" w:eastAsia="zh-CN" w:bidi="ar"/>
        </w:rPr>
        <w:t>6</w:t>
      </w:r>
      <w:r>
        <w:rPr>
          <w:rFonts w:hint="default" w:ascii="Times New Roman" w:hAnsi="Times New Roman" w:eastAsia="宋体" w:cs="Times New Roman"/>
          <w:b w:val="0"/>
          <w:bCs w:val="0"/>
          <w:color w:val="auto"/>
          <w:kern w:val="2"/>
          <w:sz w:val="24"/>
          <w:szCs w:val="24"/>
          <w:highlight w:val="none"/>
          <w:lang w:val="en-US" w:eastAsia="zh-CN" w:bidi="ar"/>
        </w:rPr>
        <w:t>.</w:t>
      </w:r>
      <w:r>
        <w:rPr>
          <w:rFonts w:hint="eastAsia" w:cs="Times New Roman"/>
          <w:b w:val="0"/>
          <w:bCs w:val="0"/>
          <w:color w:val="auto"/>
          <w:kern w:val="2"/>
          <w:sz w:val="24"/>
          <w:szCs w:val="24"/>
          <w:highlight w:val="none"/>
          <w:lang w:val="en-US" w:eastAsia="zh-CN" w:bidi="ar"/>
        </w:rPr>
        <w:t>9</w:t>
      </w:r>
      <w:r>
        <w:rPr>
          <w:rFonts w:hint="default" w:ascii="Times New Roman" w:hAnsi="Times New Roman" w:eastAsia="宋体" w:cs="Times New Roman"/>
          <w:b w:val="0"/>
          <w:bCs w:val="0"/>
          <w:color w:val="auto"/>
          <w:kern w:val="2"/>
          <w:sz w:val="24"/>
          <w:szCs w:val="24"/>
          <w:highlight w:val="none"/>
          <w:lang w:val="en-US" w:eastAsia="zh-CN" w:bidi="ar"/>
        </w:rPr>
        <w:t>-2的规定；</w:t>
      </w:r>
    </w:p>
    <w:p w14:paraId="54782FBD">
      <w:pPr>
        <w:spacing w:line="360" w:lineRule="auto"/>
        <w:jc w:val="center"/>
        <w:rPr>
          <w:rFonts w:hint="eastAsia" w:ascii="Times New Roman" w:hAnsi="Times New Roman" w:cs="Times New Roman"/>
          <w:b/>
          <w:color w:val="auto"/>
          <w:szCs w:val="21"/>
          <w:highlight w:val="none"/>
          <w:lang w:val="en-US" w:eastAsia="zh-CN"/>
        </w:rPr>
      </w:pPr>
      <w:r>
        <w:rPr>
          <w:rFonts w:hint="eastAsia" w:ascii="Times New Roman" w:hAnsi="Times New Roman" w:cs="Times New Roman"/>
          <w:b/>
          <w:color w:val="auto"/>
          <w:szCs w:val="21"/>
          <w:highlight w:val="none"/>
          <w:lang w:val="en-US" w:eastAsia="zh-CN"/>
        </w:rPr>
        <w:t>表</w:t>
      </w:r>
      <w:r>
        <w:rPr>
          <w:rFonts w:hint="default" w:ascii="Times New Roman" w:hAnsi="Times New Roman" w:cs="Times New Roman"/>
          <w:b/>
          <w:color w:val="auto"/>
          <w:szCs w:val="21"/>
          <w:highlight w:val="none"/>
          <w:lang w:val="en-US" w:eastAsia="zh-CN"/>
        </w:rPr>
        <w:t>4.</w:t>
      </w:r>
      <w:r>
        <w:rPr>
          <w:rFonts w:hint="eastAsia" w:cs="Times New Roman"/>
          <w:b/>
          <w:color w:val="auto"/>
          <w:szCs w:val="21"/>
          <w:highlight w:val="none"/>
          <w:lang w:val="en-US" w:eastAsia="zh-CN"/>
        </w:rPr>
        <w:t>6</w:t>
      </w:r>
      <w:r>
        <w:rPr>
          <w:rFonts w:hint="eastAsia" w:ascii="Times New Roman" w:hAnsi="Times New Roman" w:cs="Times New Roman"/>
          <w:b/>
          <w:color w:val="auto"/>
          <w:szCs w:val="21"/>
          <w:highlight w:val="none"/>
          <w:lang w:val="en-US" w:eastAsia="zh-CN"/>
        </w:rPr>
        <w:t>.</w:t>
      </w:r>
      <w:r>
        <w:rPr>
          <w:rFonts w:hint="eastAsia" w:cs="Times New Roman"/>
          <w:b/>
          <w:color w:val="auto"/>
          <w:szCs w:val="21"/>
          <w:highlight w:val="none"/>
          <w:lang w:val="en-US" w:eastAsia="zh-CN"/>
        </w:rPr>
        <w:t>9</w:t>
      </w:r>
      <w:r>
        <w:rPr>
          <w:rFonts w:hint="eastAsia" w:ascii="Times New Roman" w:hAnsi="Times New Roman" w:cs="Times New Roman"/>
          <w:b/>
          <w:color w:val="auto"/>
          <w:szCs w:val="21"/>
          <w:highlight w:val="none"/>
          <w:lang w:val="en-US" w:eastAsia="zh-CN"/>
        </w:rPr>
        <w:t>-2支护结构承载功能和变形评定等级</w:t>
      </w:r>
    </w:p>
    <w:tbl>
      <w:tblPr>
        <w:tblStyle w:val="32"/>
        <w:tblW w:w="8348" w:type="dxa"/>
        <w:tblInd w:w="4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6"/>
        <w:gridCol w:w="7782"/>
      </w:tblGrid>
      <w:tr w14:paraId="61167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66" w:type="dxa"/>
            <w:tcBorders>
              <w:top w:val="single" w:color="000000" w:sz="10" w:space="0"/>
            </w:tcBorders>
            <w:vAlign w:val="center"/>
          </w:tcPr>
          <w:p w14:paraId="4A04BAB6">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r>
              <w:rPr>
                <w:color w:val="auto"/>
                <w:spacing w:val="8"/>
                <w:sz w:val="21"/>
                <w:szCs w:val="21"/>
                <w:highlight w:val="none"/>
              </w:rPr>
              <w:t>等级</w:t>
            </w:r>
          </w:p>
        </w:tc>
        <w:tc>
          <w:tcPr>
            <w:tcW w:w="7782" w:type="dxa"/>
            <w:tcBorders>
              <w:top w:val="single" w:color="000000" w:sz="10" w:space="0"/>
            </w:tcBorders>
            <w:vAlign w:val="center"/>
          </w:tcPr>
          <w:p w14:paraId="31817C7E">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r>
              <w:rPr>
                <w:color w:val="auto"/>
                <w:spacing w:val="8"/>
                <w:sz w:val="21"/>
                <w:szCs w:val="21"/>
                <w:highlight w:val="none"/>
              </w:rPr>
              <w:t>分级标准</w:t>
            </w:r>
          </w:p>
        </w:tc>
      </w:tr>
      <w:tr w14:paraId="2AC0D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566" w:type="dxa"/>
            <w:vAlign w:val="center"/>
          </w:tcPr>
          <w:p w14:paraId="02840976">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pacing w:val="8"/>
                <w:sz w:val="21"/>
                <w:szCs w:val="21"/>
                <w:highlight w:val="none"/>
                <w:lang w:val="en-US" w:eastAsia="zh-CN"/>
              </w:rPr>
            </w:pPr>
            <w:r>
              <w:rPr>
                <w:rFonts w:hint="eastAsia"/>
                <w:color w:val="auto"/>
                <w:spacing w:val="8"/>
                <w:sz w:val="21"/>
                <w:szCs w:val="21"/>
                <w:highlight w:val="none"/>
                <w:lang w:eastAsia="zh-CN"/>
              </w:rPr>
              <w:t>A</w:t>
            </w:r>
          </w:p>
        </w:tc>
        <w:tc>
          <w:tcPr>
            <w:tcW w:w="7782" w:type="dxa"/>
            <w:shd w:val="clear" w:color="auto" w:fill="auto"/>
            <w:vAlign w:val="center"/>
          </w:tcPr>
          <w:p w14:paraId="27288BEF">
            <w:pPr>
              <w:pStyle w:val="3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spacing w:val="8"/>
                <w:kern w:val="2"/>
                <w:sz w:val="21"/>
                <w:szCs w:val="21"/>
                <w:highlight w:val="none"/>
                <w:lang w:val="en-US" w:eastAsia="zh-CN" w:bidi="ar-SA"/>
              </w:rPr>
            </w:pPr>
            <w:r>
              <w:rPr>
                <w:rFonts w:hint="eastAsia"/>
                <w:color w:val="auto"/>
                <w:spacing w:val="8"/>
                <w:sz w:val="21"/>
                <w:szCs w:val="21"/>
                <w:highlight w:val="none"/>
                <w:lang w:eastAsia="zh-CN"/>
              </w:rPr>
              <w:t>构件集</w:t>
            </w:r>
            <w:r>
              <w:rPr>
                <w:rFonts w:hint="eastAsia"/>
                <w:color w:val="auto"/>
                <w:spacing w:val="8"/>
                <w:sz w:val="21"/>
                <w:szCs w:val="21"/>
                <w:highlight w:val="none"/>
                <w:lang w:val="en-US" w:eastAsia="zh-CN"/>
              </w:rPr>
              <w:t>内</w:t>
            </w:r>
            <w:r>
              <w:rPr>
                <w:rFonts w:hint="eastAsia"/>
                <w:color w:val="auto"/>
                <w:spacing w:val="8"/>
                <w:sz w:val="21"/>
                <w:szCs w:val="21"/>
                <w:highlight w:val="none"/>
                <w:lang w:eastAsia="zh-CN"/>
              </w:rPr>
              <w:t>不含c级和d级构件，b级构件不超过30%，无影响承载功能的变形</w:t>
            </w:r>
          </w:p>
        </w:tc>
      </w:tr>
      <w:tr w14:paraId="66F89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566" w:type="dxa"/>
            <w:shd w:val="clear" w:color="auto" w:fill="auto"/>
            <w:vAlign w:val="center"/>
          </w:tcPr>
          <w:p w14:paraId="0650C1A1">
            <w:pPr>
              <w:pStyle w:val="3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spacing w:val="8"/>
                <w:kern w:val="2"/>
                <w:sz w:val="21"/>
                <w:szCs w:val="21"/>
                <w:highlight w:val="none"/>
                <w:lang w:val="en-US" w:eastAsia="zh-CN" w:bidi="ar-SA"/>
              </w:rPr>
            </w:pPr>
            <w:r>
              <w:rPr>
                <w:rFonts w:hint="eastAsia"/>
                <w:color w:val="auto"/>
                <w:spacing w:val="8"/>
                <w:sz w:val="21"/>
                <w:szCs w:val="21"/>
                <w:highlight w:val="none"/>
                <w:lang w:eastAsia="zh-CN"/>
              </w:rPr>
              <w:t>B</w:t>
            </w:r>
          </w:p>
        </w:tc>
        <w:tc>
          <w:tcPr>
            <w:tcW w:w="7782" w:type="dxa"/>
            <w:shd w:val="clear" w:color="auto" w:fill="auto"/>
            <w:vAlign w:val="center"/>
          </w:tcPr>
          <w:p w14:paraId="762EA8B4">
            <w:pPr>
              <w:pStyle w:val="3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spacing w:val="8"/>
                <w:kern w:val="2"/>
                <w:sz w:val="21"/>
                <w:szCs w:val="21"/>
                <w:highlight w:val="none"/>
                <w:lang w:val="en-US" w:eastAsia="zh-CN" w:bidi="ar-SA"/>
              </w:rPr>
            </w:pPr>
            <w:r>
              <w:rPr>
                <w:rFonts w:hint="eastAsia"/>
                <w:color w:val="auto"/>
                <w:spacing w:val="8"/>
                <w:sz w:val="21"/>
                <w:szCs w:val="21"/>
                <w:highlight w:val="none"/>
                <w:lang w:eastAsia="zh-CN"/>
              </w:rPr>
              <w:t>构件集</w:t>
            </w:r>
            <w:r>
              <w:rPr>
                <w:rFonts w:hint="eastAsia"/>
                <w:color w:val="auto"/>
                <w:spacing w:val="8"/>
                <w:sz w:val="21"/>
                <w:szCs w:val="21"/>
                <w:highlight w:val="none"/>
                <w:lang w:val="en-US" w:eastAsia="zh-CN"/>
              </w:rPr>
              <w:t>内</w:t>
            </w:r>
            <w:r>
              <w:rPr>
                <w:rFonts w:hint="eastAsia"/>
                <w:color w:val="auto"/>
                <w:spacing w:val="8"/>
                <w:sz w:val="21"/>
                <w:szCs w:val="21"/>
                <w:highlight w:val="none"/>
                <w:lang w:eastAsia="zh-CN"/>
              </w:rPr>
              <w:t>不含d级构件，</w:t>
            </w:r>
            <w:r>
              <w:rPr>
                <w:rFonts w:hint="eastAsia"/>
                <w:color w:val="auto"/>
                <w:spacing w:val="8"/>
                <w:sz w:val="21"/>
                <w:szCs w:val="21"/>
                <w:highlight w:val="none"/>
                <w:lang w:val="en-US" w:eastAsia="zh-CN"/>
              </w:rPr>
              <w:t>c</w:t>
            </w:r>
            <w:r>
              <w:rPr>
                <w:rFonts w:hint="eastAsia"/>
                <w:color w:val="auto"/>
                <w:spacing w:val="8"/>
                <w:sz w:val="21"/>
                <w:szCs w:val="21"/>
                <w:highlight w:val="none"/>
                <w:lang w:eastAsia="zh-CN"/>
              </w:rPr>
              <w:t>级构件不超过20%，无影响承载功能的变形</w:t>
            </w:r>
          </w:p>
        </w:tc>
      </w:tr>
      <w:tr w14:paraId="0653C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566" w:type="dxa"/>
            <w:shd w:val="clear" w:color="auto" w:fill="auto"/>
            <w:vAlign w:val="center"/>
          </w:tcPr>
          <w:p w14:paraId="45B21C51">
            <w:pPr>
              <w:pStyle w:val="3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spacing w:val="8"/>
                <w:kern w:val="2"/>
                <w:sz w:val="21"/>
                <w:szCs w:val="21"/>
                <w:highlight w:val="none"/>
                <w:lang w:val="en-US" w:eastAsia="zh-CN" w:bidi="ar-SA"/>
              </w:rPr>
            </w:pPr>
            <w:r>
              <w:rPr>
                <w:rFonts w:hint="eastAsia"/>
                <w:color w:val="auto"/>
                <w:spacing w:val="8"/>
                <w:sz w:val="21"/>
                <w:szCs w:val="21"/>
                <w:highlight w:val="none"/>
                <w:lang w:eastAsia="zh-CN"/>
              </w:rPr>
              <w:t>C</w:t>
            </w:r>
          </w:p>
        </w:tc>
        <w:tc>
          <w:tcPr>
            <w:tcW w:w="7782" w:type="dxa"/>
            <w:shd w:val="clear" w:color="auto" w:fill="auto"/>
            <w:vAlign w:val="center"/>
          </w:tcPr>
          <w:p w14:paraId="48C14B46">
            <w:pPr>
              <w:pStyle w:val="3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spacing w:val="8"/>
                <w:kern w:val="2"/>
                <w:sz w:val="21"/>
                <w:szCs w:val="21"/>
                <w:highlight w:val="none"/>
                <w:lang w:val="en-US" w:eastAsia="zh-CN" w:bidi="ar-SA"/>
              </w:rPr>
            </w:pPr>
            <w:r>
              <w:rPr>
                <w:rFonts w:hint="eastAsia"/>
                <w:color w:val="auto"/>
                <w:spacing w:val="8"/>
                <w:sz w:val="21"/>
                <w:szCs w:val="21"/>
                <w:highlight w:val="none"/>
                <w:lang w:eastAsia="zh-CN"/>
              </w:rPr>
              <w:t>构件集</w:t>
            </w:r>
            <w:r>
              <w:rPr>
                <w:rFonts w:hint="eastAsia"/>
                <w:color w:val="auto"/>
                <w:spacing w:val="8"/>
                <w:sz w:val="21"/>
                <w:szCs w:val="21"/>
                <w:highlight w:val="none"/>
                <w:lang w:val="en-US" w:eastAsia="zh-CN"/>
              </w:rPr>
              <w:t>内</w:t>
            </w:r>
            <w:r>
              <w:rPr>
                <w:rFonts w:hint="eastAsia"/>
                <w:color w:val="auto"/>
                <w:spacing w:val="8"/>
                <w:sz w:val="21"/>
                <w:szCs w:val="21"/>
                <w:highlight w:val="none"/>
                <w:lang w:eastAsia="zh-CN"/>
              </w:rPr>
              <w:t>，当仅含c级时，不应多于50%；当仅含d级时，不应多于15%；当同时含有c级和d级时，c级不应多于30%，</w:t>
            </w:r>
            <w:r>
              <w:rPr>
                <w:rFonts w:hint="eastAsia"/>
                <w:color w:val="auto"/>
                <w:spacing w:val="8"/>
                <w:sz w:val="21"/>
                <w:szCs w:val="21"/>
                <w:highlight w:val="none"/>
                <w:lang w:val="en-US" w:eastAsia="zh-CN"/>
              </w:rPr>
              <w:t>且</w:t>
            </w:r>
            <w:r>
              <w:rPr>
                <w:rFonts w:hint="eastAsia"/>
                <w:color w:val="auto"/>
                <w:spacing w:val="8"/>
                <w:sz w:val="21"/>
                <w:szCs w:val="21"/>
                <w:highlight w:val="none"/>
                <w:lang w:eastAsia="zh-CN"/>
              </w:rPr>
              <w:t>d 级不应多于5%；且d级构件不危</w:t>
            </w:r>
            <w:r>
              <w:rPr>
                <w:rFonts w:hint="eastAsia"/>
                <w:color w:val="auto"/>
                <w:spacing w:val="8"/>
                <w:sz w:val="21"/>
                <w:szCs w:val="21"/>
                <w:highlight w:val="none"/>
                <w:lang w:val="en-US" w:eastAsia="zh-CN"/>
              </w:rPr>
              <w:t>及</w:t>
            </w:r>
            <w:r>
              <w:rPr>
                <w:rFonts w:hint="eastAsia"/>
                <w:color w:val="auto"/>
                <w:spacing w:val="8"/>
                <w:sz w:val="21"/>
                <w:szCs w:val="21"/>
                <w:highlight w:val="none"/>
                <w:lang w:eastAsia="zh-CN"/>
              </w:rPr>
              <w:t>支护结构整体安全性，局部有影响承载功能的变形</w:t>
            </w:r>
          </w:p>
        </w:tc>
      </w:tr>
      <w:tr w14:paraId="5BF04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566" w:type="dxa"/>
            <w:shd w:val="clear" w:color="auto" w:fill="auto"/>
            <w:vAlign w:val="center"/>
          </w:tcPr>
          <w:p w14:paraId="54719570">
            <w:pPr>
              <w:pStyle w:val="3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spacing w:val="8"/>
                <w:kern w:val="2"/>
                <w:sz w:val="21"/>
                <w:szCs w:val="21"/>
                <w:highlight w:val="none"/>
                <w:lang w:val="en-US" w:eastAsia="zh-CN" w:bidi="ar-SA"/>
              </w:rPr>
            </w:pPr>
            <w:r>
              <w:rPr>
                <w:rFonts w:hint="eastAsia"/>
                <w:color w:val="auto"/>
                <w:spacing w:val="8"/>
                <w:sz w:val="21"/>
                <w:szCs w:val="21"/>
                <w:highlight w:val="none"/>
                <w:lang w:eastAsia="zh-CN"/>
              </w:rPr>
              <w:t>D</w:t>
            </w:r>
          </w:p>
        </w:tc>
        <w:tc>
          <w:tcPr>
            <w:tcW w:w="7782" w:type="dxa"/>
            <w:shd w:val="clear" w:color="auto" w:fill="auto"/>
            <w:vAlign w:val="center"/>
          </w:tcPr>
          <w:p w14:paraId="46115424">
            <w:pPr>
              <w:pStyle w:val="3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spacing w:val="8"/>
                <w:kern w:val="2"/>
                <w:sz w:val="21"/>
                <w:szCs w:val="21"/>
                <w:highlight w:val="none"/>
                <w:lang w:val="en-US" w:eastAsia="zh-CN" w:bidi="ar-SA"/>
              </w:rPr>
            </w:pPr>
            <w:r>
              <w:rPr>
                <w:rFonts w:hint="eastAsia"/>
                <w:color w:val="auto"/>
                <w:spacing w:val="8"/>
                <w:sz w:val="21"/>
                <w:szCs w:val="21"/>
                <w:highlight w:val="none"/>
                <w:lang w:eastAsia="zh-CN"/>
              </w:rPr>
              <w:t>构件集</w:t>
            </w:r>
            <w:r>
              <w:rPr>
                <w:rFonts w:hint="eastAsia"/>
                <w:color w:val="auto"/>
                <w:spacing w:val="8"/>
                <w:sz w:val="21"/>
                <w:szCs w:val="21"/>
                <w:highlight w:val="none"/>
                <w:lang w:val="en-US" w:eastAsia="zh-CN"/>
              </w:rPr>
              <w:t>内</w:t>
            </w:r>
            <w:r>
              <w:rPr>
                <w:rFonts w:hint="eastAsia"/>
                <w:color w:val="auto"/>
                <w:spacing w:val="8"/>
                <w:sz w:val="21"/>
                <w:szCs w:val="21"/>
                <w:highlight w:val="none"/>
                <w:lang w:eastAsia="zh-CN"/>
              </w:rPr>
              <w:t>c 级和d 级含量多于 C 级的规定数，有</w:t>
            </w:r>
            <w:r>
              <w:rPr>
                <w:rFonts w:hint="eastAsia"/>
                <w:color w:val="auto"/>
                <w:spacing w:val="8"/>
                <w:sz w:val="21"/>
                <w:szCs w:val="21"/>
                <w:highlight w:val="none"/>
                <w:lang w:val="en-US" w:eastAsia="zh-CN"/>
              </w:rPr>
              <w:t>严重</w:t>
            </w:r>
            <w:r>
              <w:rPr>
                <w:rFonts w:hint="eastAsia"/>
                <w:color w:val="auto"/>
                <w:spacing w:val="8"/>
                <w:sz w:val="21"/>
                <w:szCs w:val="21"/>
                <w:highlight w:val="none"/>
                <w:lang w:eastAsia="zh-CN"/>
              </w:rPr>
              <w:t>影响承载功能的变形</w:t>
            </w:r>
          </w:p>
        </w:tc>
      </w:tr>
    </w:tbl>
    <w:p w14:paraId="2C6CBF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3支护结构按抗滑稳定性和抗倾覆稳定性安全性鉴定评级时</w:t>
      </w:r>
      <w:r>
        <w:rPr>
          <w:rFonts w:hint="eastAsia" w:cs="Times New Roman"/>
          <w:b w:val="0"/>
          <w:bCs w:val="0"/>
          <w:color w:val="auto"/>
          <w:kern w:val="2"/>
          <w:sz w:val="24"/>
          <w:szCs w:val="24"/>
          <w:highlight w:val="none"/>
          <w:lang w:val="en-US" w:eastAsia="zh-CN" w:bidi="ar"/>
        </w:rPr>
        <w:t>，</w:t>
      </w:r>
      <w:r>
        <w:rPr>
          <w:rFonts w:hint="default" w:ascii="Times New Roman" w:hAnsi="Times New Roman" w:eastAsia="宋体" w:cs="Times New Roman"/>
          <w:b w:val="0"/>
          <w:bCs w:val="0"/>
          <w:color w:val="auto"/>
          <w:kern w:val="2"/>
          <w:sz w:val="24"/>
          <w:szCs w:val="24"/>
          <w:highlight w:val="none"/>
          <w:lang w:val="en-US" w:eastAsia="zh-CN" w:bidi="ar"/>
        </w:rPr>
        <w:t>应符合下列规定:</w:t>
      </w:r>
    </w:p>
    <w:p w14:paraId="0CD55DDC">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720" w:firstLineChars="300"/>
        <w:jc w:val="both"/>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子单元的安全性等级</w:t>
      </w:r>
      <w:r>
        <w:rPr>
          <w:rFonts w:hint="eastAsia" w:ascii="Times New Roman" w:hAnsi="Times New Roman" w:eastAsia="宋体" w:cs="Times New Roman"/>
          <w:b w:val="0"/>
          <w:bCs w:val="0"/>
          <w:color w:val="auto"/>
          <w:kern w:val="2"/>
          <w:sz w:val="24"/>
          <w:szCs w:val="24"/>
          <w:highlight w:val="none"/>
          <w:lang w:val="en-US" w:eastAsia="zh-CN" w:bidi="ar"/>
        </w:rPr>
        <w:t>应取</w:t>
      </w:r>
      <w:r>
        <w:rPr>
          <w:rFonts w:hint="default" w:ascii="Times New Roman" w:hAnsi="Times New Roman" w:eastAsia="宋体" w:cs="Times New Roman"/>
          <w:b w:val="0"/>
          <w:bCs w:val="0"/>
          <w:color w:val="auto"/>
          <w:kern w:val="2"/>
          <w:sz w:val="24"/>
          <w:szCs w:val="24"/>
          <w:highlight w:val="none"/>
          <w:lang w:val="en-US" w:eastAsia="zh-CN" w:bidi="ar"/>
        </w:rPr>
        <w:t>抗滑稳定性和抗倾覆稳定性的最低鉴定等级</w:t>
      </w:r>
      <w:r>
        <w:rPr>
          <w:rFonts w:hint="eastAsia" w:ascii="Times New Roman" w:hAnsi="Times New Roman" w:eastAsia="宋体" w:cs="Times New Roman"/>
          <w:b w:val="0"/>
          <w:bCs w:val="0"/>
          <w:color w:val="auto"/>
          <w:kern w:val="2"/>
          <w:sz w:val="24"/>
          <w:szCs w:val="24"/>
          <w:highlight w:val="none"/>
          <w:lang w:val="en-US" w:eastAsia="zh-CN" w:bidi="ar"/>
        </w:rPr>
        <w:t>；</w:t>
      </w:r>
    </w:p>
    <w:p w14:paraId="2F1A2342">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720" w:firstLineChars="300"/>
        <w:jc w:val="both"/>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基坑</w:t>
      </w:r>
      <w:r>
        <w:rPr>
          <w:rFonts w:hint="eastAsia" w:ascii="Times New Roman" w:hAnsi="Times New Roman" w:eastAsia="宋体" w:cs="Times New Roman"/>
          <w:b w:val="0"/>
          <w:bCs w:val="0"/>
          <w:color w:val="auto"/>
          <w:kern w:val="2"/>
          <w:sz w:val="24"/>
          <w:szCs w:val="24"/>
          <w:highlight w:val="none"/>
          <w:lang w:val="en-US" w:eastAsia="zh-CN" w:bidi="ar"/>
        </w:rPr>
        <w:t>累计</w:t>
      </w:r>
      <w:r>
        <w:rPr>
          <w:rFonts w:hint="default" w:ascii="Times New Roman" w:hAnsi="Times New Roman" w:eastAsia="宋体" w:cs="Times New Roman"/>
          <w:b w:val="0"/>
          <w:bCs w:val="0"/>
          <w:color w:val="auto"/>
          <w:kern w:val="2"/>
          <w:sz w:val="24"/>
          <w:szCs w:val="24"/>
          <w:highlight w:val="none"/>
          <w:lang w:val="en-US" w:eastAsia="zh-CN" w:bidi="ar"/>
        </w:rPr>
        <w:t>变形量及变形速率在设计预警值范围内</w:t>
      </w:r>
      <w:r>
        <w:rPr>
          <w:rFonts w:hint="eastAsia" w:cs="Times New Roman"/>
          <w:b w:val="0"/>
          <w:bCs w:val="0"/>
          <w:color w:val="auto"/>
          <w:kern w:val="2"/>
          <w:sz w:val="24"/>
          <w:szCs w:val="24"/>
          <w:highlight w:val="none"/>
          <w:lang w:val="en-US" w:eastAsia="zh-CN" w:bidi="ar"/>
        </w:rPr>
        <w:t>，</w:t>
      </w:r>
      <w:r>
        <w:rPr>
          <w:rFonts w:hint="default" w:ascii="Times New Roman" w:hAnsi="Times New Roman" w:eastAsia="宋体" w:cs="Times New Roman"/>
          <w:b w:val="0"/>
          <w:bCs w:val="0"/>
          <w:color w:val="auto"/>
          <w:kern w:val="2"/>
          <w:sz w:val="24"/>
          <w:szCs w:val="24"/>
          <w:highlight w:val="none"/>
          <w:lang w:val="en-US" w:eastAsia="zh-CN" w:bidi="ar"/>
        </w:rPr>
        <w:t>且无倾覆迹象</w:t>
      </w:r>
      <w:r>
        <w:rPr>
          <w:rFonts w:hint="eastAsia" w:cs="Times New Roman"/>
          <w:b w:val="0"/>
          <w:bCs w:val="0"/>
          <w:color w:val="auto"/>
          <w:kern w:val="2"/>
          <w:sz w:val="24"/>
          <w:szCs w:val="24"/>
          <w:highlight w:val="none"/>
          <w:lang w:val="en-US" w:eastAsia="zh-CN" w:bidi="ar"/>
        </w:rPr>
        <w:t>，</w:t>
      </w:r>
      <w:r>
        <w:rPr>
          <w:rFonts w:hint="default" w:ascii="Times New Roman" w:hAnsi="Times New Roman" w:eastAsia="宋体" w:cs="Times New Roman"/>
          <w:b w:val="0"/>
          <w:bCs w:val="0"/>
          <w:color w:val="auto"/>
          <w:kern w:val="2"/>
          <w:sz w:val="24"/>
          <w:szCs w:val="24"/>
          <w:highlight w:val="none"/>
          <w:lang w:val="en-US" w:eastAsia="zh-CN" w:bidi="ar"/>
        </w:rPr>
        <w:t>结合当地工程经验</w:t>
      </w:r>
      <w:r>
        <w:rPr>
          <w:rFonts w:hint="eastAsia" w:cs="Times New Roman"/>
          <w:b w:val="0"/>
          <w:bCs w:val="0"/>
          <w:color w:val="auto"/>
          <w:kern w:val="2"/>
          <w:sz w:val="24"/>
          <w:szCs w:val="24"/>
          <w:highlight w:val="none"/>
          <w:lang w:val="en-US" w:eastAsia="zh-CN" w:bidi="ar"/>
        </w:rPr>
        <w:t>，</w:t>
      </w:r>
      <w:r>
        <w:rPr>
          <w:rFonts w:hint="default" w:ascii="Times New Roman" w:hAnsi="Times New Roman" w:eastAsia="宋体" w:cs="Times New Roman"/>
          <w:b w:val="0"/>
          <w:bCs w:val="0"/>
          <w:color w:val="auto"/>
          <w:kern w:val="2"/>
          <w:sz w:val="24"/>
          <w:szCs w:val="24"/>
          <w:highlight w:val="none"/>
          <w:lang w:val="en-US" w:eastAsia="zh-CN" w:bidi="ar"/>
        </w:rPr>
        <w:t>可直接将其抗滑稳定性和抗倾覆稳定性评定为A级或B级;</w:t>
      </w:r>
    </w:p>
    <w:p w14:paraId="1B7EE671">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720" w:firstLineChars="300"/>
        <w:jc w:val="both"/>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基坑</w:t>
      </w:r>
      <w:r>
        <w:rPr>
          <w:rFonts w:hint="eastAsia" w:ascii="Times New Roman" w:hAnsi="Times New Roman" w:eastAsia="宋体" w:cs="Times New Roman"/>
          <w:b w:val="0"/>
          <w:bCs w:val="0"/>
          <w:color w:val="auto"/>
          <w:kern w:val="2"/>
          <w:sz w:val="24"/>
          <w:szCs w:val="24"/>
          <w:highlight w:val="none"/>
          <w:lang w:val="en-US" w:eastAsia="zh-CN" w:bidi="ar"/>
        </w:rPr>
        <w:t>累计</w:t>
      </w:r>
      <w:r>
        <w:rPr>
          <w:rFonts w:hint="default" w:ascii="Times New Roman" w:hAnsi="Times New Roman" w:eastAsia="宋体" w:cs="Times New Roman"/>
          <w:b w:val="0"/>
          <w:bCs w:val="0"/>
          <w:color w:val="auto"/>
          <w:kern w:val="2"/>
          <w:sz w:val="24"/>
          <w:szCs w:val="24"/>
          <w:highlight w:val="none"/>
          <w:lang w:val="en-US" w:eastAsia="zh-CN" w:bidi="ar"/>
        </w:rPr>
        <w:t>变形量及变形速率超过设计预警值</w:t>
      </w:r>
      <w:r>
        <w:rPr>
          <w:rFonts w:hint="eastAsia" w:cs="Times New Roman"/>
          <w:b w:val="0"/>
          <w:bCs w:val="0"/>
          <w:color w:val="auto"/>
          <w:kern w:val="2"/>
          <w:sz w:val="24"/>
          <w:szCs w:val="24"/>
          <w:highlight w:val="none"/>
          <w:lang w:val="en-US" w:eastAsia="zh-CN" w:bidi="ar"/>
        </w:rPr>
        <w:t>，</w:t>
      </w:r>
      <w:r>
        <w:rPr>
          <w:rFonts w:hint="default" w:ascii="Times New Roman" w:hAnsi="Times New Roman" w:eastAsia="宋体" w:cs="Times New Roman"/>
          <w:b w:val="0"/>
          <w:bCs w:val="0"/>
          <w:color w:val="auto"/>
          <w:kern w:val="2"/>
          <w:sz w:val="24"/>
          <w:szCs w:val="24"/>
          <w:highlight w:val="none"/>
          <w:lang w:val="en-US" w:eastAsia="zh-CN" w:bidi="ar"/>
        </w:rPr>
        <w:t>或有倾覆迹象</w:t>
      </w:r>
      <w:r>
        <w:rPr>
          <w:rFonts w:hint="eastAsia" w:cs="Times New Roman"/>
          <w:b w:val="0"/>
          <w:bCs w:val="0"/>
          <w:color w:val="auto"/>
          <w:kern w:val="2"/>
          <w:sz w:val="24"/>
          <w:szCs w:val="24"/>
          <w:highlight w:val="none"/>
          <w:lang w:val="en-US" w:eastAsia="zh-CN" w:bidi="ar"/>
        </w:rPr>
        <w:t>，</w:t>
      </w:r>
      <w:r>
        <w:rPr>
          <w:rFonts w:hint="default" w:ascii="Times New Roman" w:hAnsi="Times New Roman" w:eastAsia="宋体" w:cs="Times New Roman"/>
          <w:b w:val="0"/>
          <w:bCs w:val="0"/>
          <w:color w:val="auto"/>
          <w:kern w:val="2"/>
          <w:sz w:val="24"/>
          <w:szCs w:val="24"/>
          <w:highlight w:val="none"/>
          <w:lang w:val="en-US" w:eastAsia="zh-CN" w:bidi="ar"/>
        </w:rPr>
        <w:t>应按实际检测数据验算评定支护结构抗滑和抗倾覆稳定性</w:t>
      </w:r>
      <w:r>
        <w:rPr>
          <w:rFonts w:hint="eastAsia" w:cs="Times New Roman"/>
          <w:b w:val="0"/>
          <w:bCs w:val="0"/>
          <w:color w:val="auto"/>
          <w:kern w:val="2"/>
          <w:sz w:val="24"/>
          <w:szCs w:val="24"/>
          <w:highlight w:val="none"/>
          <w:lang w:val="en-US" w:eastAsia="zh-CN" w:bidi="ar"/>
        </w:rPr>
        <w:t>，</w:t>
      </w:r>
      <w:r>
        <w:rPr>
          <w:rFonts w:hint="default" w:ascii="Times New Roman" w:hAnsi="Times New Roman" w:eastAsia="宋体" w:cs="Times New Roman"/>
          <w:b w:val="0"/>
          <w:bCs w:val="0"/>
          <w:color w:val="auto"/>
          <w:kern w:val="2"/>
          <w:sz w:val="24"/>
          <w:szCs w:val="24"/>
          <w:highlight w:val="none"/>
          <w:lang w:val="en-US" w:eastAsia="zh-CN" w:bidi="ar"/>
        </w:rPr>
        <w:t>其评定等级应符合表4.</w:t>
      </w:r>
      <w:r>
        <w:rPr>
          <w:rFonts w:hint="default" w:cs="Times New Roman"/>
          <w:b w:val="0"/>
          <w:bCs w:val="0"/>
          <w:color w:val="auto"/>
          <w:kern w:val="2"/>
          <w:sz w:val="24"/>
          <w:szCs w:val="24"/>
          <w:highlight w:val="none"/>
          <w:lang w:val="en-US" w:eastAsia="zh-CN" w:bidi="ar"/>
        </w:rPr>
        <w:t>6</w:t>
      </w:r>
      <w:r>
        <w:rPr>
          <w:rFonts w:hint="default" w:ascii="Times New Roman" w:hAnsi="Times New Roman" w:eastAsia="宋体" w:cs="Times New Roman"/>
          <w:b w:val="0"/>
          <w:bCs w:val="0"/>
          <w:color w:val="auto"/>
          <w:kern w:val="2"/>
          <w:sz w:val="24"/>
          <w:szCs w:val="24"/>
          <w:highlight w:val="none"/>
          <w:lang w:val="en-US" w:eastAsia="zh-CN" w:bidi="ar"/>
        </w:rPr>
        <w:t>.</w:t>
      </w:r>
      <w:r>
        <w:rPr>
          <w:rFonts w:hint="default" w:cs="Times New Roman"/>
          <w:b w:val="0"/>
          <w:bCs w:val="0"/>
          <w:color w:val="auto"/>
          <w:kern w:val="2"/>
          <w:sz w:val="24"/>
          <w:szCs w:val="24"/>
          <w:highlight w:val="none"/>
          <w:lang w:val="en-US" w:eastAsia="zh-CN" w:bidi="ar"/>
        </w:rPr>
        <w:t>5</w:t>
      </w:r>
      <w:r>
        <w:rPr>
          <w:rFonts w:hint="default" w:ascii="Times New Roman" w:hAnsi="Times New Roman" w:eastAsia="宋体" w:cs="Times New Roman"/>
          <w:b w:val="0"/>
          <w:bCs w:val="0"/>
          <w:color w:val="auto"/>
          <w:kern w:val="2"/>
          <w:sz w:val="24"/>
          <w:szCs w:val="24"/>
          <w:highlight w:val="none"/>
          <w:lang w:val="en-US" w:eastAsia="zh-CN" w:bidi="ar"/>
        </w:rPr>
        <w:t>-3的规定。</w:t>
      </w:r>
    </w:p>
    <w:p w14:paraId="48A0341A">
      <w:pPr>
        <w:spacing w:line="360" w:lineRule="auto"/>
        <w:jc w:val="center"/>
        <w:rPr>
          <w:rFonts w:hint="default" w:ascii="Times New Roman" w:hAnsi="Times New Roman" w:cs="Times New Roman"/>
          <w:b/>
          <w:color w:val="auto"/>
          <w:szCs w:val="21"/>
          <w:highlight w:val="none"/>
          <w:lang w:val="en-US" w:eastAsia="zh-CN"/>
        </w:rPr>
      </w:pPr>
      <w:r>
        <w:rPr>
          <w:rFonts w:hint="default" w:ascii="Times New Roman" w:hAnsi="Times New Roman" w:cs="Times New Roman"/>
          <w:b/>
          <w:color w:val="auto"/>
          <w:szCs w:val="21"/>
          <w:highlight w:val="none"/>
          <w:lang w:val="en-US" w:eastAsia="zh-CN"/>
        </w:rPr>
        <w:t>表4.</w:t>
      </w:r>
      <w:r>
        <w:rPr>
          <w:rFonts w:hint="eastAsia" w:cs="Times New Roman"/>
          <w:b/>
          <w:color w:val="auto"/>
          <w:szCs w:val="21"/>
          <w:highlight w:val="none"/>
          <w:lang w:val="en-US" w:eastAsia="zh-CN"/>
        </w:rPr>
        <w:t>6</w:t>
      </w:r>
      <w:r>
        <w:rPr>
          <w:rFonts w:hint="default" w:ascii="Times New Roman" w:hAnsi="Times New Roman" w:cs="Times New Roman"/>
          <w:b/>
          <w:color w:val="auto"/>
          <w:szCs w:val="21"/>
          <w:highlight w:val="none"/>
          <w:lang w:val="en-US" w:eastAsia="zh-CN"/>
        </w:rPr>
        <w:t>.</w:t>
      </w:r>
      <w:r>
        <w:rPr>
          <w:rFonts w:hint="eastAsia" w:cs="Times New Roman"/>
          <w:b/>
          <w:color w:val="auto"/>
          <w:szCs w:val="21"/>
          <w:highlight w:val="none"/>
          <w:lang w:val="en-US" w:eastAsia="zh-CN"/>
        </w:rPr>
        <w:t>9</w:t>
      </w:r>
      <w:r>
        <w:rPr>
          <w:rFonts w:hint="default" w:ascii="Times New Roman" w:hAnsi="Times New Roman" w:cs="Times New Roman"/>
          <w:b/>
          <w:color w:val="auto"/>
          <w:szCs w:val="21"/>
          <w:highlight w:val="none"/>
          <w:lang w:val="en-US" w:eastAsia="zh-CN"/>
        </w:rPr>
        <w:t>-</w:t>
      </w:r>
      <w:r>
        <w:rPr>
          <w:rFonts w:hint="eastAsia" w:cs="Times New Roman"/>
          <w:b/>
          <w:color w:val="auto"/>
          <w:szCs w:val="21"/>
          <w:highlight w:val="none"/>
          <w:lang w:val="en-US" w:eastAsia="zh-CN"/>
        </w:rPr>
        <w:t>3支护结构</w:t>
      </w:r>
      <w:r>
        <w:rPr>
          <w:rFonts w:hint="default" w:ascii="Times New Roman" w:hAnsi="Times New Roman" w:cs="Times New Roman"/>
          <w:b/>
          <w:color w:val="auto"/>
          <w:szCs w:val="21"/>
          <w:highlight w:val="none"/>
          <w:lang w:val="en-US" w:eastAsia="zh-CN"/>
        </w:rPr>
        <w:t>抗滑、抗倾覆稳定性评级表</w:t>
      </w:r>
    </w:p>
    <w:tbl>
      <w:tblPr>
        <w:tblStyle w:val="32"/>
        <w:tblW w:w="728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52"/>
        <w:gridCol w:w="2147"/>
        <w:gridCol w:w="1985"/>
      </w:tblGrid>
      <w:tr w14:paraId="094FD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3" w:hRule="atLeast"/>
          <w:jc w:val="center"/>
        </w:trPr>
        <w:tc>
          <w:tcPr>
            <w:tcW w:w="3152" w:type="dxa"/>
            <w:tcBorders>
              <w:top w:val="single" w:color="000000" w:sz="10" w:space="0"/>
            </w:tcBorders>
            <w:vAlign w:val="center"/>
            <mc:AlternateContent>
              <mc:Choice Requires="wpsCustomData">
                <wpsCustomData:diagonals>
                  <wpsCustomData:diagonal from="10000" to="35000">
                    <wpsCustomData:border w:val="single" w:color="000000" w:sz="10" w:space="0"/>
                  </wpsCustomData:diagonal>
                  <wpsCustomData:diagonal from="10000" to="25000">
                    <wpsCustomData:border w:val="single" w:color="000000" w:sz="10" w:space="0"/>
                  </wpsCustomData:diagonal>
                </wpsCustomData:diagonals>
              </mc:Choice>
            </mc:AlternateContent>
          </w:tcPr>
          <w:p w14:paraId="23EC9C20">
            <w:pPr>
              <w:pStyle w:val="31"/>
              <w:keepNext w:val="0"/>
              <w:keepLines w:val="0"/>
              <w:pageBreakBefore w:val="0"/>
              <w:widowControl w:val="0"/>
              <w:kinsoku/>
              <w:wordWrap/>
              <w:overflowPunct/>
              <w:topLinePunct w:val="0"/>
              <w:autoSpaceDE/>
              <w:autoSpaceDN/>
              <w:bidi w:val="0"/>
              <w:adjustRightInd/>
              <w:snapToGrid/>
              <w:spacing w:line="240" w:lineRule="exact"/>
              <w:ind w:left="0" w:leftChars="0"/>
              <w:jc w:val="center"/>
              <w:textAlignment w:val="auto"/>
              <w:rPr>
                <w:rFonts w:hint="eastAsia"/>
                <w:color w:val="auto"/>
                <w:spacing w:val="8"/>
                <w:sz w:val="21"/>
                <w:szCs w:val="21"/>
                <w:highlight w:val="none"/>
                <w:lang w:eastAsia="zh-CN"/>
              </w:rPr>
            </w:pPr>
          </w:p>
          <w:p w14:paraId="5D5BD93B">
            <w:pPr>
              <w:pStyle w:val="31"/>
              <w:keepNext w:val="0"/>
              <w:keepLines w:val="0"/>
              <w:pageBreakBefore w:val="0"/>
              <w:widowControl w:val="0"/>
              <w:kinsoku/>
              <w:wordWrap/>
              <w:overflowPunct/>
              <w:topLinePunct w:val="0"/>
              <w:autoSpaceDE/>
              <w:autoSpaceDN/>
              <w:bidi w:val="0"/>
              <w:adjustRightInd/>
              <w:snapToGrid/>
              <w:spacing w:line="240" w:lineRule="exact"/>
              <w:ind w:left="0" w:leftChars="0"/>
              <w:jc w:val="center"/>
              <w:textAlignment w:val="auto"/>
              <w:rPr>
                <w:rFonts w:hint="eastAsia"/>
                <w:color w:val="auto"/>
                <w:spacing w:val="8"/>
                <w:sz w:val="21"/>
                <w:szCs w:val="21"/>
                <w:highlight w:val="none"/>
                <w:lang w:eastAsia="zh-CN"/>
              </w:rPr>
            </w:pPr>
          </w:p>
          <w:p w14:paraId="2E0598EE">
            <w:pPr>
              <w:pStyle w:val="31"/>
              <w:keepNext w:val="0"/>
              <w:keepLines w:val="0"/>
              <w:pageBreakBefore w:val="0"/>
              <w:widowControl w:val="0"/>
              <w:kinsoku/>
              <w:wordWrap/>
              <w:overflowPunct/>
              <w:topLinePunct w:val="0"/>
              <w:autoSpaceDE/>
              <w:autoSpaceDN/>
              <w:bidi w:val="0"/>
              <w:adjustRightInd/>
              <w:snapToGrid/>
              <w:spacing w:line="240" w:lineRule="exact"/>
              <w:ind w:left="0" w:leftChars="0"/>
              <w:jc w:val="center"/>
              <w:textAlignment w:val="auto"/>
              <mc:AlternateContent>
                <mc:Choice Requires="wpsCustomData">
                  <wpsCustomData:diagonalParaType/>
                </mc:Choice>
              </mc:AlternateContent>
              <w:rPr>
                <w:rFonts w:hint="eastAsia"/>
                <w:color w:val="auto"/>
                <w:spacing w:val="8"/>
                <w:sz w:val="21"/>
                <w:szCs w:val="21"/>
                <w:highlight w:val="none"/>
                <w:lang w:eastAsia="zh-CN"/>
              </w:rPr>
            </w:pPr>
            <w:r>
              <w:rPr>
                <w:rFonts w:hint="eastAsia"/>
                <w:color w:val="auto"/>
                <w:spacing w:val="8"/>
                <w:sz w:val="21"/>
                <w:szCs w:val="21"/>
                <w:highlight w:val="none"/>
                <w:lang w:eastAsia="zh-CN"/>
              </w:rPr>
              <w:t>等级</w:t>
            </w:r>
          </w:p>
          <w:p w14:paraId="78907F99">
            <w:pPr>
              <w:pStyle w:val="31"/>
              <w:keepNext w:val="0"/>
              <w:keepLines w:val="0"/>
              <w:pageBreakBefore w:val="0"/>
              <w:widowControl w:val="0"/>
              <w:kinsoku/>
              <w:wordWrap/>
              <w:overflowPunct/>
              <w:topLinePunct w:val="0"/>
              <w:autoSpaceDE/>
              <w:autoSpaceDN/>
              <w:bidi w:val="0"/>
              <w:adjustRightInd/>
              <w:snapToGrid/>
              <w:spacing w:line="240" w:lineRule="exact"/>
              <w:ind w:left="0" w:leftChars="0"/>
              <w:jc w:val="center"/>
              <w:textAlignment w:val="auto"/>
              <w:rPr>
                <w:rFonts w:hint="eastAsia"/>
                <w:color w:val="auto"/>
                <w:spacing w:val="8"/>
                <w:sz w:val="21"/>
                <w:szCs w:val="21"/>
                <w:highlight w:val="none"/>
                <w:lang w:val="en-US" w:eastAsia="zh-CN"/>
              </w:rPr>
            </w:pPr>
          </w:p>
          <w:p w14:paraId="6A717487">
            <w:pPr>
              <w:pStyle w:val="31"/>
              <w:keepNext w:val="0"/>
              <w:keepLines w:val="0"/>
              <w:pageBreakBefore w:val="0"/>
              <w:widowControl w:val="0"/>
              <w:kinsoku/>
              <w:wordWrap/>
              <w:overflowPunct/>
              <w:topLinePunct w:val="0"/>
              <w:autoSpaceDE/>
              <w:autoSpaceDN/>
              <w:bidi w:val="0"/>
              <w:adjustRightInd/>
              <w:snapToGrid/>
              <w:spacing w:line="240" w:lineRule="exact"/>
              <w:ind w:left="0" w:leftChars="0"/>
              <w:jc w:val="center"/>
              <w:textAlignment w:val="auto"/>
              <mc:AlternateContent>
                <mc:Choice Requires="wpsCustomData">
                  <wpsCustomData:diagonalParaType/>
                </mc:Choice>
              </mc:AlternateContent>
              <w:rPr>
                <w:rFonts w:hint="default"/>
                <w:color w:val="auto"/>
                <w:spacing w:val="8"/>
                <w:sz w:val="21"/>
                <w:szCs w:val="21"/>
                <w:highlight w:val="none"/>
                <w:lang w:val="en-US" w:eastAsia="zh-CN"/>
              </w:rPr>
            </w:pPr>
            <w:r>
              <w:rPr>
                <w:rFonts w:hint="eastAsia"/>
                <w:color w:val="auto"/>
                <w:spacing w:val="8"/>
                <w:sz w:val="21"/>
                <w:szCs w:val="21"/>
                <w:highlight w:val="none"/>
                <w:lang w:val="en-US" w:eastAsia="zh-CN"/>
              </w:rPr>
              <w:t>稳定系数K</w:t>
            </w:r>
          </w:p>
          <w:p w14:paraId="1867D143">
            <w:pPr>
              <w:pStyle w:val="31"/>
              <w:keepNext w:val="0"/>
              <w:keepLines w:val="0"/>
              <w:pageBreakBefore w:val="0"/>
              <w:widowControl w:val="0"/>
              <w:kinsoku/>
              <w:wordWrap/>
              <w:overflowPunct/>
              <w:topLinePunct w:val="0"/>
              <w:autoSpaceDE/>
              <w:autoSpaceDN/>
              <w:bidi w:val="0"/>
              <w:adjustRightInd/>
              <w:snapToGrid/>
              <w:spacing w:line="240" w:lineRule="exact"/>
              <w:ind w:left="0" w:leftChars="0"/>
              <w:jc w:val="center"/>
              <w:textAlignment w:val="auto"/>
              <w:rPr>
                <w:rFonts w:hint="default"/>
                <w:color w:val="auto"/>
                <w:spacing w:val="8"/>
                <w:sz w:val="21"/>
                <w:szCs w:val="21"/>
                <w:highlight w:val="none"/>
                <w:lang w:val="en-US" w:eastAsia="zh-CN"/>
              </w:rPr>
            </w:pPr>
            <w:r>
              <w:rPr>
                <w:rFonts w:hint="eastAsia"/>
                <w:color w:val="auto"/>
                <w:spacing w:val="8"/>
                <w:sz w:val="21"/>
                <w:szCs w:val="21"/>
                <w:highlight w:val="none"/>
                <w:lang w:val="en-US" w:eastAsia="zh-CN"/>
              </w:rPr>
              <w:t>基坑等级</w:t>
            </w:r>
          </w:p>
        </w:tc>
        <w:tc>
          <w:tcPr>
            <w:tcW w:w="2147" w:type="dxa"/>
            <w:tcBorders>
              <w:top w:val="single" w:color="000000" w:sz="10" w:space="0"/>
            </w:tcBorders>
            <w:vAlign w:val="center"/>
          </w:tcPr>
          <w:p w14:paraId="75968293">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r>
              <w:rPr>
                <w:rFonts w:hint="eastAsia" w:ascii="宋体" w:hAnsi="宋体" w:eastAsia="宋体" w:cs="宋体"/>
                <w:b w:val="0"/>
                <w:bCs w:val="0"/>
                <w:color w:val="auto"/>
                <w:kern w:val="2"/>
                <w:sz w:val="21"/>
                <w:szCs w:val="21"/>
                <w:highlight w:val="none"/>
                <w:vertAlign w:val="baseline"/>
                <w:lang w:val="en-US" w:eastAsia="zh-CN" w:bidi="ar"/>
              </w:rPr>
              <w:t>一级</w:t>
            </w:r>
            <w:r>
              <w:rPr>
                <w:rFonts w:hint="eastAsia" w:cs="宋体"/>
                <w:b w:val="0"/>
                <w:bCs w:val="0"/>
                <w:color w:val="auto"/>
                <w:kern w:val="2"/>
                <w:sz w:val="21"/>
                <w:szCs w:val="21"/>
                <w:highlight w:val="none"/>
                <w:vertAlign w:val="baseline"/>
                <w:lang w:val="en-US" w:eastAsia="zh-CN" w:bidi="ar"/>
              </w:rPr>
              <w:t>、</w:t>
            </w:r>
            <w:r>
              <w:rPr>
                <w:rFonts w:hint="eastAsia" w:ascii="宋体" w:hAnsi="宋体" w:eastAsia="宋体" w:cs="宋体"/>
                <w:b w:val="0"/>
                <w:bCs w:val="0"/>
                <w:color w:val="auto"/>
                <w:kern w:val="2"/>
                <w:sz w:val="21"/>
                <w:szCs w:val="21"/>
                <w:highlight w:val="none"/>
                <w:vertAlign w:val="baseline"/>
                <w:lang w:val="en-US" w:eastAsia="zh-CN" w:bidi="ar"/>
              </w:rPr>
              <w:t>二级基坑</w:t>
            </w:r>
          </w:p>
        </w:tc>
        <w:tc>
          <w:tcPr>
            <w:tcW w:w="1985" w:type="dxa"/>
            <w:tcBorders>
              <w:top w:val="single" w:color="000000" w:sz="10" w:space="0"/>
            </w:tcBorders>
            <w:vAlign w:val="center"/>
          </w:tcPr>
          <w:p w14:paraId="0A653B8B">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8"/>
                <w:sz w:val="21"/>
                <w:szCs w:val="21"/>
                <w:highlight w:val="none"/>
              </w:rPr>
            </w:pPr>
            <w:r>
              <w:rPr>
                <w:rFonts w:hint="eastAsia" w:ascii="宋体" w:hAnsi="宋体" w:eastAsia="宋体" w:cs="宋体"/>
                <w:b w:val="0"/>
                <w:bCs w:val="0"/>
                <w:color w:val="auto"/>
                <w:kern w:val="2"/>
                <w:sz w:val="21"/>
                <w:szCs w:val="21"/>
                <w:highlight w:val="none"/>
                <w:vertAlign w:val="baseline"/>
                <w:lang w:val="en-US" w:eastAsia="zh-CN" w:bidi="ar"/>
              </w:rPr>
              <w:t>三级基坑</w:t>
            </w:r>
          </w:p>
        </w:tc>
      </w:tr>
      <w:tr w14:paraId="4950C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jc w:val="center"/>
        </w:trPr>
        <w:tc>
          <w:tcPr>
            <w:tcW w:w="3152" w:type="dxa"/>
            <w:vAlign w:val="center"/>
          </w:tcPr>
          <w:p w14:paraId="35E58E1D">
            <w:pPr>
              <w:pStyle w:val="3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pacing w:val="8"/>
                <w:sz w:val="21"/>
                <w:szCs w:val="21"/>
                <w:highlight w:val="none"/>
                <w:lang w:val="en-US" w:eastAsia="zh-CN"/>
              </w:rPr>
            </w:pPr>
            <w:r>
              <w:rPr>
                <w:rFonts w:hint="eastAsia"/>
                <w:color w:val="auto"/>
                <w:spacing w:val="8"/>
                <w:sz w:val="21"/>
                <w:szCs w:val="21"/>
                <w:highlight w:val="none"/>
                <w:lang w:eastAsia="zh-CN"/>
              </w:rPr>
              <w:t>A</w:t>
            </w:r>
          </w:p>
        </w:tc>
        <w:tc>
          <w:tcPr>
            <w:tcW w:w="2147" w:type="dxa"/>
            <w:shd w:val="clear" w:color="auto" w:fill="auto"/>
            <w:vAlign w:val="center"/>
          </w:tcPr>
          <w:p w14:paraId="76267174">
            <w:pPr>
              <w:pStyle w:val="3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spacing w:val="8"/>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
              </w:rPr>
              <w:t>≥1.00</w:t>
            </w:r>
            <w:r>
              <w:rPr>
                <w:rFonts w:hint="eastAsia" w:ascii="宋体" w:hAnsi="宋体" w:eastAsia="宋体" w:cs="宋体"/>
                <w:color w:val="auto"/>
                <w:sz w:val="21"/>
                <w:szCs w:val="21"/>
                <w:highlight w:val="none"/>
                <w:vertAlign w:val="baseline"/>
              </w:rPr>
              <w:t>K</w:t>
            </w:r>
            <w:r>
              <w:rPr>
                <w:rFonts w:hint="eastAsia" w:ascii="宋体" w:hAnsi="宋体" w:eastAsia="宋体" w:cs="宋体"/>
                <w:color w:val="auto"/>
                <w:sz w:val="21"/>
                <w:szCs w:val="21"/>
                <w:highlight w:val="none"/>
                <w:vertAlign w:val="subscript"/>
              </w:rPr>
              <w:t>S</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或</w:t>
            </w:r>
            <w:r>
              <w:rPr>
                <w:rFonts w:hint="eastAsia" w:ascii="宋体" w:hAnsi="宋体" w:eastAsia="宋体" w:cs="宋体"/>
                <w:color w:val="auto"/>
                <w:sz w:val="21"/>
                <w:szCs w:val="21"/>
                <w:highlight w:val="none"/>
                <w:vertAlign w:val="baseline"/>
              </w:rPr>
              <w:t>K</w:t>
            </w:r>
            <w:r>
              <w:rPr>
                <w:rFonts w:hint="eastAsia" w:ascii="宋体" w:hAnsi="宋体" w:eastAsia="宋体" w:cs="宋体"/>
                <w:color w:val="auto"/>
                <w:sz w:val="21"/>
                <w:szCs w:val="21"/>
                <w:highlight w:val="none"/>
                <w:vertAlign w:val="subscript"/>
                <w:lang w:val="en-US" w:eastAsia="zh-CN"/>
              </w:rPr>
              <w:t>e</w:t>
            </w:r>
            <w:r>
              <w:rPr>
                <w:rFonts w:hint="eastAsia" w:ascii="宋体" w:hAnsi="宋体" w:eastAsia="宋体" w:cs="宋体"/>
                <w:color w:val="auto"/>
                <w:sz w:val="21"/>
                <w:szCs w:val="21"/>
                <w:highlight w:val="none"/>
                <w:vertAlign w:val="baseline"/>
                <w:lang w:eastAsia="zh-CN"/>
              </w:rPr>
              <w:t>）</w:t>
            </w:r>
          </w:p>
        </w:tc>
        <w:tc>
          <w:tcPr>
            <w:tcW w:w="1985" w:type="dxa"/>
            <w:shd w:val="clear" w:color="auto" w:fill="auto"/>
            <w:vAlign w:val="center"/>
          </w:tcPr>
          <w:p w14:paraId="49C98556">
            <w:pPr>
              <w:pStyle w:val="3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spacing w:val="8"/>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
              </w:rPr>
              <w:t>≥1.00</w:t>
            </w:r>
            <w:r>
              <w:rPr>
                <w:rFonts w:hint="eastAsia" w:ascii="宋体" w:hAnsi="宋体" w:eastAsia="宋体" w:cs="宋体"/>
                <w:color w:val="auto"/>
                <w:sz w:val="21"/>
                <w:szCs w:val="21"/>
                <w:highlight w:val="none"/>
                <w:vertAlign w:val="baseline"/>
              </w:rPr>
              <w:t>K</w:t>
            </w:r>
            <w:r>
              <w:rPr>
                <w:rFonts w:hint="eastAsia" w:ascii="宋体" w:hAnsi="宋体" w:eastAsia="宋体" w:cs="宋体"/>
                <w:color w:val="auto"/>
                <w:sz w:val="21"/>
                <w:szCs w:val="21"/>
                <w:highlight w:val="none"/>
                <w:vertAlign w:val="subscript"/>
              </w:rPr>
              <w:t>S</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或</w:t>
            </w:r>
            <w:r>
              <w:rPr>
                <w:rFonts w:hint="eastAsia" w:ascii="宋体" w:hAnsi="宋体" w:eastAsia="宋体" w:cs="宋体"/>
                <w:color w:val="auto"/>
                <w:sz w:val="21"/>
                <w:szCs w:val="21"/>
                <w:highlight w:val="none"/>
                <w:vertAlign w:val="baseline"/>
              </w:rPr>
              <w:t>K</w:t>
            </w:r>
            <w:r>
              <w:rPr>
                <w:rFonts w:hint="eastAsia" w:ascii="宋体" w:hAnsi="宋体" w:eastAsia="宋体" w:cs="宋体"/>
                <w:color w:val="auto"/>
                <w:sz w:val="21"/>
                <w:szCs w:val="21"/>
                <w:highlight w:val="none"/>
                <w:vertAlign w:val="subscript"/>
                <w:lang w:val="en-US" w:eastAsia="zh-CN"/>
              </w:rPr>
              <w:t>e</w:t>
            </w:r>
            <w:r>
              <w:rPr>
                <w:rFonts w:hint="eastAsia" w:ascii="宋体" w:hAnsi="宋体" w:eastAsia="宋体" w:cs="宋体"/>
                <w:color w:val="auto"/>
                <w:sz w:val="21"/>
                <w:szCs w:val="21"/>
                <w:highlight w:val="none"/>
                <w:vertAlign w:val="baseline"/>
                <w:lang w:eastAsia="zh-CN"/>
              </w:rPr>
              <w:t>）</w:t>
            </w:r>
          </w:p>
        </w:tc>
      </w:tr>
      <w:tr w14:paraId="4A104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jc w:val="center"/>
        </w:trPr>
        <w:tc>
          <w:tcPr>
            <w:tcW w:w="3152" w:type="dxa"/>
            <w:shd w:val="clear" w:color="auto" w:fill="auto"/>
            <w:vAlign w:val="center"/>
          </w:tcPr>
          <w:p w14:paraId="07E7282D">
            <w:pPr>
              <w:pStyle w:val="3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spacing w:val="8"/>
                <w:kern w:val="2"/>
                <w:sz w:val="21"/>
                <w:szCs w:val="21"/>
                <w:highlight w:val="none"/>
                <w:lang w:val="en-US" w:eastAsia="zh-CN" w:bidi="ar-SA"/>
              </w:rPr>
            </w:pPr>
            <w:r>
              <w:rPr>
                <w:rFonts w:hint="eastAsia"/>
                <w:color w:val="auto"/>
                <w:spacing w:val="8"/>
                <w:sz w:val="21"/>
                <w:szCs w:val="21"/>
                <w:highlight w:val="none"/>
                <w:lang w:eastAsia="zh-CN"/>
              </w:rPr>
              <w:t>B</w:t>
            </w:r>
          </w:p>
        </w:tc>
        <w:tc>
          <w:tcPr>
            <w:tcW w:w="2147" w:type="dxa"/>
            <w:shd w:val="clear" w:color="auto" w:fill="auto"/>
            <w:vAlign w:val="center"/>
          </w:tcPr>
          <w:p w14:paraId="1F976FB1">
            <w:pPr>
              <w:pStyle w:val="3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spacing w:val="8"/>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
              </w:rPr>
              <w:t>≥0.95</w:t>
            </w:r>
            <w:r>
              <w:rPr>
                <w:rFonts w:hint="eastAsia" w:ascii="宋体" w:hAnsi="宋体" w:eastAsia="宋体" w:cs="宋体"/>
                <w:color w:val="auto"/>
                <w:sz w:val="21"/>
                <w:szCs w:val="21"/>
                <w:highlight w:val="none"/>
                <w:vertAlign w:val="baseline"/>
              </w:rPr>
              <w:t>K</w:t>
            </w:r>
            <w:r>
              <w:rPr>
                <w:rFonts w:hint="eastAsia" w:ascii="宋体" w:hAnsi="宋体" w:eastAsia="宋体" w:cs="宋体"/>
                <w:color w:val="auto"/>
                <w:sz w:val="21"/>
                <w:szCs w:val="21"/>
                <w:highlight w:val="none"/>
                <w:vertAlign w:val="subscript"/>
              </w:rPr>
              <w:t>S</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或</w:t>
            </w:r>
            <w:r>
              <w:rPr>
                <w:rFonts w:hint="eastAsia" w:ascii="宋体" w:hAnsi="宋体" w:eastAsia="宋体" w:cs="宋体"/>
                <w:color w:val="auto"/>
                <w:sz w:val="21"/>
                <w:szCs w:val="21"/>
                <w:highlight w:val="none"/>
                <w:vertAlign w:val="baseline"/>
              </w:rPr>
              <w:t>K</w:t>
            </w:r>
            <w:r>
              <w:rPr>
                <w:rFonts w:hint="eastAsia" w:ascii="宋体" w:hAnsi="宋体" w:eastAsia="宋体" w:cs="宋体"/>
                <w:color w:val="auto"/>
                <w:sz w:val="21"/>
                <w:szCs w:val="21"/>
                <w:highlight w:val="none"/>
                <w:vertAlign w:val="subscript"/>
                <w:lang w:val="en-US" w:eastAsia="zh-CN"/>
              </w:rPr>
              <w:t>e</w:t>
            </w:r>
            <w:r>
              <w:rPr>
                <w:rFonts w:hint="eastAsia" w:ascii="宋体" w:hAnsi="宋体" w:eastAsia="宋体" w:cs="宋体"/>
                <w:color w:val="auto"/>
                <w:sz w:val="21"/>
                <w:szCs w:val="21"/>
                <w:highlight w:val="none"/>
                <w:vertAlign w:val="baseline"/>
                <w:lang w:eastAsia="zh-CN"/>
              </w:rPr>
              <w:t>）</w:t>
            </w:r>
          </w:p>
        </w:tc>
        <w:tc>
          <w:tcPr>
            <w:tcW w:w="1985" w:type="dxa"/>
            <w:shd w:val="clear" w:color="auto" w:fill="auto"/>
            <w:vAlign w:val="center"/>
          </w:tcPr>
          <w:p w14:paraId="7F49F493">
            <w:pPr>
              <w:pStyle w:val="3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spacing w:val="8"/>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
              </w:rPr>
              <w:t>≥0.93</w:t>
            </w:r>
            <w:r>
              <w:rPr>
                <w:rFonts w:hint="eastAsia" w:ascii="宋体" w:hAnsi="宋体" w:eastAsia="宋体" w:cs="宋体"/>
                <w:color w:val="auto"/>
                <w:sz w:val="21"/>
                <w:szCs w:val="21"/>
                <w:highlight w:val="none"/>
                <w:vertAlign w:val="baseline"/>
              </w:rPr>
              <w:t>K</w:t>
            </w:r>
            <w:r>
              <w:rPr>
                <w:rFonts w:hint="eastAsia" w:ascii="宋体" w:hAnsi="宋体" w:eastAsia="宋体" w:cs="宋体"/>
                <w:color w:val="auto"/>
                <w:sz w:val="21"/>
                <w:szCs w:val="21"/>
                <w:highlight w:val="none"/>
                <w:vertAlign w:val="subscript"/>
              </w:rPr>
              <w:t>S</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或</w:t>
            </w:r>
            <w:r>
              <w:rPr>
                <w:rFonts w:hint="eastAsia" w:ascii="宋体" w:hAnsi="宋体" w:eastAsia="宋体" w:cs="宋体"/>
                <w:color w:val="auto"/>
                <w:sz w:val="21"/>
                <w:szCs w:val="21"/>
                <w:highlight w:val="none"/>
                <w:vertAlign w:val="baseline"/>
              </w:rPr>
              <w:t>K</w:t>
            </w:r>
            <w:r>
              <w:rPr>
                <w:rFonts w:hint="eastAsia" w:ascii="宋体" w:hAnsi="宋体" w:eastAsia="宋体" w:cs="宋体"/>
                <w:color w:val="auto"/>
                <w:sz w:val="21"/>
                <w:szCs w:val="21"/>
                <w:highlight w:val="none"/>
                <w:vertAlign w:val="subscript"/>
                <w:lang w:val="en-US" w:eastAsia="zh-CN"/>
              </w:rPr>
              <w:t>e</w:t>
            </w:r>
            <w:r>
              <w:rPr>
                <w:rFonts w:hint="eastAsia" w:ascii="宋体" w:hAnsi="宋体" w:eastAsia="宋体" w:cs="宋体"/>
                <w:color w:val="auto"/>
                <w:sz w:val="21"/>
                <w:szCs w:val="21"/>
                <w:highlight w:val="none"/>
                <w:vertAlign w:val="baseline"/>
                <w:lang w:eastAsia="zh-CN"/>
              </w:rPr>
              <w:t>）</w:t>
            </w:r>
          </w:p>
        </w:tc>
      </w:tr>
      <w:tr w14:paraId="23AD3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jc w:val="center"/>
        </w:trPr>
        <w:tc>
          <w:tcPr>
            <w:tcW w:w="3152" w:type="dxa"/>
            <w:shd w:val="clear" w:color="auto" w:fill="auto"/>
            <w:vAlign w:val="center"/>
          </w:tcPr>
          <w:p w14:paraId="4E83F6EA">
            <w:pPr>
              <w:pStyle w:val="3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spacing w:val="8"/>
                <w:kern w:val="2"/>
                <w:sz w:val="21"/>
                <w:szCs w:val="21"/>
                <w:highlight w:val="none"/>
                <w:lang w:val="en-US" w:eastAsia="zh-CN" w:bidi="ar-SA"/>
              </w:rPr>
            </w:pPr>
            <w:r>
              <w:rPr>
                <w:rFonts w:hint="eastAsia"/>
                <w:color w:val="auto"/>
                <w:spacing w:val="8"/>
                <w:sz w:val="21"/>
                <w:szCs w:val="21"/>
                <w:highlight w:val="none"/>
                <w:lang w:eastAsia="zh-CN"/>
              </w:rPr>
              <w:t>C</w:t>
            </w:r>
          </w:p>
        </w:tc>
        <w:tc>
          <w:tcPr>
            <w:tcW w:w="2147" w:type="dxa"/>
            <w:shd w:val="clear" w:color="auto" w:fill="auto"/>
            <w:vAlign w:val="center"/>
          </w:tcPr>
          <w:p w14:paraId="31CD3FC0">
            <w:pPr>
              <w:pStyle w:val="3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spacing w:val="8"/>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
              </w:rPr>
              <w:t>≥0.90</w:t>
            </w:r>
            <w:r>
              <w:rPr>
                <w:rFonts w:hint="eastAsia" w:ascii="宋体" w:hAnsi="宋体" w:eastAsia="宋体" w:cs="宋体"/>
                <w:color w:val="auto"/>
                <w:sz w:val="21"/>
                <w:szCs w:val="21"/>
                <w:highlight w:val="none"/>
                <w:vertAlign w:val="baseline"/>
              </w:rPr>
              <w:t>K</w:t>
            </w:r>
            <w:r>
              <w:rPr>
                <w:rFonts w:hint="eastAsia" w:ascii="宋体" w:hAnsi="宋体" w:eastAsia="宋体" w:cs="宋体"/>
                <w:color w:val="auto"/>
                <w:sz w:val="21"/>
                <w:szCs w:val="21"/>
                <w:highlight w:val="none"/>
                <w:vertAlign w:val="subscript"/>
              </w:rPr>
              <w:t>S</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或</w:t>
            </w:r>
            <w:r>
              <w:rPr>
                <w:rFonts w:hint="eastAsia" w:ascii="宋体" w:hAnsi="宋体" w:eastAsia="宋体" w:cs="宋体"/>
                <w:color w:val="auto"/>
                <w:sz w:val="21"/>
                <w:szCs w:val="21"/>
                <w:highlight w:val="none"/>
                <w:vertAlign w:val="baseline"/>
              </w:rPr>
              <w:t>K</w:t>
            </w:r>
            <w:r>
              <w:rPr>
                <w:rFonts w:hint="eastAsia" w:ascii="宋体" w:hAnsi="宋体" w:eastAsia="宋体" w:cs="宋体"/>
                <w:color w:val="auto"/>
                <w:sz w:val="21"/>
                <w:szCs w:val="21"/>
                <w:highlight w:val="none"/>
                <w:vertAlign w:val="subscript"/>
                <w:lang w:val="en-US" w:eastAsia="zh-CN"/>
              </w:rPr>
              <w:t>e</w:t>
            </w:r>
            <w:r>
              <w:rPr>
                <w:rFonts w:hint="eastAsia" w:ascii="宋体" w:hAnsi="宋体" w:eastAsia="宋体" w:cs="宋体"/>
                <w:color w:val="auto"/>
                <w:sz w:val="21"/>
                <w:szCs w:val="21"/>
                <w:highlight w:val="none"/>
                <w:vertAlign w:val="baseline"/>
                <w:lang w:eastAsia="zh-CN"/>
              </w:rPr>
              <w:t>）</w:t>
            </w:r>
          </w:p>
        </w:tc>
        <w:tc>
          <w:tcPr>
            <w:tcW w:w="1985" w:type="dxa"/>
            <w:shd w:val="clear" w:color="auto" w:fill="auto"/>
            <w:vAlign w:val="center"/>
          </w:tcPr>
          <w:p w14:paraId="1C2C75E5">
            <w:pPr>
              <w:pStyle w:val="3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spacing w:val="8"/>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
              </w:rPr>
              <w:t>≥0.87</w:t>
            </w:r>
            <w:r>
              <w:rPr>
                <w:rFonts w:hint="eastAsia" w:ascii="宋体" w:hAnsi="宋体" w:eastAsia="宋体" w:cs="宋体"/>
                <w:color w:val="auto"/>
                <w:sz w:val="21"/>
                <w:szCs w:val="21"/>
                <w:highlight w:val="none"/>
                <w:vertAlign w:val="baseline"/>
              </w:rPr>
              <w:t>K</w:t>
            </w:r>
            <w:r>
              <w:rPr>
                <w:rFonts w:hint="eastAsia" w:ascii="宋体" w:hAnsi="宋体" w:eastAsia="宋体" w:cs="宋体"/>
                <w:color w:val="auto"/>
                <w:sz w:val="21"/>
                <w:szCs w:val="21"/>
                <w:highlight w:val="none"/>
                <w:vertAlign w:val="subscript"/>
              </w:rPr>
              <w:t>S</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或</w:t>
            </w:r>
            <w:r>
              <w:rPr>
                <w:rFonts w:hint="eastAsia" w:ascii="宋体" w:hAnsi="宋体" w:eastAsia="宋体" w:cs="宋体"/>
                <w:color w:val="auto"/>
                <w:sz w:val="21"/>
                <w:szCs w:val="21"/>
                <w:highlight w:val="none"/>
                <w:vertAlign w:val="baseline"/>
              </w:rPr>
              <w:t>K</w:t>
            </w:r>
            <w:r>
              <w:rPr>
                <w:rFonts w:hint="eastAsia" w:ascii="宋体" w:hAnsi="宋体" w:eastAsia="宋体" w:cs="宋体"/>
                <w:color w:val="auto"/>
                <w:sz w:val="21"/>
                <w:szCs w:val="21"/>
                <w:highlight w:val="none"/>
                <w:vertAlign w:val="subscript"/>
                <w:lang w:val="en-US" w:eastAsia="zh-CN"/>
              </w:rPr>
              <w:t>e</w:t>
            </w:r>
            <w:r>
              <w:rPr>
                <w:rFonts w:hint="eastAsia" w:ascii="宋体" w:hAnsi="宋体" w:eastAsia="宋体" w:cs="宋体"/>
                <w:color w:val="auto"/>
                <w:sz w:val="21"/>
                <w:szCs w:val="21"/>
                <w:highlight w:val="none"/>
                <w:vertAlign w:val="baseline"/>
                <w:lang w:eastAsia="zh-CN"/>
              </w:rPr>
              <w:t>）</w:t>
            </w:r>
          </w:p>
        </w:tc>
      </w:tr>
      <w:tr w14:paraId="30A16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jc w:val="center"/>
        </w:trPr>
        <w:tc>
          <w:tcPr>
            <w:tcW w:w="3152" w:type="dxa"/>
            <w:shd w:val="clear" w:color="auto" w:fill="auto"/>
            <w:vAlign w:val="center"/>
          </w:tcPr>
          <w:p w14:paraId="5DF0B2A6">
            <w:pPr>
              <w:pStyle w:val="3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spacing w:val="8"/>
                <w:kern w:val="2"/>
                <w:sz w:val="21"/>
                <w:szCs w:val="21"/>
                <w:highlight w:val="none"/>
                <w:lang w:val="en-US" w:eastAsia="zh-CN" w:bidi="ar-SA"/>
              </w:rPr>
            </w:pPr>
            <w:r>
              <w:rPr>
                <w:rFonts w:hint="eastAsia"/>
                <w:color w:val="auto"/>
                <w:spacing w:val="8"/>
                <w:sz w:val="21"/>
                <w:szCs w:val="21"/>
                <w:highlight w:val="none"/>
                <w:lang w:eastAsia="zh-CN"/>
              </w:rPr>
              <w:t>D</w:t>
            </w:r>
          </w:p>
        </w:tc>
        <w:tc>
          <w:tcPr>
            <w:tcW w:w="2147" w:type="dxa"/>
            <w:shd w:val="clear" w:color="auto" w:fill="auto"/>
            <w:vAlign w:val="center"/>
          </w:tcPr>
          <w:p w14:paraId="5807BBBE">
            <w:pPr>
              <w:pStyle w:val="3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spacing w:val="8"/>
                <w:kern w:val="2"/>
                <w:sz w:val="21"/>
                <w:szCs w:val="21"/>
                <w:highlight w:val="none"/>
                <w:lang w:val="en-US" w:eastAsia="zh-CN" w:bidi="ar-SA"/>
              </w:rPr>
            </w:pPr>
            <w:r>
              <w:rPr>
                <w:rFonts w:hint="default" w:ascii="Calibri" w:hAnsi="Calibri" w:eastAsia="宋体" w:cs="Calibri"/>
                <w:b w:val="0"/>
                <w:bCs w:val="0"/>
                <w:color w:val="auto"/>
                <w:kern w:val="2"/>
                <w:sz w:val="21"/>
                <w:szCs w:val="21"/>
                <w:highlight w:val="none"/>
                <w:vertAlign w:val="baseline"/>
                <w:lang w:val="en-US" w:eastAsia="zh-CN" w:bidi="ar"/>
              </w:rPr>
              <w:t>&lt;</w:t>
            </w:r>
            <w:r>
              <w:rPr>
                <w:rFonts w:hint="eastAsia" w:ascii="宋体" w:hAnsi="宋体" w:eastAsia="宋体" w:cs="宋体"/>
                <w:b w:val="0"/>
                <w:bCs w:val="0"/>
                <w:color w:val="auto"/>
                <w:kern w:val="2"/>
                <w:sz w:val="21"/>
                <w:szCs w:val="21"/>
                <w:highlight w:val="none"/>
                <w:vertAlign w:val="baseline"/>
                <w:lang w:val="en-US" w:eastAsia="zh-CN" w:bidi="ar"/>
              </w:rPr>
              <w:t>0.90</w:t>
            </w:r>
            <w:r>
              <w:rPr>
                <w:rFonts w:hint="eastAsia" w:ascii="宋体" w:hAnsi="宋体" w:eastAsia="宋体" w:cs="宋体"/>
                <w:color w:val="auto"/>
                <w:sz w:val="21"/>
                <w:szCs w:val="21"/>
                <w:highlight w:val="none"/>
                <w:vertAlign w:val="baseline"/>
              </w:rPr>
              <w:t>K</w:t>
            </w:r>
            <w:r>
              <w:rPr>
                <w:rFonts w:hint="eastAsia" w:ascii="宋体" w:hAnsi="宋体" w:eastAsia="宋体" w:cs="宋体"/>
                <w:color w:val="auto"/>
                <w:sz w:val="21"/>
                <w:szCs w:val="21"/>
                <w:highlight w:val="none"/>
                <w:vertAlign w:val="subscript"/>
              </w:rPr>
              <w:t>S</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或</w:t>
            </w:r>
            <w:r>
              <w:rPr>
                <w:rFonts w:hint="eastAsia" w:ascii="宋体" w:hAnsi="宋体" w:eastAsia="宋体" w:cs="宋体"/>
                <w:color w:val="auto"/>
                <w:sz w:val="21"/>
                <w:szCs w:val="21"/>
                <w:highlight w:val="none"/>
                <w:vertAlign w:val="baseline"/>
              </w:rPr>
              <w:t>K</w:t>
            </w:r>
            <w:r>
              <w:rPr>
                <w:rFonts w:hint="eastAsia" w:ascii="宋体" w:hAnsi="宋体" w:eastAsia="宋体" w:cs="宋体"/>
                <w:color w:val="auto"/>
                <w:sz w:val="21"/>
                <w:szCs w:val="21"/>
                <w:highlight w:val="none"/>
                <w:vertAlign w:val="subscript"/>
                <w:lang w:val="en-US" w:eastAsia="zh-CN"/>
              </w:rPr>
              <w:t>e</w:t>
            </w:r>
            <w:r>
              <w:rPr>
                <w:rFonts w:hint="eastAsia" w:ascii="宋体" w:hAnsi="宋体" w:eastAsia="宋体" w:cs="宋体"/>
                <w:color w:val="auto"/>
                <w:sz w:val="21"/>
                <w:szCs w:val="21"/>
                <w:highlight w:val="none"/>
                <w:vertAlign w:val="baseline"/>
                <w:lang w:eastAsia="zh-CN"/>
              </w:rPr>
              <w:t>）</w:t>
            </w:r>
          </w:p>
        </w:tc>
        <w:tc>
          <w:tcPr>
            <w:tcW w:w="1985" w:type="dxa"/>
            <w:shd w:val="clear" w:color="auto" w:fill="auto"/>
            <w:vAlign w:val="center"/>
          </w:tcPr>
          <w:p w14:paraId="08D55AEF">
            <w:pPr>
              <w:pStyle w:val="3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spacing w:val="8"/>
                <w:kern w:val="2"/>
                <w:sz w:val="21"/>
                <w:szCs w:val="21"/>
                <w:highlight w:val="none"/>
                <w:lang w:val="en-US" w:eastAsia="zh-CN" w:bidi="ar-SA"/>
              </w:rPr>
            </w:pPr>
            <w:r>
              <w:rPr>
                <w:rFonts w:hint="default" w:ascii="Calibri" w:hAnsi="Calibri" w:eastAsia="宋体" w:cs="Calibri"/>
                <w:b w:val="0"/>
                <w:bCs w:val="0"/>
                <w:color w:val="auto"/>
                <w:kern w:val="2"/>
                <w:sz w:val="21"/>
                <w:szCs w:val="21"/>
                <w:highlight w:val="none"/>
                <w:vertAlign w:val="baseline"/>
                <w:lang w:val="en-US" w:eastAsia="zh-CN" w:bidi="ar"/>
              </w:rPr>
              <w:t>&lt;</w:t>
            </w:r>
            <w:r>
              <w:rPr>
                <w:rFonts w:hint="eastAsia" w:ascii="宋体" w:hAnsi="宋体" w:eastAsia="宋体" w:cs="宋体"/>
                <w:b w:val="0"/>
                <w:bCs w:val="0"/>
                <w:color w:val="auto"/>
                <w:kern w:val="2"/>
                <w:sz w:val="21"/>
                <w:szCs w:val="21"/>
                <w:highlight w:val="none"/>
                <w:vertAlign w:val="baseline"/>
                <w:lang w:val="en-US" w:eastAsia="zh-CN" w:bidi="ar"/>
              </w:rPr>
              <w:t>0.87</w:t>
            </w:r>
            <w:r>
              <w:rPr>
                <w:rFonts w:hint="eastAsia" w:ascii="宋体" w:hAnsi="宋体" w:eastAsia="宋体" w:cs="宋体"/>
                <w:color w:val="auto"/>
                <w:sz w:val="21"/>
                <w:szCs w:val="21"/>
                <w:highlight w:val="none"/>
                <w:vertAlign w:val="baseline"/>
              </w:rPr>
              <w:t>K</w:t>
            </w:r>
            <w:r>
              <w:rPr>
                <w:rFonts w:hint="eastAsia" w:ascii="宋体" w:hAnsi="宋体" w:eastAsia="宋体" w:cs="宋体"/>
                <w:color w:val="auto"/>
                <w:sz w:val="21"/>
                <w:szCs w:val="21"/>
                <w:highlight w:val="none"/>
                <w:vertAlign w:val="subscript"/>
              </w:rPr>
              <w:t>S</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或</w:t>
            </w:r>
            <w:r>
              <w:rPr>
                <w:rFonts w:hint="eastAsia" w:ascii="宋体" w:hAnsi="宋体" w:eastAsia="宋体" w:cs="宋体"/>
                <w:color w:val="auto"/>
                <w:sz w:val="21"/>
                <w:szCs w:val="21"/>
                <w:highlight w:val="none"/>
                <w:vertAlign w:val="baseline"/>
              </w:rPr>
              <w:t>K</w:t>
            </w:r>
            <w:r>
              <w:rPr>
                <w:rFonts w:hint="eastAsia" w:ascii="宋体" w:hAnsi="宋体" w:eastAsia="宋体" w:cs="宋体"/>
                <w:color w:val="auto"/>
                <w:sz w:val="21"/>
                <w:szCs w:val="21"/>
                <w:highlight w:val="none"/>
                <w:vertAlign w:val="subscript"/>
                <w:lang w:val="en-US" w:eastAsia="zh-CN"/>
              </w:rPr>
              <w:t>e</w:t>
            </w:r>
            <w:r>
              <w:rPr>
                <w:rFonts w:hint="eastAsia" w:ascii="宋体" w:hAnsi="宋体" w:eastAsia="宋体" w:cs="宋体"/>
                <w:color w:val="auto"/>
                <w:sz w:val="21"/>
                <w:szCs w:val="21"/>
                <w:highlight w:val="none"/>
                <w:vertAlign w:val="baseline"/>
                <w:lang w:eastAsia="zh-CN"/>
              </w:rPr>
              <w:t>）</w:t>
            </w:r>
          </w:p>
        </w:tc>
      </w:tr>
    </w:tbl>
    <w:p w14:paraId="600C7FF9">
      <w:pPr>
        <w:keepNext w:val="0"/>
        <w:keepLines w:val="0"/>
        <w:widowControl w:val="0"/>
        <w:suppressLineNumbers w:val="0"/>
        <w:spacing w:before="0" w:beforeAutospacing="0" w:after="0" w:afterAutospacing="0" w:line="360" w:lineRule="auto"/>
        <w:ind w:right="0"/>
        <w:jc w:val="both"/>
        <w:rPr>
          <w:rFonts w:hint="default" w:ascii="Times New Roman" w:hAnsi="Times New Roman" w:eastAsia="宋体" w:cs="Times New Roman"/>
          <w:b w:val="0"/>
          <w:bCs w:val="0"/>
          <w:color w:val="auto"/>
          <w:kern w:val="2"/>
          <w:sz w:val="28"/>
          <w:szCs w:val="28"/>
          <w:highlight w:val="none"/>
          <w:lang w:val="en-US" w:eastAsia="zh-CN" w:bidi="ar"/>
        </w:rPr>
      </w:pPr>
      <w:r>
        <w:rPr>
          <w:rFonts w:hint="eastAsia" w:ascii="宋体" w:hAnsi="宋体" w:eastAsia="宋体" w:cs="宋体"/>
          <w:color w:val="auto"/>
          <w:sz w:val="21"/>
          <w:szCs w:val="21"/>
          <w:highlight w:val="none"/>
          <w:vertAlign w:val="baseline"/>
        </w:rPr>
        <w:t>注</w:t>
      </w:r>
      <w:r>
        <w:rPr>
          <w:rFonts w:hint="eastAsia" w:ascii="宋体" w:hAnsi="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K</w:t>
      </w:r>
      <w:r>
        <w:rPr>
          <w:rFonts w:hint="eastAsia" w:ascii="宋体" w:hAnsi="宋体" w:eastAsia="宋体" w:cs="宋体"/>
          <w:color w:val="auto"/>
          <w:sz w:val="21"/>
          <w:szCs w:val="21"/>
          <w:highlight w:val="none"/>
          <w:vertAlign w:val="subscript"/>
        </w:rPr>
        <w:t>S</w:t>
      </w:r>
      <w:r>
        <w:rPr>
          <w:rFonts w:hint="eastAsia" w:ascii="宋体" w:hAnsi="宋体" w:eastAsia="宋体" w:cs="宋体"/>
          <w:color w:val="auto"/>
          <w:sz w:val="21"/>
          <w:szCs w:val="21"/>
          <w:highlight w:val="none"/>
          <w:vertAlign w:val="baseline"/>
        </w:rPr>
        <w:t>为抗滑稳定安全系数</w:t>
      </w:r>
      <w:r>
        <w:rPr>
          <w:rFonts w:hint="eastAsia" w:ascii="宋体" w:hAnsi="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K</w:t>
      </w:r>
      <w:r>
        <w:rPr>
          <w:rFonts w:hint="eastAsia" w:ascii="宋体" w:hAnsi="宋体" w:cs="宋体"/>
          <w:color w:val="auto"/>
          <w:sz w:val="21"/>
          <w:szCs w:val="21"/>
          <w:highlight w:val="none"/>
          <w:vertAlign w:val="subscript"/>
          <w:lang w:val="en-US" w:eastAsia="zh-CN"/>
        </w:rPr>
        <w:t>e</w:t>
      </w:r>
      <w:r>
        <w:rPr>
          <w:rFonts w:hint="eastAsia" w:ascii="宋体" w:hAnsi="宋体" w:eastAsia="宋体" w:cs="宋体"/>
          <w:color w:val="auto"/>
          <w:sz w:val="21"/>
          <w:szCs w:val="21"/>
          <w:highlight w:val="none"/>
          <w:vertAlign w:val="baseline"/>
        </w:rPr>
        <w:t>为</w:t>
      </w:r>
      <w:r>
        <w:rPr>
          <w:rFonts w:hint="eastAsia" w:ascii="宋体" w:hAnsi="宋体" w:eastAsia="宋体" w:cs="宋体"/>
          <w:color w:val="auto"/>
          <w:sz w:val="21"/>
          <w:szCs w:val="21"/>
          <w:highlight w:val="none"/>
          <w:vertAlign w:val="baseline"/>
          <w:lang w:val="en-US" w:eastAsia="zh-CN"/>
        </w:rPr>
        <w:t>倾覆</w:t>
      </w:r>
      <w:r>
        <w:rPr>
          <w:rFonts w:hint="eastAsia" w:ascii="宋体" w:hAnsi="宋体" w:eastAsia="宋体" w:cs="宋体"/>
          <w:color w:val="auto"/>
          <w:sz w:val="21"/>
          <w:szCs w:val="21"/>
          <w:highlight w:val="none"/>
          <w:vertAlign w:val="baseline"/>
        </w:rPr>
        <w:t>稳定安全系数,取值根据现行行业标准《建筑基坑支护技术规程》JGJ120</w:t>
      </w:r>
      <w:r>
        <w:rPr>
          <w:rFonts w:hint="eastAsia" w:ascii="宋体" w:hAnsi="宋体" w:cs="宋体"/>
          <w:color w:val="auto"/>
          <w:sz w:val="21"/>
          <w:szCs w:val="21"/>
          <w:highlight w:val="none"/>
          <w:vertAlign w:val="baseline"/>
          <w:lang w:eastAsia="zh-CN"/>
        </w:rPr>
        <w:t>、《</w:t>
      </w:r>
      <w:r>
        <w:rPr>
          <w:rFonts w:hint="eastAsia" w:ascii="宋体" w:hAnsi="宋体" w:cs="宋体"/>
          <w:color w:val="auto"/>
          <w:sz w:val="21"/>
          <w:szCs w:val="21"/>
          <w:highlight w:val="none"/>
          <w:vertAlign w:val="baseline"/>
          <w:lang w:val="en-US" w:eastAsia="zh-CN"/>
        </w:rPr>
        <w:t>四川省基坑工程勘察设计技术标准</w:t>
      </w:r>
      <w:r>
        <w:rPr>
          <w:rFonts w:hint="eastAsia" w:ascii="宋体" w:hAnsi="宋体" w:cs="宋体"/>
          <w:color w:val="auto"/>
          <w:sz w:val="21"/>
          <w:szCs w:val="21"/>
          <w:highlight w:val="none"/>
          <w:vertAlign w:val="baseline"/>
          <w:lang w:eastAsia="zh-CN"/>
        </w:rPr>
        <w:t>》</w:t>
      </w:r>
      <w:r>
        <w:rPr>
          <w:rFonts w:hint="eastAsia" w:ascii="宋体" w:hAnsi="宋体" w:cs="宋体"/>
          <w:color w:val="auto"/>
          <w:sz w:val="21"/>
          <w:szCs w:val="21"/>
          <w:highlight w:val="none"/>
          <w:vertAlign w:val="baseline"/>
          <w:lang w:val="en-US" w:eastAsia="zh-CN"/>
        </w:rPr>
        <w:t>DBJ51/T236</w:t>
      </w:r>
      <w:r>
        <w:rPr>
          <w:rFonts w:hint="eastAsia" w:ascii="宋体" w:hAnsi="宋体" w:eastAsia="宋体" w:cs="宋体"/>
          <w:color w:val="auto"/>
          <w:sz w:val="21"/>
          <w:szCs w:val="21"/>
          <w:highlight w:val="none"/>
          <w:vertAlign w:val="baseline"/>
        </w:rPr>
        <w:t>有关规定确定。</w:t>
      </w:r>
    </w:p>
    <w:p w14:paraId="479A50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eastAsia" w:ascii="Times New Roman" w:hAnsi="Times New Roman" w:eastAsia="宋体" w:cs="Times New Roman"/>
          <w:b w:val="0"/>
          <w:bCs w:val="0"/>
          <w:color w:val="auto"/>
          <w:kern w:val="2"/>
          <w:sz w:val="24"/>
          <w:szCs w:val="24"/>
          <w:highlight w:val="none"/>
          <w:lang w:val="en-US" w:eastAsia="zh-CN" w:bidi="ar"/>
        </w:rPr>
        <w:t>4</w:t>
      </w:r>
      <w:r>
        <w:rPr>
          <w:rFonts w:hint="default" w:ascii="Times New Roman" w:hAnsi="Times New Roman" w:eastAsia="宋体" w:cs="Times New Roman"/>
          <w:b w:val="0"/>
          <w:bCs w:val="0"/>
          <w:color w:val="auto"/>
          <w:kern w:val="2"/>
          <w:sz w:val="24"/>
          <w:szCs w:val="24"/>
          <w:highlight w:val="none"/>
          <w:lang w:val="en-US" w:eastAsia="zh-CN" w:bidi="ar"/>
        </w:rPr>
        <w:t>支护结构应按本条第1、2</w:t>
      </w:r>
      <w:r>
        <w:rPr>
          <w:rFonts w:hint="eastAsia" w:ascii="Times New Roman" w:hAnsi="Times New Roman" w:eastAsia="宋体" w:cs="Times New Roman"/>
          <w:b w:val="0"/>
          <w:bCs w:val="0"/>
          <w:color w:val="auto"/>
          <w:kern w:val="2"/>
          <w:sz w:val="24"/>
          <w:szCs w:val="24"/>
          <w:highlight w:val="none"/>
          <w:lang w:val="en-US" w:eastAsia="zh-CN" w:bidi="ar"/>
        </w:rPr>
        <w:t>、3</w:t>
      </w:r>
      <w:r>
        <w:rPr>
          <w:rFonts w:hint="default" w:ascii="Times New Roman" w:hAnsi="Times New Roman" w:eastAsia="宋体" w:cs="Times New Roman"/>
          <w:b w:val="0"/>
          <w:bCs w:val="0"/>
          <w:color w:val="auto"/>
          <w:kern w:val="2"/>
          <w:sz w:val="24"/>
          <w:szCs w:val="24"/>
          <w:highlight w:val="none"/>
          <w:lang w:val="en-US" w:eastAsia="zh-CN" w:bidi="ar"/>
        </w:rPr>
        <w:t>款的较低评定等级作为支护结构的评级结果。</w:t>
      </w:r>
    </w:p>
    <w:p w14:paraId="31AC51E0">
      <w:pPr>
        <w:keepNext w:val="0"/>
        <w:keepLines w:val="0"/>
        <w:widowControl w:val="0"/>
        <w:suppressLineNumbers w:val="0"/>
        <w:spacing w:before="0" w:beforeAutospacing="0" w:after="0" w:afterAutospacing="0" w:line="360" w:lineRule="auto"/>
        <w:ind w:left="0" w:right="0"/>
        <w:jc w:val="both"/>
        <w:rPr>
          <w:rFonts w:hint="default" w:ascii="楷体" w:hAnsi="楷体" w:eastAsia="楷体" w:cs="楷体"/>
          <w:color w:val="auto"/>
          <w:kern w:val="2"/>
          <w:sz w:val="24"/>
          <w:szCs w:val="24"/>
          <w:highlight w:val="none"/>
          <w:u w:val="single"/>
          <w:lang w:val="en-US" w:eastAsia="zh-CN" w:bidi="ar"/>
        </w:rPr>
      </w:pPr>
      <w:r>
        <w:rPr>
          <w:rFonts w:hint="default" w:ascii="楷体" w:hAnsi="楷体" w:eastAsia="楷体" w:cs="楷体"/>
          <w:color w:val="auto"/>
          <w:kern w:val="2"/>
          <w:sz w:val="24"/>
          <w:szCs w:val="24"/>
          <w:highlight w:val="none"/>
          <w:u w:val="single"/>
          <w:lang w:val="en-US" w:eastAsia="zh-CN" w:bidi="ar"/>
        </w:rPr>
        <w:t>【条文说明】4.</w:t>
      </w:r>
      <w:r>
        <w:rPr>
          <w:rFonts w:hint="eastAsia" w:ascii="楷体" w:hAnsi="楷体" w:eastAsia="楷体" w:cs="楷体"/>
          <w:color w:val="auto"/>
          <w:kern w:val="2"/>
          <w:sz w:val="24"/>
          <w:szCs w:val="24"/>
          <w:highlight w:val="none"/>
          <w:u w:val="single"/>
          <w:lang w:val="en-US" w:eastAsia="zh-CN" w:bidi="ar"/>
        </w:rPr>
        <w:t>6</w:t>
      </w:r>
      <w:r>
        <w:rPr>
          <w:rFonts w:hint="default" w:ascii="楷体" w:hAnsi="楷体" w:eastAsia="楷体" w:cs="楷体"/>
          <w:color w:val="auto"/>
          <w:kern w:val="2"/>
          <w:sz w:val="24"/>
          <w:szCs w:val="24"/>
          <w:highlight w:val="none"/>
          <w:u w:val="single"/>
          <w:lang w:val="en-US" w:eastAsia="zh-CN" w:bidi="ar"/>
        </w:rPr>
        <w:t>.</w:t>
      </w:r>
      <w:r>
        <w:rPr>
          <w:rFonts w:hint="eastAsia" w:ascii="楷体" w:hAnsi="楷体" w:eastAsia="楷体" w:cs="楷体"/>
          <w:color w:val="auto"/>
          <w:kern w:val="2"/>
          <w:sz w:val="24"/>
          <w:szCs w:val="24"/>
          <w:highlight w:val="none"/>
          <w:u w:val="single"/>
          <w:lang w:val="en-US" w:eastAsia="zh-CN" w:bidi="ar"/>
        </w:rPr>
        <w:t>9</w:t>
      </w:r>
      <w:r>
        <w:rPr>
          <w:rFonts w:hint="default" w:ascii="楷体" w:hAnsi="楷体" w:eastAsia="楷体" w:cs="楷体"/>
          <w:color w:val="auto"/>
          <w:kern w:val="2"/>
          <w:sz w:val="24"/>
          <w:szCs w:val="24"/>
          <w:highlight w:val="none"/>
          <w:u w:val="single"/>
          <w:lang w:val="en-US" w:eastAsia="zh-CN" w:bidi="ar"/>
        </w:rPr>
        <w:t>支护结构子单元安全性评定包含支护结构的整体性、承载功能和变形</w:t>
      </w:r>
      <w:r>
        <w:rPr>
          <w:rFonts w:hint="eastAsia" w:ascii="楷体" w:hAnsi="楷体" w:eastAsia="楷体" w:cs="楷体"/>
          <w:color w:val="auto"/>
          <w:kern w:val="2"/>
          <w:sz w:val="24"/>
          <w:szCs w:val="24"/>
          <w:highlight w:val="none"/>
          <w:u w:val="single"/>
          <w:lang w:val="en-US" w:eastAsia="zh-CN" w:bidi="ar"/>
        </w:rPr>
        <w:t>、稳定性三</w:t>
      </w:r>
      <w:r>
        <w:rPr>
          <w:rFonts w:hint="default" w:ascii="楷体" w:hAnsi="楷体" w:eastAsia="楷体" w:cs="楷体"/>
          <w:color w:val="auto"/>
          <w:kern w:val="2"/>
          <w:sz w:val="24"/>
          <w:szCs w:val="24"/>
          <w:highlight w:val="none"/>
          <w:u w:val="single"/>
          <w:lang w:val="en-US" w:eastAsia="zh-CN" w:bidi="ar"/>
        </w:rPr>
        <w:t>项具体内容。</w:t>
      </w:r>
    </w:p>
    <w:p w14:paraId="13415588">
      <w:pPr>
        <w:keepNext w:val="0"/>
        <w:keepLines w:val="0"/>
        <w:widowControl w:val="0"/>
        <w:suppressLineNumbers w:val="0"/>
        <w:spacing w:before="0" w:beforeAutospacing="0" w:after="0" w:afterAutospacing="0" w:line="360" w:lineRule="auto"/>
        <w:ind w:left="0" w:right="0" w:firstLine="480" w:firstLineChars="200"/>
        <w:jc w:val="both"/>
        <w:rPr>
          <w:rFonts w:hint="default" w:ascii="楷体" w:hAnsi="楷体" w:eastAsia="楷体" w:cs="楷体"/>
          <w:color w:val="auto"/>
          <w:kern w:val="2"/>
          <w:sz w:val="24"/>
          <w:szCs w:val="24"/>
          <w:highlight w:val="none"/>
          <w:u w:val="single"/>
          <w:lang w:val="en-US" w:eastAsia="zh-CN" w:bidi="ar"/>
        </w:rPr>
      </w:pPr>
      <w:r>
        <w:rPr>
          <w:rFonts w:hint="eastAsia" w:ascii="楷体" w:hAnsi="楷体" w:eastAsia="楷体" w:cs="楷体"/>
          <w:color w:val="auto"/>
          <w:kern w:val="2"/>
          <w:sz w:val="24"/>
          <w:szCs w:val="24"/>
          <w:highlight w:val="none"/>
          <w:u w:val="single"/>
          <w:lang w:val="en-US" w:eastAsia="zh-CN" w:bidi="ar"/>
        </w:rPr>
        <w:t>因</w:t>
      </w:r>
      <w:r>
        <w:rPr>
          <w:rFonts w:hint="default" w:ascii="楷体" w:hAnsi="楷体" w:eastAsia="楷体" w:cs="楷体"/>
          <w:color w:val="auto"/>
          <w:kern w:val="2"/>
          <w:sz w:val="24"/>
          <w:szCs w:val="24"/>
          <w:highlight w:val="none"/>
          <w:u w:val="single"/>
          <w:lang w:val="en-US" w:eastAsia="zh-CN" w:bidi="ar"/>
        </w:rPr>
        <w:t>基坑支护结构类型、构造、连接的不同，支护结构发挥的效能有很大差别，不同基坑工程设计单位</w:t>
      </w:r>
      <w:r>
        <w:rPr>
          <w:rFonts w:hint="eastAsia" w:ascii="楷体" w:hAnsi="楷体" w:eastAsia="楷体" w:cs="楷体"/>
          <w:color w:val="auto"/>
          <w:kern w:val="2"/>
          <w:sz w:val="24"/>
          <w:szCs w:val="24"/>
          <w:highlight w:val="none"/>
          <w:u w:val="single"/>
          <w:lang w:val="en-US" w:eastAsia="zh-CN" w:bidi="ar"/>
        </w:rPr>
        <w:t>可能</w:t>
      </w:r>
      <w:r>
        <w:rPr>
          <w:rFonts w:hint="default" w:ascii="楷体" w:hAnsi="楷体" w:eastAsia="楷体" w:cs="楷体"/>
          <w:color w:val="auto"/>
          <w:kern w:val="2"/>
          <w:sz w:val="24"/>
          <w:szCs w:val="24"/>
          <w:highlight w:val="none"/>
          <w:u w:val="single"/>
          <w:lang w:val="en-US" w:eastAsia="zh-CN" w:bidi="ar"/>
        </w:rPr>
        <w:t>有不同的工程经验；当其连接构造和连接本身不满足支护结构有效传递外部作用时，应直接评定为C或D级。</w:t>
      </w:r>
    </w:p>
    <w:p w14:paraId="4F1202C8">
      <w:pPr>
        <w:keepNext w:val="0"/>
        <w:keepLines w:val="0"/>
        <w:widowControl w:val="0"/>
        <w:suppressLineNumbers w:val="0"/>
        <w:spacing w:before="0" w:beforeAutospacing="0" w:after="0" w:afterAutospacing="0" w:line="360" w:lineRule="auto"/>
        <w:ind w:left="0" w:right="0" w:firstLine="480" w:firstLineChars="200"/>
        <w:jc w:val="both"/>
        <w:rPr>
          <w:rFonts w:hint="default" w:ascii="楷体" w:hAnsi="楷体" w:eastAsia="楷体" w:cs="楷体"/>
          <w:color w:val="auto"/>
          <w:kern w:val="2"/>
          <w:sz w:val="24"/>
          <w:szCs w:val="24"/>
          <w:highlight w:val="none"/>
          <w:u w:val="single"/>
          <w:lang w:val="en-US" w:eastAsia="zh-CN" w:bidi="ar"/>
        </w:rPr>
      </w:pPr>
      <w:r>
        <w:rPr>
          <w:rFonts w:hint="default" w:ascii="楷体" w:hAnsi="楷体" w:eastAsia="楷体" w:cs="楷体"/>
          <w:color w:val="auto"/>
          <w:kern w:val="2"/>
          <w:sz w:val="24"/>
          <w:szCs w:val="24"/>
          <w:highlight w:val="none"/>
          <w:u w:val="single"/>
          <w:lang w:val="en-US" w:eastAsia="zh-CN" w:bidi="ar"/>
        </w:rPr>
        <w:t>当按支护结构承载性能和变形评定支护结构安全性等级时，除应考虑构件的评定等级外，还应考虑鉴定单元中支护结构的变形，不同变形表现了支护结构的不同安全状态，</w:t>
      </w:r>
      <w:r>
        <w:rPr>
          <w:rFonts w:hint="eastAsia" w:ascii="楷体" w:hAnsi="楷体" w:eastAsia="楷体" w:cs="楷体"/>
          <w:color w:val="auto"/>
          <w:kern w:val="2"/>
          <w:sz w:val="24"/>
          <w:szCs w:val="24"/>
          <w:highlight w:val="none"/>
          <w:u w:val="single"/>
          <w:lang w:val="en-US" w:eastAsia="zh-CN" w:bidi="ar"/>
        </w:rPr>
        <w:t>因</w:t>
      </w:r>
      <w:r>
        <w:rPr>
          <w:rFonts w:hint="default" w:ascii="楷体" w:hAnsi="楷体" w:eastAsia="楷体" w:cs="楷体"/>
          <w:color w:val="auto"/>
          <w:kern w:val="2"/>
          <w:sz w:val="24"/>
          <w:szCs w:val="24"/>
          <w:highlight w:val="none"/>
          <w:u w:val="single"/>
          <w:lang w:val="en-US" w:eastAsia="zh-CN" w:bidi="ar"/>
        </w:rPr>
        <w:t>岩土体特性的差异，支护结构变形控制指标也有很大差别</w:t>
      </w:r>
      <w:r>
        <w:rPr>
          <w:rFonts w:hint="eastAsia" w:ascii="楷体" w:hAnsi="楷体" w:eastAsia="楷体" w:cs="楷体"/>
          <w:color w:val="auto"/>
          <w:kern w:val="2"/>
          <w:sz w:val="24"/>
          <w:szCs w:val="24"/>
          <w:highlight w:val="none"/>
          <w:u w:val="single"/>
          <w:lang w:val="en-US" w:eastAsia="zh-CN" w:bidi="ar"/>
        </w:rPr>
        <w:t>。据此</w:t>
      </w:r>
      <w:r>
        <w:rPr>
          <w:rFonts w:hint="default" w:ascii="楷体" w:hAnsi="楷体" w:eastAsia="楷体" w:cs="楷体"/>
          <w:color w:val="auto"/>
          <w:kern w:val="2"/>
          <w:sz w:val="24"/>
          <w:szCs w:val="24"/>
          <w:highlight w:val="none"/>
          <w:u w:val="single"/>
          <w:lang w:val="en-US" w:eastAsia="zh-CN" w:bidi="ar"/>
        </w:rPr>
        <w:t>，可根据</w:t>
      </w:r>
      <w:r>
        <w:rPr>
          <w:rFonts w:hint="eastAsia" w:ascii="楷体" w:hAnsi="楷体" w:eastAsia="楷体" w:cs="楷体"/>
          <w:color w:val="auto"/>
          <w:kern w:val="2"/>
          <w:sz w:val="24"/>
          <w:szCs w:val="24"/>
          <w:highlight w:val="none"/>
          <w:u w:val="single"/>
          <w:lang w:val="en-US" w:eastAsia="zh-CN" w:bidi="ar"/>
        </w:rPr>
        <w:t>四川</w:t>
      </w:r>
      <w:r>
        <w:rPr>
          <w:rFonts w:hint="default" w:ascii="楷体" w:hAnsi="楷体" w:eastAsia="楷体" w:cs="楷体"/>
          <w:color w:val="auto"/>
          <w:kern w:val="2"/>
          <w:sz w:val="24"/>
          <w:szCs w:val="24"/>
          <w:highlight w:val="none"/>
          <w:u w:val="single"/>
          <w:lang w:val="en-US" w:eastAsia="zh-CN" w:bidi="ar"/>
        </w:rPr>
        <w:t>省各地区岩土体特性和当地工程实践经验，对已变形支护结构，当</w:t>
      </w:r>
      <w:r>
        <w:rPr>
          <w:rFonts w:hint="eastAsia" w:ascii="楷体" w:hAnsi="楷体" w:eastAsia="楷体" w:cs="楷体"/>
          <w:color w:val="auto"/>
          <w:kern w:val="2"/>
          <w:sz w:val="24"/>
          <w:szCs w:val="24"/>
          <w:highlight w:val="none"/>
          <w:u w:val="single"/>
          <w:lang w:val="en-US" w:eastAsia="zh-CN" w:bidi="ar"/>
        </w:rPr>
        <w:t>基坑累计变形或变形速率超过设计变形预警值时，可定性鉴定基坑为不稳定状态，</w:t>
      </w:r>
      <w:r>
        <w:rPr>
          <w:rFonts w:hint="default" w:ascii="楷体" w:hAnsi="楷体" w:eastAsia="楷体" w:cs="楷体"/>
          <w:color w:val="auto"/>
          <w:kern w:val="2"/>
          <w:sz w:val="24"/>
          <w:szCs w:val="24"/>
          <w:highlight w:val="none"/>
          <w:u w:val="single"/>
          <w:lang w:val="en-US" w:eastAsia="zh-CN" w:bidi="ar"/>
        </w:rPr>
        <w:t>其变形严重影响支护结构安全性时，应直接评定为D级。对支护结构子单元，应进行支护结构整体性评级、承载性能和变形评级，并将两种评级方式中的最低评定等级作为支护结构子单元的最终评定等级。在具体界定子单元评级时，本规范参考现行国家标准《工业建筑可靠性鉴定标准》GB50144、《民用建筑可靠性鉴定标准》GB50292</w:t>
      </w:r>
      <w:r>
        <w:rPr>
          <w:rFonts w:hint="eastAsia" w:ascii="楷体" w:hAnsi="楷体" w:eastAsia="楷体" w:cs="楷体"/>
          <w:color w:val="auto"/>
          <w:kern w:val="2"/>
          <w:sz w:val="24"/>
          <w:szCs w:val="24"/>
          <w:highlight w:val="none"/>
          <w:u w:val="single"/>
          <w:lang w:val="en-US" w:eastAsia="zh-CN" w:bidi="ar"/>
        </w:rPr>
        <w:t>、《建筑边坡工程鉴定与加固技术规范》GB50843</w:t>
      </w:r>
      <w:r>
        <w:rPr>
          <w:rFonts w:hint="default" w:ascii="楷体" w:hAnsi="楷体" w:eastAsia="楷体" w:cs="楷体"/>
          <w:color w:val="auto"/>
          <w:kern w:val="2"/>
          <w:sz w:val="24"/>
          <w:szCs w:val="24"/>
          <w:highlight w:val="none"/>
          <w:u w:val="single"/>
          <w:lang w:val="en-US" w:eastAsia="zh-CN" w:bidi="ar"/>
        </w:rPr>
        <w:t>的有关规定，规定在抽检构件的“构件集”中，不同等级构件数量所占比例作为判定等级的标准。</w:t>
      </w:r>
    </w:p>
    <w:p w14:paraId="52FC2ABE">
      <w:pPr>
        <w:keepNext w:val="0"/>
        <w:keepLines w:val="0"/>
        <w:widowControl w:val="0"/>
        <w:suppressLineNumbers w:val="0"/>
        <w:spacing w:before="0" w:beforeAutospacing="0" w:after="0" w:afterAutospacing="0" w:line="360" w:lineRule="auto"/>
        <w:ind w:right="0"/>
        <w:jc w:val="both"/>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bCs/>
          <w:color w:val="auto"/>
          <w:kern w:val="2"/>
          <w:sz w:val="24"/>
          <w:szCs w:val="24"/>
          <w:highlight w:val="none"/>
          <w:lang w:val="en-US" w:eastAsia="zh-CN" w:bidi="ar"/>
        </w:rPr>
        <w:t>4.</w:t>
      </w:r>
      <w:r>
        <w:rPr>
          <w:rFonts w:hint="eastAsia" w:cs="Times New Roman"/>
          <w:b/>
          <w:bCs/>
          <w:color w:val="auto"/>
          <w:kern w:val="2"/>
          <w:sz w:val="24"/>
          <w:szCs w:val="24"/>
          <w:highlight w:val="none"/>
          <w:lang w:val="en-US" w:eastAsia="zh-CN" w:bidi="ar"/>
        </w:rPr>
        <w:t>6</w:t>
      </w:r>
      <w:r>
        <w:rPr>
          <w:rFonts w:hint="default" w:ascii="Times New Roman" w:hAnsi="Times New Roman" w:eastAsia="宋体" w:cs="Times New Roman"/>
          <w:b/>
          <w:bCs/>
          <w:color w:val="auto"/>
          <w:kern w:val="2"/>
          <w:sz w:val="24"/>
          <w:szCs w:val="24"/>
          <w:highlight w:val="none"/>
          <w:lang w:val="en-US" w:eastAsia="zh-CN" w:bidi="ar"/>
        </w:rPr>
        <w:t>.</w:t>
      </w:r>
      <w:r>
        <w:rPr>
          <w:rFonts w:hint="eastAsia" w:cs="Times New Roman"/>
          <w:b/>
          <w:bCs/>
          <w:color w:val="auto"/>
          <w:kern w:val="2"/>
          <w:sz w:val="24"/>
          <w:szCs w:val="24"/>
          <w:highlight w:val="none"/>
          <w:lang w:val="en-US" w:eastAsia="zh-CN" w:bidi="ar"/>
        </w:rPr>
        <w:t>10</w:t>
      </w:r>
      <w:r>
        <w:rPr>
          <w:rFonts w:hint="eastAsia" w:cs="Times New Roman"/>
          <w:b w:val="0"/>
          <w:bCs w:val="0"/>
          <w:color w:val="auto"/>
          <w:kern w:val="2"/>
          <w:sz w:val="24"/>
          <w:szCs w:val="24"/>
          <w:highlight w:val="none"/>
          <w:lang w:val="en-US" w:eastAsia="zh-CN" w:bidi="ar"/>
        </w:rPr>
        <w:t>地表水及地下水控制</w:t>
      </w:r>
      <w:r>
        <w:rPr>
          <w:rFonts w:hint="default" w:ascii="Times New Roman" w:hAnsi="Times New Roman" w:eastAsia="宋体" w:cs="Times New Roman"/>
          <w:b w:val="0"/>
          <w:bCs w:val="0"/>
          <w:color w:val="auto"/>
          <w:kern w:val="2"/>
          <w:sz w:val="24"/>
          <w:szCs w:val="24"/>
          <w:highlight w:val="none"/>
          <w:lang w:val="en-US" w:eastAsia="zh-CN" w:bidi="ar"/>
        </w:rPr>
        <w:t>的安全性应对</w:t>
      </w:r>
      <w:r>
        <w:rPr>
          <w:rFonts w:hint="eastAsia" w:ascii="Times New Roman" w:hAnsi="Times New Roman" w:cs="Times New Roman"/>
          <w:b w:val="0"/>
          <w:bCs w:val="0"/>
          <w:color w:val="auto"/>
          <w:kern w:val="2"/>
          <w:sz w:val="24"/>
          <w:szCs w:val="24"/>
          <w:highlight w:val="none"/>
          <w:lang w:val="en-US" w:eastAsia="zh-CN" w:bidi="ar"/>
        </w:rPr>
        <w:t>截</w:t>
      </w:r>
      <w:r>
        <w:rPr>
          <w:rFonts w:hint="default" w:ascii="Times New Roman" w:hAnsi="Times New Roman" w:eastAsia="宋体" w:cs="Times New Roman"/>
          <w:b w:val="0"/>
          <w:bCs w:val="0"/>
          <w:color w:val="auto"/>
          <w:kern w:val="2"/>
          <w:sz w:val="24"/>
          <w:szCs w:val="24"/>
          <w:highlight w:val="none"/>
          <w:lang w:val="en-US" w:eastAsia="zh-CN" w:bidi="ar"/>
        </w:rPr>
        <w:t>排水工程或系统的</w:t>
      </w:r>
      <w:r>
        <w:rPr>
          <w:rFonts w:hint="eastAsia" w:ascii="Times New Roman" w:hAnsi="Times New Roman" w:cs="Times New Roman"/>
          <w:b w:val="0"/>
          <w:bCs w:val="0"/>
          <w:color w:val="auto"/>
          <w:kern w:val="2"/>
          <w:sz w:val="24"/>
          <w:szCs w:val="24"/>
          <w:highlight w:val="none"/>
          <w:lang w:val="en-US" w:eastAsia="zh-CN" w:bidi="ar"/>
        </w:rPr>
        <w:t>截</w:t>
      </w:r>
      <w:r>
        <w:rPr>
          <w:rFonts w:hint="default" w:ascii="Times New Roman" w:hAnsi="Times New Roman" w:eastAsia="宋体" w:cs="Times New Roman"/>
          <w:b w:val="0"/>
          <w:bCs w:val="0"/>
          <w:color w:val="auto"/>
          <w:kern w:val="2"/>
          <w:sz w:val="24"/>
          <w:szCs w:val="24"/>
          <w:highlight w:val="none"/>
          <w:lang w:val="en-US" w:eastAsia="zh-CN" w:bidi="ar"/>
        </w:rPr>
        <w:t>排水功能进行评定。</w:t>
      </w:r>
      <w:r>
        <w:rPr>
          <w:rFonts w:hint="eastAsia" w:ascii="Times New Roman" w:hAnsi="Times New Roman" w:cs="Times New Roman"/>
          <w:b w:val="0"/>
          <w:bCs w:val="0"/>
          <w:color w:val="auto"/>
          <w:kern w:val="2"/>
          <w:sz w:val="24"/>
          <w:szCs w:val="24"/>
          <w:highlight w:val="none"/>
          <w:lang w:val="en-US" w:eastAsia="zh-CN" w:bidi="ar"/>
        </w:rPr>
        <w:t>根据截</w:t>
      </w:r>
      <w:r>
        <w:rPr>
          <w:rFonts w:hint="default" w:ascii="Times New Roman" w:hAnsi="Times New Roman" w:eastAsia="宋体" w:cs="Times New Roman"/>
          <w:b w:val="0"/>
          <w:bCs w:val="0"/>
          <w:color w:val="auto"/>
          <w:kern w:val="2"/>
          <w:sz w:val="24"/>
          <w:szCs w:val="24"/>
          <w:highlight w:val="none"/>
          <w:lang w:val="en-US" w:eastAsia="zh-CN" w:bidi="ar"/>
        </w:rPr>
        <w:t>排水工程或系统失效</w:t>
      </w:r>
      <w:r>
        <w:rPr>
          <w:rFonts w:hint="eastAsia" w:ascii="Times New Roman" w:hAnsi="Times New Roman" w:cs="Times New Roman"/>
          <w:b w:val="0"/>
          <w:bCs w:val="0"/>
          <w:color w:val="auto"/>
          <w:kern w:val="2"/>
          <w:sz w:val="24"/>
          <w:szCs w:val="24"/>
          <w:highlight w:val="none"/>
          <w:lang w:val="en-US" w:eastAsia="zh-CN" w:bidi="ar"/>
        </w:rPr>
        <w:t>对</w:t>
      </w:r>
      <w:r>
        <w:rPr>
          <w:rFonts w:hint="default" w:ascii="Times New Roman" w:hAnsi="Times New Roman" w:eastAsia="宋体" w:cs="Times New Roman"/>
          <w:b w:val="0"/>
          <w:bCs w:val="0"/>
          <w:color w:val="auto"/>
          <w:kern w:val="2"/>
          <w:sz w:val="24"/>
          <w:szCs w:val="24"/>
          <w:highlight w:val="none"/>
          <w:lang w:val="en-US" w:eastAsia="zh-CN" w:bidi="ar"/>
        </w:rPr>
        <w:t>基坑工程</w:t>
      </w:r>
      <w:r>
        <w:rPr>
          <w:rFonts w:hint="eastAsia" w:ascii="Times New Roman" w:hAnsi="Times New Roman" w:cs="Times New Roman"/>
          <w:b w:val="0"/>
          <w:bCs w:val="0"/>
          <w:color w:val="auto"/>
          <w:kern w:val="2"/>
          <w:sz w:val="24"/>
          <w:szCs w:val="24"/>
          <w:highlight w:val="none"/>
          <w:lang w:val="en-US" w:eastAsia="zh-CN" w:bidi="ar"/>
        </w:rPr>
        <w:t>截</w:t>
      </w:r>
      <w:r>
        <w:rPr>
          <w:rFonts w:hint="default" w:ascii="Times New Roman" w:hAnsi="Times New Roman" w:eastAsia="宋体" w:cs="Times New Roman"/>
          <w:b w:val="0"/>
          <w:bCs w:val="0"/>
          <w:color w:val="auto"/>
          <w:kern w:val="2"/>
          <w:sz w:val="24"/>
          <w:szCs w:val="24"/>
          <w:highlight w:val="none"/>
          <w:lang w:val="en-US" w:eastAsia="zh-CN" w:bidi="ar"/>
        </w:rPr>
        <w:t>排水功能</w:t>
      </w:r>
      <w:r>
        <w:rPr>
          <w:rFonts w:hint="eastAsia" w:ascii="Times New Roman" w:hAnsi="Times New Roman" w:cs="Times New Roman"/>
          <w:b w:val="0"/>
          <w:bCs w:val="0"/>
          <w:color w:val="auto"/>
          <w:kern w:val="2"/>
          <w:sz w:val="24"/>
          <w:szCs w:val="24"/>
          <w:highlight w:val="none"/>
          <w:lang w:val="en-US" w:eastAsia="zh-CN" w:bidi="ar"/>
        </w:rPr>
        <w:t>有无</w:t>
      </w:r>
      <w:r>
        <w:rPr>
          <w:rFonts w:hint="default" w:ascii="Times New Roman" w:hAnsi="Times New Roman" w:eastAsia="宋体" w:cs="Times New Roman"/>
          <w:b w:val="0"/>
          <w:bCs w:val="0"/>
          <w:color w:val="auto"/>
          <w:kern w:val="2"/>
          <w:sz w:val="24"/>
          <w:szCs w:val="24"/>
          <w:highlight w:val="none"/>
          <w:lang w:val="en-US" w:eastAsia="zh-CN" w:bidi="ar"/>
        </w:rPr>
        <w:t>影响</w:t>
      </w:r>
      <w:r>
        <w:rPr>
          <w:rFonts w:hint="eastAsia" w:ascii="Times New Roman" w:hAnsi="Times New Roman" w:cs="Times New Roman"/>
          <w:b w:val="0"/>
          <w:bCs w:val="0"/>
          <w:color w:val="auto"/>
          <w:kern w:val="2"/>
          <w:sz w:val="24"/>
          <w:szCs w:val="24"/>
          <w:highlight w:val="none"/>
          <w:lang w:val="en-US" w:eastAsia="zh-CN" w:bidi="ar"/>
        </w:rPr>
        <w:t>以及</w:t>
      </w:r>
      <w:r>
        <w:rPr>
          <w:rFonts w:hint="default" w:ascii="Times New Roman" w:hAnsi="Times New Roman" w:eastAsia="宋体" w:cs="Times New Roman"/>
          <w:b w:val="0"/>
          <w:bCs w:val="0"/>
          <w:color w:val="auto"/>
          <w:kern w:val="2"/>
          <w:sz w:val="24"/>
          <w:szCs w:val="24"/>
          <w:highlight w:val="none"/>
          <w:lang w:val="en-US" w:eastAsia="zh-CN" w:bidi="ar"/>
        </w:rPr>
        <w:t>其影响地基基础、支护结构承载功能和变形的程度及同类工程经验类比，</w:t>
      </w:r>
      <w:r>
        <w:rPr>
          <w:rFonts w:hint="eastAsia" w:ascii="Times New Roman" w:hAnsi="Times New Roman" w:cs="Times New Roman"/>
          <w:b w:val="0"/>
          <w:bCs w:val="0"/>
          <w:color w:val="auto"/>
          <w:kern w:val="2"/>
          <w:sz w:val="24"/>
          <w:szCs w:val="24"/>
          <w:highlight w:val="none"/>
          <w:lang w:val="en-US" w:eastAsia="zh-CN" w:bidi="ar"/>
        </w:rPr>
        <w:t>按无影响、轻微影响、较大影响、严重影响，分别</w:t>
      </w:r>
      <w:r>
        <w:rPr>
          <w:rFonts w:hint="default" w:ascii="Times New Roman" w:hAnsi="Times New Roman" w:eastAsia="宋体" w:cs="Times New Roman"/>
          <w:b w:val="0"/>
          <w:bCs w:val="0"/>
          <w:color w:val="auto"/>
          <w:kern w:val="2"/>
          <w:sz w:val="24"/>
          <w:szCs w:val="24"/>
          <w:highlight w:val="none"/>
          <w:lang w:val="en-US" w:eastAsia="zh-CN" w:bidi="ar"/>
        </w:rPr>
        <w:t>评定为</w:t>
      </w:r>
      <w:r>
        <w:rPr>
          <w:rFonts w:hint="eastAsia" w:ascii="Times New Roman" w:hAnsi="Times New Roman" w:cs="Times New Roman"/>
          <w:b w:val="0"/>
          <w:bCs w:val="0"/>
          <w:color w:val="auto"/>
          <w:kern w:val="2"/>
          <w:sz w:val="24"/>
          <w:szCs w:val="24"/>
          <w:highlight w:val="none"/>
          <w:lang w:val="en-US" w:eastAsia="zh-CN" w:bidi="ar"/>
        </w:rPr>
        <w:t>A</w:t>
      </w:r>
      <w:r>
        <w:rPr>
          <w:rFonts w:hint="default" w:ascii="Times New Roman" w:hAnsi="Times New Roman" w:eastAsia="宋体" w:cs="Times New Roman"/>
          <w:b w:val="0"/>
          <w:bCs w:val="0"/>
          <w:color w:val="auto"/>
          <w:kern w:val="2"/>
          <w:sz w:val="24"/>
          <w:szCs w:val="24"/>
          <w:highlight w:val="none"/>
          <w:lang w:val="en-US" w:eastAsia="zh-CN" w:bidi="ar"/>
        </w:rPr>
        <w:t>级</w:t>
      </w:r>
      <w:r>
        <w:rPr>
          <w:rFonts w:hint="eastAsia" w:ascii="Times New Roman" w:hAnsi="Times New Roman" w:cs="Times New Roman"/>
          <w:b w:val="0"/>
          <w:bCs w:val="0"/>
          <w:color w:val="auto"/>
          <w:kern w:val="2"/>
          <w:sz w:val="24"/>
          <w:szCs w:val="24"/>
          <w:highlight w:val="none"/>
          <w:lang w:val="en-US" w:eastAsia="zh-CN" w:bidi="ar"/>
        </w:rPr>
        <w:t>、B</w:t>
      </w:r>
      <w:r>
        <w:rPr>
          <w:rFonts w:hint="default" w:ascii="Times New Roman" w:hAnsi="Times New Roman" w:eastAsia="宋体" w:cs="Times New Roman"/>
          <w:b w:val="0"/>
          <w:bCs w:val="0"/>
          <w:color w:val="auto"/>
          <w:kern w:val="2"/>
          <w:sz w:val="24"/>
          <w:szCs w:val="24"/>
          <w:highlight w:val="none"/>
          <w:lang w:val="en-US" w:eastAsia="zh-CN" w:bidi="ar"/>
        </w:rPr>
        <w:t>级</w:t>
      </w:r>
      <w:r>
        <w:rPr>
          <w:rFonts w:hint="eastAsia" w:ascii="Times New Roman" w:hAnsi="Times New Roman" w:cs="Times New Roman"/>
          <w:b w:val="0"/>
          <w:bCs w:val="0"/>
          <w:color w:val="auto"/>
          <w:kern w:val="2"/>
          <w:sz w:val="24"/>
          <w:szCs w:val="24"/>
          <w:highlight w:val="none"/>
          <w:lang w:val="en-US" w:eastAsia="zh-CN" w:bidi="ar"/>
        </w:rPr>
        <w:t>、C</w:t>
      </w:r>
      <w:r>
        <w:rPr>
          <w:rFonts w:hint="default" w:ascii="Times New Roman" w:hAnsi="Times New Roman" w:eastAsia="宋体" w:cs="Times New Roman"/>
          <w:b w:val="0"/>
          <w:bCs w:val="0"/>
          <w:color w:val="auto"/>
          <w:kern w:val="2"/>
          <w:sz w:val="24"/>
          <w:szCs w:val="24"/>
          <w:highlight w:val="none"/>
          <w:lang w:val="en-US" w:eastAsia="zh-CN" w:bidi="ar"/>
        </w:rPr>
        <w:t>级</w:t>
      </w:r>
      <w:r>
        <w:rPr>
          <w:rFonts w:hint="eastAsia" w:ascii="Times New Roman" w:hAnsi="Times New Roman" w:eastAsia="宋体" w:cs="Times New Roman"/>
          <w:b w:val="0"/>
          <w:bCs w:val="0"/>
          <w:color w:val="auto"/>
          <w:kern w:val="2"/>
          <w:sz w:val="24"/>
          <w:szCs w:val="24"/>
          <w:highlight w:val="none"/>
          <w:lang w:val="en-US" w:eastAsia="zh-CN" w:bidi="ar"/>
        </w:rPr>
        <w:t>、</w:t>
      </w:r>
      <w:r>
        <w:rPr>
          <w:rFonts w:hint="default" w:ascii="Times New Roman" w:hAnsi="Times New Roman" w:eastAsia="宋体" w:cs="Times New Roman"/>
          <w:b w:val="0"/>
          <w:bCs w:val="0"/>
          <w:color w:val="auto"/>
          <w:kern w:val="2"/>
          <w:sz w:val="24"/>
          <w:szCs w:val="24"/>
          <w:highlight w:val="none"/>
          <w:lang w:val="en-US" w:eastAsia="zh-CN" w:bidi="ar"/>
        </w:rPr>
        <w:t>D级。</w:t>
      </w:r>
    </w:p>
    <w:p w14:paraId="67CE230C">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楷体" w:hAnsi="楷体" w:eastAsia="楷体" w:cs="楷体"/>
          <w:color w:val="auto"/>
          <w:kern w:val="2"/>
          <w:sz w:val="24"/>
          <w:szCs w:val="24"/>
          <w:highlight w:val="none"/>
          <w:u w:val="single"/>
          <w:lang w:val="en-US" w:eastAsia="zh-CN" w:bidi="ar"/>
        </w:rPr>
        <w:t>【条文说明】4.</w:t>
      </w:r>
      <w:r>
        <w:rPr>
          <w:rFonts w:hint="eastAsia" w:ascii="楷体" w:hAnsi="楷体" w:eastAsia="楷体" w:cs="楷体"/>
          <w:color w:val="auto"/>
          <w:kern w:val="2"/>
          <w:sz w:val="24"/>
          <w:szCs w:val="24"/>
          <w:highlight w:val="none"/>
          <w:u w:val="single"/>
          <w:lang w:val="en-US" w:eastAsia="zh-CN" w:bidi="ar"/>
        </w:rPr>
        <w:t>6</w:t>
      </w:r>
      <w:r>
        <w:rPr>
          <w:rFonts w:hint="default" w:ascii="楷体" w:hAnsi="楷体" w:eastAsia="楷体" w:cs="楷体"/>
          <w:color w:val="auto"/>
          <w:kern w:val="2"/>
          <w:sz w:val="24"/>
          <w:szCs w:val="24"/>
          <w:highlight w:val="none"/>
          <w:u w:val="single"/>
          <w:lang w:val="en-US" w:eastAsia="zh-CN" w:bidi="ar"/>
        </w:rPr>
        <w:t>.</w:t>
      </w:r>
      <w:r>
        <w:rPr>
          <w:rFonts w:hint="eastAsia" w:ascii="楷体" w:hAnsi="楷体" w:eastAsia="楷体" w:cs="楷体"/>
          <w:color w:val="auto"/>
          <w:kern w:val="2"/>
          <w:sz w:val="24"/>
          <w:szCs w:val="24"/>
          <w:highlight w:val="none"/>
          <w:u w:val="single"/>
          <w:lang w:val="en-US" w:eastAsia="zh-CN" w:bidi="ar"/>
        </w:rPr>
        <w:t>10</w:t>
      </w:r>
      <w:r>
        <w:rPr>
          <w:rFonts w:hint="default" w:ascii="楷体" w:hAnsi="楷体" w:eastAsia="楷体" w:cs="楷体"/>
          <w:color w:val="auto"/>
          <w:kern w:val="2"/>
          <w:sz w:val="24"/>
          <w:szCs w:val="24"/>
          <w:highlight w:val="none"/>
          <w:u w:val="single"/>
          <w:lang w:val="en-US" w:eastAsia="zh-CN" w:bidi="ar"/>
        </w:rPr>
        <w:t>附属工程中</w:t>
      </w:r>
      <w:r>
        <w:rPr>
          <w:rFonts w:hint="eastAsia" w:ascii="楷体" w:hAnsi="楷体" w:eastAsia="楷体" w:cs="楷体"/>
          <w:color w:val="auto"/>
          <w:kern w:val="2"/>
          <w:sz w:val="24"/>
          <w:szCs w:val="24"/>
          <w:highlight w:val="none"/>
          <w:u w:val="single"/>
          <w:lang w:val="en-US" w:eastAsia="zh-CN" w:bidi="ar"/>
        </w:rPr>
        <w:t>截</w:t>
      </w:r>
      <w:r>
        <w:rPr>
          <w:rFonts w:hint="default" w:ascii="楷体" w:hAnsi="楷体" w:eastAsia="楷体" w:cs="楷体"/>
          <w:color w:val="auto"/>
          <w:kern w:val="2"/>
          <w:sz w:val="24"/>
          <w:szCs w:val="24"/>
          <w:highlight w:val="none"/>
          <w:u w:val="single"/>
          <w:lang w:val="en-US" w:eastAsia="zh-CN" w:bidi="ar"/>
        </w:rPr>
        <w:t>排水</w:t>
      </w:r>
      <w:r>
        <w:rPr>
          <w:rFonts w:hint="eastAsia" w:ascii="楷体" w:hAnsi="楷体" w:eastAsia="楷体" w:cs="楷体"/>
          <w:color w:val="auto"/>
          <w:kern w:val="2"/>
          <w:sz w:val="24"/>
          <w:szCs w:val="24"/>
          <w:highlight w:val="none"/>
          <w:u w:val="single"/>
          <w:lang w:val="en-US" w:eastAsia="zh-CN" w:bidi="ar"/>
        </w:rPr>
        <w:t>工程</w:t>
      </w:r>
      <w:r>
        <w:rPr>
          <w:rFonts w:hint="default" w:ascii="楷体" w:hAnsi="楷体" w:eastAsia="楷体" w:cs="楷体"/>
          <w:color w:val="auto"/>
          <w:kern w:val="2"/>
          <w:sz w:val="24"/>
          <w:szCs w:val="24"/>
          <w:highlight w:val="none"/>
          <w:u w:val="single"/>
          <w:lang w:val="en-US" w:eastAsia="zh-CN" w:bidi="ar"/>
        </w:rPr>
        <w:t>系统是否可以正常发挥功效将影响鉴定单元的安全性，基坑工程工程实践经验表明，</w:t>
      </w:r>
      <w:r>
        <w:rPr>
          <w:rFonts w:hint="eastAsia" w:ascii="楷体" w:hAnsi="楷体" w:eastAsia="楷体" w:cs="楷体"/>
          <w:color w:val="auto"/>
          <w:kern w:val="2"/>
          <w:sz w:val="24"/>
          <w:szCs w:val="24"/>
          <w:highlight w:val="none"/>
          <w:u w:val="single"/>
          <w:lang w:val="en-US" w:eastAsia="zh-CN" w:bidi="ar"/>
        </w:rPr>
        <w:t>基坑坍塌</w:t>
      </w:r>
      <w:r>
        <w:rPr>
          <w:rFonts w:hint="default" w:ascii="楷体" w:hAnsi="楷体" w:eastAsia="楷体" w:cs="楷体"/>
          <w:color w:val="auto"/>
          <w:kern w:val="2"/>
          <w:sz w:val="24"/>
          <w:szCs w:val="24"/>
          <w:highlight w:val="none"/>
          <w:u w:val="single"/>
          <w:lang w:val="en-US" w:eastAsia="zh-CN" w:bidi="ar"/>
        </w:rPr>
        <w:t>垮塌事故</w:t>
      </w:r>
      <w:r>
        <w:rPr>
          <w:rFonts w:hint="eastAsia" w:ascii="楷体" w:hAnsi="楷体" w:eastAsia="楷体" w:cs="楷体"/>
          <w:color w:val="auto"/>
          <w:kern w:val="2"/>
          <w:sz w:val="24"/>
          <w:szCs w:val="24"/>
          <w:highlight w:val="none"/>
          <w:u w:val="single"/>
          <w:lang w:val="en-US" w:eastAsia="zh-CN" w:bidi="ar"/>
        </w:rPr>
        <w:t>绝大</w:t>
      </w:r>
      <w:r>
        <w:rPr>
          <w:rFonts w:hint="default" w:ascii="楷体" w:hAnsi="楷体" w:eastAsia="楷体" w:cs="楷体"/>
          <w:color w:val="auto"/>
          <w:kern w:val="2"/>
          <w:sz w:val="24"/>
          <w:szCs w:val="24"/>
          <w:highlight w:val="none"/>
          <w:u w:val="single"/>
          <w:lang w:val="en-US" w:eastAsia="zh-CN" w:bidi="ar"/>
        </w:rPr>
        <w:t>多数与基坑的</w:t>
      </w:r>
      <w:r>
        <w:rPr>
          <w:rFonts w:hint="eastAsia" w:ascii="楷体" w:hAnsi="楷体" w:eastAsia="楷体" w:cs="楷体"/>
          <w:color w:val="auto"/>
          <w:kern w:val="2"/>
          <w:sz w:val="24"/>
          <w:szCs w:val="24"/>
          <w:highlight w:val="none"/>
          <w:u w:val="single"/>
          <w:lang w:val="en-US" w:eastAsia="zh-CN" w:bidi="ar"/>
        </w:rPr>
        <w:t>截</w:t>
      </w:r>
      <w:r>
        <w:rPr>
          <w:rFonts w:hint="default" w:ascii="楷体" w:hAnsi="楷体" w:eastAsia="楷体" w:cs="楷体"/>
          <w:color w:val="auto"/>
          <w:kern w:val="2"/>
          <w:sz w:val="24"/>
          <w:szCs w:val="24"/>
          <w:highlight w:val="none"/>
          <w:u w:val="single"/>
          <w:lang w:val="en-US" w:eastAsia="zh-CN" w:bidi="ar"/>
        </w:rPr>
        <w:t>排水系统有关，各地</w:t>
      </w:r>
      <w:r>
        <w:rPr>
          <w:rFonts w:hint="eastAsia" w:ascii="楷体" w:hAnsi="楷体" w:eastAsia="楷体" w:cs="楷体"/>
          <w:color w:val="auto"/>
          <w:kern w:val="2"/>
          <w:sz w:val="24"/>
          <w:szCs w:val="24"/>
          <w:highlight w:val="none"/>
          <w:u w:val="single"/>
          <w:lang w:val="en-US" w:eastAsia="zh-CN" w:bidi="ar"/>
        </w:rPr>
        <w:t>因地质条件差异，</w:t>
      </w:r>
      <w:r>
        <w:rPr>
          <w:rFonts w:hint="default" w:ascii="楷体" w:hAnsi="楷体" w:eastAsia="楷体" w:cs="楷体"/>
          <w:color w:val="auto"/>
          <w:kern w:val="2"/>
          <w:sz w:val="24"/>
          <w:szCs w:val="24"/>
          <w:highlight w:val="none"/>
          <w:u w:val="single"/>
          <w:lang w:val="en-US" w:eastAsia="zh-CN" w:bidi="ar"/>
        </w:rPr>
        <w:t>基坑工程实践经验有所差别，因此，应</w:t>
      </w:r>
      <w:r>
        <w:rPr>
          <w:rFonts w:hint="eastAsia" w:ascii="楷体" w:hAnsi="楷体" w:eastAsia="楷体" w:cs="楷体"/>
          <w:color w:val="auto"/>
          <w:kern w:val="2"/>
          <w:sz w:val="24"/>
          <w:szCs w:val="24"/>
          <w:highlight w:val="none"/>
          <w:u w:val="single"/>
          <w:lang w:val="en-US" w:eastAsia="zh-CN" w:bidi="ar"/>
        </w:rPr>
        <w:t>根据</w:t>
      </w:r>
      <w:r>
        <w:rPr>
          <w:rFonts w:hint="default" w:ascii="楷体" w:hAnsi="楷体" w:eastAsia="楷体" w:cs="楷体"/>
          <w:color w:val="auto"/>
          <w:kern w:val="2"/>
          <w:sz w:val="24"/>
          <w:szCs w:val="24"/>
          <w:highlight w:val="none"/>
          <w:u w:val="single"/>
          <w:lang w:val="en-US" w:eastAsia="zh-CN" w:bidi="ar"/>
        </w:rPr>
        <w:t>各地的工程实践经验，考虑</w:t>
      </w:r>
      <w:r>
        <w:rPr>
          <w:rFonts w:hint="eastAsia" w:ascii="楷体" w:hAnsi="楷体" w:eastAsia="楷体" w:cs="楷体"/>
          <w:color w:val="auto"/>
          <w:kern w:val="2"/>
          <w:sz w:val="24"/>
          <w:szCs w:val="24"/>
          <w:highlight w:val="none"/>
          <w:u w:val="single"/>
          <w:lang w:val="en-US" w:eastAsia="zh-CN" w:bidi="ar"/>
        </w:rPr>
        <w:t>截</w:t>
      </w:r>
      <w:r>
        <w:rPr>
          <w:rFonts w:hint="default" w:ascii="楷体" w:hAnsi="楷体" w:eastAsia="楷体" w:cs="楷体"/>
          <w:color w:val="auto"/>
          <w:kern w:val="2"/>
          <w:sz w:val="24"/>
          <w:szCs w:val="24"/>
          <w:highlight w:val="none"/>
          <w:u w:val="single"/>
          <w:lang w:val="en-US" w:eastAsia="zh-CN" w:bidi="ar"/>
        </w:rPr>
        <w:t>排水系统的完整性和实际排水功效及对支护结构安全性的影响程度，评定附属工程子单元的安全性；当排水系统失效对支护结构的安全性</w:t>
      </w:r>
      <w:r>
        <w:rPr>
          <w:rFonts w:hint="eastAsia" w:ascii="楷体" w:hAnsi="楷体" w:eastAsia="楷体" w:cs="楷体"/>
          <w:color w:val="auto"/>
          <w:kern w:val="2"/>
          <w:sz w:val="24"/>
          <w:szCs w:val="24"/>
          <w:highlight w:val="none"/>
          <w:u w:val="single"/>
          <w:lang w:val="en-US" w:eastAsia="zh-CN" w:bidi="ar"/>
        </w:rPr>
        <w:t>影响程度大小，按无影响、轻微影响、较大影响、严重影响，分别</w:t>
      </w:r>
      <w:r>
        <w:rPr>
          <w:rFonts w:hint="default" w:ascii="楷体" w:hAnsi="楷体" w:eastAsia="楷体" w:cs="楷体"/>
          <w:color w:val="auto"/>
          <w:kern w:val="2"/>
          <w:sz w:val="24"/>
          <w:szCs w:val="24"/>
          <w:highlight w:val="none"/>
          <w:u w:val="single"/>
          <w:lang w:val="en-US" w:eastAsia="zh-CN" w:bidi="ar"/>
        </w:rPr>
        <w:t>评定为</w:t>
      </w:r>
      <w:r>
        <w:rPr>
          <w:rFonts w:hint="eastAsia" w:ascii="楷体" w:hAnsi="楷体" w:eastAsia="楷体" w:cs="楷体"/>
          <w:color w:val="auto"/>
          <w:kern w:val="2"/>
          <w:sz w:val="24"/>
          <w:szCs w:val="24"/>
          <w:highlight w:val="none"/>
          <w:u w:val="single"/>
          <w:lang w:val="en-US" w:eastAsia="zh-CN" w:bidi="ar"/>
        </w:rPr>
        <w:t>A</w:t>
      </w:r>
      <w:r>
        <w:rPr>
          <w:rFonts w:hint="default" w:ascii="楷体" w:hAnsi="楷体" w:eastAsia="楷体" w:cs="楷体"/>
          <w:color w:val="auto"/>
          <w:kern w:val="2"/>
          <w:sz w:val="24"/>
          <w:szCs w:val="24"/>
          <w:highlight w:val="none"/>
          <w:u w:val="single"/>
          <w:lang w:val="en-US" w:eastAsia="zh-CN" w:bidi="ar"/>
        </w:rPr>
        <w:t>级</w:t>
      </w:r>
      <w:r>
        <w:rPr>
          <w:rFonts w:hint="eastAsia" w:ascii="楷体" w:hAnsi="楷体" w:eastAsia="楷体" w:cs="楷体"/>
          <w:color w:val="auto"/>
          <w:kern w:val="2"/>
          <w:sz w:val="24"/>
          <w:szCs w:val="24"/>
          <w:highlight w:val="none"/>
          <w:u w:val="single"/>
          <w:lang w:val="en-US" w:eastAsia="zh-CN" w:bidi="ar"/>
        </w:rPr>
        <w:t>、B</w:t>
      </w:r>
      <w:r>
        <w:rPr>
          <w:rFonts w:hint="default" w:ascii="楷体" w:hAnsi="楷体" w:eastAsia="楷体" w:cs="楷体"/>
          <w:color w:val="auto"/>
          <w:kern w:val="2"/>
          <w:sz w:val="24"/>
          <w:szCs w:val="24"/>
          <w:highlight w:val="none"/>
          <w:u w:val="single"/>
          <w:lang w:val="en-US" w:eastAsia="zh-CN" w:bidi="ar"/>
        </w:rPr>
        <w:t>级</w:t>
      </w:r>
      <w:r>
        <w:rPr>
          <w:rFonts w:hint="eastAsia" w:ascii="楷体" w:hAnsi="楷体" w:eastAsia="楷体" w:cs="楷体"/>
          <w:color w:val="auto"/>
          <w:kern w:val="2"/>
          <w:sz w:val="24"/>
          <w:szCs w:val="24"/>
          <w:highlight w:val="none"/>
          <w:u w:val="single"/>
          <w:lang w:val="en-US" w:eastAsia="zh-CN" w:bidi="ar"/>
        </w:rPr>
        <w:t>、C</w:t>
      </w:r>
      <w:r>
        <w:rPr>
          <w:rFonts w:hint="default" w:ascii="楷体" w:hAnsi="楷体" w:eastAsia="楷体" w:cs="楷体"/>
          <w:color w:val="auto"/>
          <w:kern w:val="2"/>
          <w:sz w:val="24"/>
          <w:szCs w:val="24"/>
          <w:highlight w:val="none"/>
          <w:u w:val="single"/>
          <w:lang w:val="en-US" w:eastAsia="zh-CN" w:bidi="ar"/>
        </w:rPr>
        <w:t>级</w:t>
      </w:r>
      <w:r>
        <w:rPr>
          <w:rFonts w:hint="eastAsia" w:ascii="楷体" w:hAnsi="楷体" w:eastAsia="楷体" w:cs="楷体"/>
          <w:color w:val="auto"/>
          <w:kern w:val="2"/>
          <w:sz w:val="24"/>
          <w:szCs w:val="24"/>
          <w:highlight w:val="none"/>
          <w:u w:val="single"/>
          <w:lang w:val="en-US" w:eastAsia="zh-CN" w:bidi="ar"/>
        </w:rPr>
        <w:t>、</w:t>
      </w:r>
      <w:r>
        <w:rPr>
          <w:rFonts w:hint="default" w:ascii="楷体" w:hAnsi="楷体" w:eastAsia="楷体" w:cs="楷体"/>
          <w:color w:val="auto"/>
          <w:kern w:val="2"/>
          <w:sz w:val="24"/>
          <w:szCs w:val="24"/>
          <w:highlight w:val="none"/>
          <w:u w:val="single"/>
          <w:lang w:val="en-US" w:eastAsia="zh-CN" w:bidi="ar"/>
        </w:rPr>
        <w:t>D级。一般情况下</w:t>
      </w:r>
      <w:r>
        <w:rPr>
          <w:rFonts w:hint="eastAsia" w:ascii="楷体" w:hAnsi="楷体" w:eastAsia="楷体" w:cs="楷体"/>
          <w:color w:val="auto"/>
          <w:kern w:val="2"/>
          <w:sz w:val="24"/>
          <w:szCs w:val="24"/>
          <w:highlight w:val="none"/>
          <w:u w:val="single"/>
          <w:lang w:val="en-US" w:eastAsia="zh-CN" w:bidi="ar"/>
        </w:rPr>
        <w:t>防护栏杆</w:t>
      </w:r>
      <w:r>
        <w:rPr>
          <w:rFonts w:hint="default" w:ascii="楷体" w:hAnsi="楷体" w:eastAsia="楷体" w:cs="楷体"/>
          <w:color w:val="auto"/>
          <w:kern w:val="2"/>
          <w:sz w:val="24"/>
          <w:szCs w:val="24"/>
          <w:highlight w:val="none"/>
          <w:u w:val="single"/>
          <w:lang w:val="en-US" w:eastAsia="zh-CN" w:bidi="ar"/>
        </w:rPr>
        <w:t>虽不影响基坑工程本身的安全性，但对基坑工程使用功能有一定影响，对人身安全性有较大影响；因此，当基坑工程</w:t>
      </w:r>
      <w:r>
        <w:rPr>
          <w:rFonts w:hint="eastAsia" w:ascii="楷体" w:hAnsi="楷体" w:eastAsia="楷体" w:cs="楷体"/>
          <w:color w:val="auto"/>
          <w:kern w:val="2"/>
          <w:sz w:val="24"/>
          <w:szCs w:val="24"/>
          <w:highlight w:val="none"/>
          <w:u w:val="single"/>
          <w:lang w:val="en-US" w:eastAsia="zh-CN" w:bidi="ar"/>
        </w:rPr>
        <w:t>防护栏杆</w:t>
      </w:r>
      <w:r>
        <w:rPr>
          <w:rFonts w:hint="default" w:ascii="楷体" w:hAnsi="楷体" w:eastAsia="楷体" w:cs="楷体"/>
          <w:color w:val="auto"/>
          <w:kern w:val="2"/>
          <w:sz w:val="24"/>
          <w:szCs w:val="24"/>
          <w:highlight w:val="none"/>
          <w:u w:val="single"/>
          <w:lang w:val="en-US" w:eastAsia="zh-CN" w:bidi="ar"/>
        </w:rPr>
        <w:t>安全性不满足要求时，应单独指出其安全性等级，并采取相应的处理措施。</w:t>
      </w:r>
    </w:p>
    <w:p w14:paraId="155B9A89">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Ⅳ</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鉴定单元的鉴定评级</w:t>
      </w:r>
    </w:p>
    <w:p w14:paraId="6C4655D5">
      <w:pPr>
        <w:keepNext w:val="0"/>
        <w:keepLines w:val="0"/>
        <w:widowControl w:val="0"/>
        <w:suppressLineNumbers w:val="0"/>
        <w:spacing w:before="0" w:beforeAutospacing="0" w:after="0" w:afterAutospacing="0" w:line="360" w:lineRule="auto"/>
        <w:ind w:right="0"/>
        <w:jc w:val="both"/>
        <w:rPr>
          <w:rFonts w:hint="eastAsia" w:ascii="Times New Roman" w:hAnsi="Times New Roman" w:cs="Times New Roman"/>
          <w:b w:val="0"/>
          <w:bCs w:val="0"/>
          <w:color w:val="auto"/>
          <w:kern w:val="2"/>
          <w:sz w:val="24"/>
          <w:szCs w:val="24"/>
          <w:highlight w:val="none"/>
          <w:lang w:val="en-US" w:eastAsia="zh-CN" w:bidi="ar"/>
        </w:rPr>
      </w:pPr>
      <w:r>
        <w:rPr>
          <w:rFonts w:hint="default" w:ascii="Times New Roman" w:hAnsi="Times New Roman" w:eastAsia="宋体" w:cs="Times New Roman"/>
          <w:b/>
          <w:bCs/>
          <w:color w:val="auto"/>
          <w:kern w:val="2"/>
          <w:sz w:val="24"/>
          <w:szCs w:val="24"/>
          <w:highlight w:val="none"/>
          <w:lang w:val="en-US" w:eastAsia="zh-CN" w:bidi="ar"/>
        </w:rPr>
        <w:t>4.</w:t>
      </w:r>
      <w:r>
        <w:rPr>
          <w:rFonts w:hint="eastAsia" w:cs="Times New Roman"/>
          <w:b/>
          <w:bCs/>
          <w:color w:val="auto"/>
          <w:kern w:val="2"/>
          <w:sz w:val="24"/>
          <w:szCs w:val="24"/>
          <w:highlight w:val="none"/>
          <w:lang w:val="en-US" w:eastAsia="zh-CN" w:bidi="ar"/>
        </w:rPr>
        <w:t>6</w:t>
      </w:r>
      <w:r>
        <w:rPr>
          <w:rFonts w:hint="default" w:ascii="Times New Roman" w:hAnsi="Times New Roman" w:eastAsia="宋体" w:cs="Times New Roman"/>
          <w:b/>
          <w:bCs/>
          <w:color w:val="auto"/>
          <w:kern w:val="2"/>
          <w:sz w:val="24"/>
          <w:szCs w:val="24"/>
          <w:highlight w:val="none"/>
          <w:lang w:val="en-US" w:eastAsia="zh-CN" w:bidi="ar"/>
        </w:rPr>
        <w:t>.</w:t>
      </w:r>
      <w:r>
        <w:rPr>
          <w:rFonts w:hint="eastAsia" w:cs="Times New Roman"/>
          <w:b/>
          <w:bCs/>
          <w:color w:val="auto"/>
          <w:kern w:val="2"/>
          <w:sz w:val="24"/>
          <w:szCs w:val="24"/>
          <w:highlight w:val="none"/>
          <w:lang w:val="en-US" w:eastAsia="zh-CN" w:bidi="ar"/>
        </w:rPr>
        <w:t>11</w:t>
      </w:r>
      <w:r>
        <w:rPr>
          <w:rFonts w:hint="default" w:ascii="Times New Roman" w:hAnsi="Times New Roman" w:eastAsia="宋体" w:cs="Times New Roman"/>
          <w:b w:val="0"/>
          <w:bCs w:val="0"/>
          <w:color w:val="auto"/>
          <w:kern w:val="2"/>
          <w:sz w:val="24"/>
          <w:szCs w:val="24"/>
          <w:highlight w:val="none"/>
          <w:lang w:val="en-US" w:eastAsia="zh-CN" w:bidi="ar"/>
        </w:rPr>
        <w:t>鉴定单元的稳定性鉴定评级应符合</w:t>
      </w:r>
      <w:r>
        <w:rPr>
          <w:rFonts w:hint="eastAsia" w:ascii="Times New Roman" w:hAnsi="Times New Roman" w:cs="Times New Roman"/>
          <w:b w:val="0"/>
          <w:bCs w:val="0"/>
          <w:color w:val="auto"/>
          <w:kern w:val="2"/>
          <w:sz w:val="24"/>
          <w:szCs w:val="24"/>
          <w:highlight w:val="none"/>
          <w:lang w:val="en-US" w:eastAsia="zh-CN" w:bidi="ar"/>
        </w:rPr>
        <w:t>下列</w:t>
      </w:r>
      <w:r>
        <w:rPr>
          <w:rFonts w:hint="default" w:ascii="Times New Roman" w:hAnsi="Times New Roman" w:eastAsia="宋体" w:cs="Times New Roman"/>
          <w:b w:val="0"/>
          <w:bCs w:val="0"/>
          <w:color w:val="auto"/>
          <w:kern w:val="2"/>
          <w:sz w:val="24"/>
          <w:szCs w:val="24"/>
          <w:highlight w:val="none"/>
          <w:lang w:val="en-US" w:eastAsia="zh-CN" w:bidi="ar"/>
        </w:rPr>
        <w:t>规定</w:t>
      </w:r>
      <w:r>
        <w:rPr>
          <w:rFonts w:hint="eastAsia" w:ascii="Times New Roman" w:hAnsi="Times New Roman" w:cs="Times New Roman"/>
          <w:b w:val="0"/>
          <w:bCs w:val="0"/>
          <w:color w:val="auto"/>
          <w:kern w:val="2"/>
          <w:sz w:val="24"/>
          <w:szCs w:val="24"/>
          <w:highlight w:val="none"/>
          <w:lang w:val="en-US" w:eastAsia="zh-CN" w:bidi="ar"/>
        </w:rPr>
        <w:t>：</w:t>
      </w:r>
    </w:p>
    <w:p w14:paraId="3D1CD30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val="en-US" w:eastAsia="zh-CN"/>
        </w:rPr>
        <w:t>1</w:t>
      </w:r>
      <w:r>
        <w:rPr>
          <w:rFonts w:hint="default" w:ascii="Times New Roman" w:hAnsi="Times New Roman" w:cs="Times New Roman" w:eastAsiaTheme="minorEastAsia"/>
          <w:color w:val="auto"/>
          <w:sz w:val="24"/>
          <w:szCs w:val="24"/>
          <w:highlight w:val="none"/>
        </w:rPr>
        <w:t>支护结构构件和附属工程</w:t>
      </w:r>
      <w:r>
        <w:rPr>
          <w:rFonts w:hint="default" w:ascii="Times New Roman" w:hAnsi="Times New Roman" w:cs="Times New Roman" w:eastAsiaTheme="minorEastAsia"/>
          <w:color w:val="auto"/>
          <w:sz w:val="24"/>
          <w:szCs w:val="24"/>
          <w:highlight w:val="none"/>
          <w:lang w:val="en-US" w:eastAsia="zh-CN"/>
        </w:rPr>
        <w:t>等子单元</w:t>
      </w:r>
      <w:r>
        <w:rPr>
          <w:rFonts w:hint="default" w:ascii="Times New Roman" w:hAnsi="Times New Roman" w:cs="Times New Roman" w:eastAsiaTheme="minorEastAsia"/>
          <w:color w:val="auto"/>
          <w:sz w:val="24"/>
          <w:szCs w:val="24"/>
          <w:highlight w:val="none"/>
        </w:rPr>
        <w:t>安全性评级已经完成</w:t>
      </w:r>
      <w:r>
        <w:rPr>
          <w:rFonts w:hint="default" w:ascii="Times New Roman" w:hAnsi="Times New Roman" w:cs="Times New Roman" w:eastAsiaTheme="minorEastAsia"/>
          <w:color w:val="auto"/>
          <w:sz w:val="24"/>
          <w:szCs w:val="24"/>
          <w:highlight w:val="none"/>
          <w:lang w:eastAsia="zh-CN"/>
        </w:rPr>
        <w:t>；</w:t>
      </w:r>
    </w:p>
    <w:p w14:paraId="27B5679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rPr>
        <w:t>2稳定性评级应以鉴定单元或子单元作为评定对象</w:t>
      </w:r>
      <w:r>
        <w:rPr>
          <w:rFonts w:hint="default" w:ascii="Times New Roman" w:hAnsi="Times New Roman" w:cs="Times New Roman" w:eastAsiaTheme="minorEastAsia"/>
          <w:color w:val="auto"/>
          <w:sz w:val="24"/>
          <w:szCs w:val="24"/>
          <w:highlight w:val="none"/>
          <w:lang w:eastAsia="zh-CN"/>
        </w:rPr>
        <w:t>；</w:t>
      </w:r>
    </w:p>
    <w:p w14:paraId="2C20AE8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lang w:val="en-US" w:eastAsia="zh-CN"/>
        </w:rPr>
        <w:t>3</w:t>
      </w:r>
      <w:r>
        <w:rPr>
          <w:rFonts w:hint="default" w:ascii="Times New Roman" w:hAnsi="Times New Roman" w:cs="Times New Roman" w:eastAsiaTheme="minorEastAsia"/>
          <w:color w:val="auto"/>
          <w:sz w:val="24"/>
          <w:szCs w:val="24"/>
          <w:highlight w:val="none"/>
        </w:rPr>
        <w:t>已经出现稳定性破坏的鉴定单元</w:t>
      </w:r>
      <w:r>
        <w:rPr>
          <w:rFonts w:hint="default" w:ascii="Times New Roman" w:hAnsi="Times New Roman" w:cs="Times New Roman" w:eastAsiaTheme="minorEastAsia"/>
          <w:color w:val="auto"/>
          <w:sz w:val="24"/>
          <w:szCs w:val="24"/>
          <w:highlight w:val="none"/>
          <w:lang w:val="en-US" w:eastAsia="zh-CN"/>
        </w:rPr>
        <w:t>或有重大安全事故迹象的鉴定单元</w:t>
      </w: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rPr>
        <w:t>应直接评定为D</w:t>
      </w:r>
      <w:r>
        <w:rPr>
          <w:rFonts w:hint="default" w:ascii="Times New Roman" w:hAnsi="Times New Roman" w:cs="Times New Roman" w:eastAsiaTheme="minorEastAsia"/>
          <w:color w:val="auto"/>
          <w:sz w:val="24"/>
          <w:szCs w:val="24"/>
          <w:highlight w:val="none"/>
          <w:vertAlign w:val="subscript"/>
          <w:lang w:val="en-US" w:eastAsia="zh-CN"/>
        </w:rPr>
        <w:t>su</w:t>
      </w:r>
      <w:r>
        <w:rPr>
          <w:rFonts w:hint="default" w:ascii="Times New Roman" w:hAnsi="Times New Roman" w:cs="Times New Roman" w:eastAsiaTheme="minorEastAsia"/>
          <w:color w:val="auto"/>
          <w:sz w:val="24"/>
          <w:szCs w:val="24"/>
          <w:highlight w:val="none"/>
        </w:rPr>
        <w:t>级。</w:t>
      </w:r>
    </w:p>
    <w:p w14:paraId="061989F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val="en-US" w:eastAsia="zh-CN"/>
        </w:rPr>
        <w:t>4</w:t>
      </w:r>
      <w:r>
        <w:rPr>
          <w:rFonts w:hint="default" w:ascii="Times New Roman" w:hAnsi="Times New Roman" w:cs="Times New Roman" w:eastAsiaTheme="minorEastAsia"/>
          <w:color w:val="auto"/>
          <w:sz w:val="24"/>
          <w:szCs w:val="24"/>
          <w:highlight w:val="none"/>
        </w:rPr>
        <w:t>鉴定单元整体稳定性应根据鉴定单元整体变形</w:t>
      </w:r>
      <w:r>
        <w:rPr>
          <w:rFonts w:hint="default" w:ascii="Times New Roman" w:hAnsi="Times New Roman" w:cs="Times New Roman" w:eastAsiaTheme="minorEastAsia"/>
          <w:color w:val="auto"/>
          <w:sz w:val="24"/>
          <w:szCs w:val="24"/>
          <w:highlight w:val="none"/>
          <w:lang w:val="en-US" w:eastAsia="zh-CN"/>
        </w:rPr>
        <w:t>迹象</w:t>
      </w:r>
      <w:r>
        <w:rPr>
          <w:rFonts w:hint="default" w:ascii="Times New Roman" w:hAnsi="Times New Roman" w:cs="Times New Roman" w:eastAsiaTheme="minorEastAsia"/>
          <w:color w:val="auto"/>
          <w:sz w:val="24"/>
          <w:szCs w:val="24"/>
          <w:highlight w:val="none"/>
        </w:rPr>
        <w:t>、稳定性验算结果</w:t>
      </w:r>
      <w:r>
        <w:rPr>
          <w:rFonts w:hint="default" w:ascii="Times New Roman" w:hAnsi="Times New Roman" w:cs="Times New Roman" w:eastAsiaTheme="minorEastAsia"/>
          <w:color w:val="auto"/>
          <w:sz w:val="24"/>
          <w:szCs w:val="24"/>
          <w:highlight w:val="none"/>
          <w:lang w:val="en-US" w:eastAsia="zh-CN"/>
        </w:rPr>
        <w:t>并结合</w:t>
      </w:r>
      <w:r>
        <w:rPr>
          <w:rFonts w:hint="default" w:ascii="Times New Roman" w:hAnsi="Times New Roman" w:cs="Times New Roman" w:eastAsiaTheme="minorEastAsia"/>
          <w:color w:val="auto"/>
          <w:sz w:val="24"/>
          <w:szCs w:val="24"/>
          <w:highlight w:val="none"/>
        </w:rPr>
        <w:t>当地</w:t>
      </w:r>
      <w:r>
        <w:rPr>
          <w:rFonts w:hint="default" w:ascii="Times New Roman" w:hAnsi="Times New Roman" w:cs="Times New Roman" w:eastAsiaTheme="minorEastAsia"/>
          <w:color w:val="auto"/>
          <w:sz w:val="24"/>
          <w:szCs w:val="24"/>
          <w:highlight w:val="none"/>
          <w:lang w:val="en-US" w:eastAsia="zh-CN"/>
        </w:rPr>
        <w:t>基坑</w:t>
      </w:r>
      <w:r>
        <w:rPr>
          <w:rFonts w:hint="default" w:ascii="Times New Roman" w:hAnsi="Times New Roman" w:cs="Times New Roman" w:eastAsiaTheme="minorEastAsia"/>
          <w:color w:val="auto"/>
          <w:sz w:val="24"/>
          <w:szCs w:val="24"/>
          <w:highlight w:val="none"/>
        </w:rPr>
        <w:t>工程实际经验综合评定</w:t>
      </w:r>
      <w:r>
        <w:rPr>
          <w:rFonts w:hint="eastAsia" w:cs="Times New Roman" w:eastAsiaTheme="minorEastAsia"/>
          <w:color w:val="auto"/>
          <w:sz w:val="24"/>
          <w:szCs w:val="24"/>
          <w:highlight w:val="none"/>
          <w:lang w:val="en-US" w:eastAsia="zh-CN"/>
        </w:rPr>
        <w:t>，</w:t>
      </w:r>
      <w:r>
        <w:rPr>
          <w:rFonts w:hint="default" w:ascii="Times New Roman" w:hAnsi="Times New Roman" w:cs="Times New Roman" w:eastAsiaTheme="minorEastAsia"/>
          <w:color w:val="auto"/>
          <w:sz w:val="24"/>
          <w:szCs w:val="24"/>
          <w:highlight w:val="none"/>
        </w:rPr>
        <w:t>且应符合下列规定</w:t>
      </w:r>
      <w:r>
        <w:rPr>
          <w:rFonts w:hint="default" w:ascii="Times New Roman" w:hAnsi="Times New Roman" w:cs="Times New Roman" w:eastAsiaTheme="minorEastAsia"/>
          <w:color w:val="auto"/>
          <w:sz w:val="24"/>
          <w:szCs w:val="24"/>
          <w:highlight w:val="none"/>
          <w:lang w:eastAsia="zh-CN"/>
        </w:rPr>
        <w:t>：</w:t>
      </w:r>
    </w:p>
    <w:p w14:paraId="56CA9ABF">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1</w:t>
      </w: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rPr>
        <w:t>已经出现整体稳定性破坏或已有重大安全事故迹象的鉴定单元</w:t>
      </w:r>
      <w:r>
        <w:rPr>
          <w:rFonts w:hint="eastAsia"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rPr>
        <w:t>其稳定性评级按本</w:t>
      </w:r>
      <w:r>
        <w:rPr>
          <w:rFonts w:hint="eastAsia" w:cs="Times New Roman" w:eastAsiaTheme="minorEastAsia"/>
          <w:color w:val="auto"/>
          <w:sz w:val="24"/>
          <w:szCs w:val="24"/>
          <w:highlight w:val="none"/>
          <w:lang w:val="en-US" w:eastAsia="zh-CN"/>
        </w:rPr>
        <w:t>条</w:t>
      </w:r>
      <w:r>
        <w:rPr>
          <w:rFonts w:hint="default" w:ascii="Times New Roman" w:hAnsi="Times New Roman" w:cs="Times New Roman" w:eastAsiaTheme="minorEastAsia"/>
          <w:color w:val="auto"/>
          <w:sz w:val="24"/>
          <w:szCs w:val="24"/>
          <w:highlight w:val="none"/>
        </w:rPr>
        <w:t>第</w:t>
      </w:r>
      <w:r>
        <w:rPr>
          <w:rFonts w:hint="default" w:ascii="Times New Roman" w:hAnsi="Times New Roman" w:cs="Times New Roman" w:eastAsiaTheme="minorEastAsia"/>
          <w:color w:val="auto"/>
          <w:sz w:val="24"/>
          <w:szCs w:val="24"/>
          <w:highlight w:val="none"/>
          <w:lang w:val="en-US" w:eastAsia="zh-CN"/>
        </w:rPr>
        <w:t>3款</w:t>
      </w:r>
      <w:r>
        <w:rPr>
          <w:rFonts w:hint="default" w:ascii="Times New Roman" w:hAnsi="Times New Roman" w:cs="Times New Roman" w:eastAsiaTheme="minorEastAsia"/>
          <w:color w:val="auto"/>
          <w:sz w:val="24"/>
          <w:szCs w:val="24"/>
          <w:highlight w:val="none"/>
        </w:rPr>
        <w:t>规定执行;</w:t>
      </w:r>
    </w:p>
    <w:p w14:paraId="7616313E">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2</w:t>
      </w: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rPr>
        <w:t>当鉴定单元及其影响范围内的岩土体和建(构)筑物无变形、裂缝等异常</w:t>
      </w:r>
      <w:r>
        <w:rPr>
          <w:rFonts w:hint="default" w:ascii="Times New Roman" w:hAnsi="Times New Roman" w:cs="Times New Roman" w:eastAsiaTheme="minorEastAsia"/>
          <w:color w:val="auto"/>
          <w:sz w:val="24"/>
          <w:szCs w:val="24"/>
          <w:highlight w:val="none"/>
          <w:lang w:val="en-US" w:eastAsia="zh-CN"/>
        </w:rPr>
        <w:t>情况</w:t>
      </w:r>
      <w:r>
        <w:rPr>
          <w:rFonts w:hint="default" w:ascii="Times New Roman" w:hAnsi="Times New Roman" w:cs="Times New Roman" w:eastAsiaTheme="minorEastAsia"/>
          <w:color w:val="auto"/>
          <w:sz w:val="24"/>
          <w:szCs w:val="24"/>
          <w:highlight w:val="none"/>
        </w:rPr>
        <w:t>时</w:t>
      </w:r>
      <w:r>
        <w:rPr>
          <w:rFonts w:hint="eastAsia"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rPr>
        <w:t>可</w:t>
      </w:r>
      <w:r>
        <w:rPr>
          <w:rFonts w:hint="default" w:ascii="Times New Roman" w:hAnsi="Times New Roman" w:cs="Times New Roman" w:eastAsiaTheme="minorEastAsia"/>
          <w:color w:val="auto"/>
          <w:sz w:val="24"/>
          <w:szCs w:val="24"/>
          <w:highlight w:val="none"/>
          <w:lang w:val="en-US" w:eastAsia="zh-CN"/>
        </w:rPr>
        <w:t>根据施工时间并</w:t>
      </w:r>
      <w:r>
        <w:rPr>
          <w:rFonts w:hint="default" w:ascii="Times New Roman" w:hAnsi="Times New Roman" w:cs="Times New Roman" w:eastAsiaTheme="minorEastAsia"/>
          <w:color w:val="auto"/>
          <w:sz w:val="24"/>
          <w:szCs w:val="24"/>
          <w:highlight w:val="none"/>
        </w:rPr>
        <w:t>结合当地工程经验,将其稳定性评定为A</w:t>
      </w:r>
      <w:r>
        <w:rPr>
          <w:rFonts w:hint="default" w:ascii="Times New Roman" w:hAnsi="Times New Roman" w:cs="Times New Roman" w:eastAsiaTheme="minorEastAsia"/>
          <w:color w:val="auto"/>
          <w:sz w:val="24"/>
          <w:szCs w:val="24"/>
          <w:highlight w:val="none"/>
          <w:vertAlign w:val="subscript"/>
          <w:lang w:val="en-US" w:eastAsia="zh-CN"/>
        </w:rPr>
        <w:t>su</w:t>
      </w:r>
      <w:r>
        <w:rPr>
          <w:rFonts w:hint="default" w:ascii="Times New Roman" w:hAnsi="Times New Roman" w:cs="Times New Roman" w:eastAsiaTheme="minorEastAsia"/>
          <w:color w:val="auto"/>
          <w:sz w:val="24"/>
          <w:szCs w:val="24"/>
          <w:highlight w:val="none"/>
        </w:rPr>
        <w:t>级或B</w:t>
      </w:r>
      <w:r>
        <w:rPr>
          <w:rFonts w:hint="default" w:ascii="Times New Roman" w:hAnsi="Times New Roman" w:cs="Times New Roman" w:eastAsiaTheme="minorEastAsia"/>
          <w:color w:val="auto"/>
          <w:sz w:val="24"/>
          <w:szCs w:val="24"/>
          <w:highlight w:val="none"/>
          <w:vertAlign w:val="subscript"/>
          <w:lang w:val="en-US" w:eastAsia="zh-CN"/>
        </w:rPr>
        <w:t>su</w:t>
      </w:r>
      <w:r>
        <w:rPr>
          <w:rFonts w:hint="default" w:ascii="Times New Roman" w:hAnsi="Times New Roman" w:cs="Times New Roman" w:eastAsiaTheme="minorEastAsia"/>
          <w:color w:val="auto"/>
          <w:sz w:val="24"/>
          <w:szCs w:val="24"/>
          <w:highlight w:val="none"/>
        </w:rPr>
        <w:t>级;</w:t>
      </w:r>
    </w:p>
    <w:p w14:paraId="195314EC">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3</w:t>
      </w: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rPr>
        <w:t>当鉴定单元及其影响范围内的岩土体和建(构)筑物有变形、裂缝等异常</w:t>
      </w:r>
      <w:r>
        <w:rPr>
          <w:rFonts w:hint="default" w:ascii="Times New Roman" w:hAnsi="Times New Roman" w:cs="Times New Roman" w:eastAsiaTheme="minorEastAsia"/>
          <w:color w:val="auto"/>
          <w:sz w:val="24"/>
          <w:szCs w:val="24"/>
          <w:highlight w:val="none"/>
          <w:lang w:val="en-US" w:eastAsia="zh-CN"/>
        </w:rPr>
        <w:t>情况</w:t>
      </w:r>
      <w:r>
        <w:rPr>
          <w:rFonts w:hint="eastAsia"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rPr>
        <w:t>但无破坏迹象时</w:t>
      </w:r>
      <w:r>
        <w:rPr>
          <w:rFonts w:hint="eastAsia"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rPr>
        <w:t>其稳定性评定等级应符合表</w:t>
      </w:r>
      <w:r>
        <w:rPr>
          <w:rFonts w:hint="default" w:ascii="Times New Roman" w:hAnsi="Times New Roman" w:cs="Times New Roman" w:eastAsiaTheme="minorEastAsia"/>
          <w:color w:val="auto"/>
          <w:sz w:val="24"/>
          <w:szCs w:val="24"/>
          <w:highlight w:val="none"/>
          <w:lang w:val="en-US" w:eastAsia="zh-CN"/>
        </w:rPr>
        <w:t>4.</w:t>
      </w:r>
      <w:r>
        <w:rPr>
          <w:rFonts w:hint="eastAsia" w:cs="Times New Roman" w:eastAsiaTheme="minorEastAsia"/>
          <w:color w:val="auto"/>
          <w:sz w:val="24"/>
          <w:szCs w:val="24"/>
          <w:highlight w:val="none"/>
          <w:lang w:val="en-US" w:eastAsia="zh-CN"/>
        </w:rPr>
        <w:t>6</w:t>
      </w:r>
      <w:r>
        <w:rPr>
          <w:rFonts w:hint="default" w:ascii="Times New Roman" w:hAnsi="Times New Roman" w:cs="Times New Roman" w:eastAsiaTheme="minorEastAsia"/>
          <w:color w:val="auto"/>
          <w:sz w:val="24"/>
          <w:szCs w:val="24"/>
          <w:highlight w:val="none"/>
          <w:lang w:val="en-US" w:eastAsia="zh-CN"/>
        </w:rPr>
        <w:t>.</w:t>
      </w:r>
      <w:r>
        <w:rPr>
          <w:rFonts w:hint="eastAsia" w:cs="Times New Roman" w:eastAsiaTheme="minorEastAsia"/>
          <w:color w:val="auto"/>
          <w:sz w:val="24"/>
          <w:szCs w:val="24"/>
          <w:highlight w:val="none"/>
          <w:lang w:val="en-US" w:eastAsia="zh-CN"/>
        </w:rPr>
        <w:t>11</w:t>
      </w:r>
      <w:r>
        <w:rPr>
          <w:rFonts w:hint="default" w:ascii="Times New Roman" w:hAnsi="Times New Roman" w:cs="Times New Roman" w:eastAsiaTheme="minorEastAsia"/>
          <w:color w:val="auto"/>
          <w:sz w:val="24"/>
          <w:szCs w:val="24"/>
          <w:highlight w:val="none"/>
        </w:rPr>
        <w:t>的规定。</w:t>
      </w:r>
    </w:p>
    <w:p w14:paraId="45BFD834">
      <w:pPr>
        <w:spacing w:line="360" w:lineRule="auto"/>
        <w:jc w:val="center"/>
        <w:rPr>
          <w:rFonts w:hint="default" w:ascii="Times New Roman" w:hAnsi="Times New Roman" w:cs="Times New Roman"/>
          <w:b/>
          <w:color w:val="auto"/>
          <w:szCs w:val="21"/>
          <w:highlight w:val="none"/>
          <w:lang w:val="en-US" w:eastAsia="zh-CN"/>
        </w:rPr>
      </w:pPr>
      <w:r>
        <w:rPr>
          <w:rFonts w:hint="default" w:ascii="Times New Roman" w:hAnsi="Times New Roman" w:cs="Times New Roman"/>
          <w:b/>
          <w:color w:val="auto"/>
          <w:szCs w:val="21"/>
          <w:highlight w:val="none"/>
          <w:lang w:val="en-US" w:eastAsia="zh-CN"/>
        </w:rPr>
        <w:t>表</w:t>
      </w:r>
      <w:r>
        <w:rPr>
          <w:rFonts w:hint="eastAsia" w:ascii="Times New Roman" w:hAnsi="Times New Roman" w:cs="Times New Roman"/>
          <w:b/>
          <w:color w:val="auto"/>
          <w:szCs w:val="21"/>
          <w:highlight w:val="none"/>
          <w:lang w:val="en-US" w:eastAsia="zh-CN"/>
        </w:rPr>
        <w:t>4.</w:t>
      </w:r>
      <w:r>
        <w:rPr>
          <w:rFonts w:hint="eastAsia" w:cs="Times New Roman"/>
          <w:b/>
          <w:color w:val="auto"/>
          <w:szCs w:val="21"/>
          <w:highlight w:val="none"/>
          <w:lang w:val="en-US" w:eastAsia="zh-CN"/>
        </w:rPr>
        <w:t>6</w:t>
      </w:r>
      <w:r>
        <w:rPr>
          <w:rFonts w:hint="eastAsia" w:ascii="Times New Roman" w:hAnsi="Times New Roman" w:cs="Times New Roman"/>
          <w:b/>
          <w:color w:val="auto"/>
          <w:szCs w:val="21"/>
          <w:highlight w:val="none"/>
          <w:lang w:val="en-US" w:eastAsia="zh-CN"/>
        </w:rPr>
        <w:t>.</w:t>
      </w:r>
      <w:r>
        <w:rPr>
          <w:rFonts w:hint="eastAsia" w:cs="Times New Roman"/>
          <w:b/>
          <w:color w:val="auto"/>
          <w:szCs w:val="21"/>
          <w:highlight w:val="none"/>
          <w:lang w:val="en-US" w:eastAsia="zh-CN"/>
        </w:rPr>
        <w:t>11</w:t>
      </w:r>
      <w:r>
        <w:rPr>
          <w:rFonts w:hint="default" w:ascii="Times New Roman" w:hAnsi="Times New Roman" w:cs="Times New Roman"/>
          <w:b/>
          <w:color w:val="auto"/>
          <w:szCs w:val="21"/>
          <w:highlight w:val="none"/>
          <w:lang w:val="en-US" w:eastAsia="zh-CN"/>
        </w:rPr>
        <w:t>鉴定单元整体稳定性评</w:t>
      </w:r>
      <w:r>
        <w:rPr>
          <w:rFonts w:hint="eastAsia" w:cs="Times New Roman"/>
          <w:b/>
          <w:color w:val="auto"/>
          <w:szCs w:val="21"/>
          <w:highlight w:val="none"/>
          <w:lang w:val="en-US" w:eastAsia="zh-CN"/>
        </w:rPr>
        <w:t>级</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2"/>
        <w:gridCol w:w="1471"/>
        <w:gridCol w:w="2100"/>
        <w:gridCol w:w="1995"/>
        <w:gridCol w:w="1512"/>
      </w:tblGrid>
      <w:tr w14:paraId="33921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82" w:type="dxa"/>
            <w:noWrap w:val="0"/>
            <w:vAlign w:val="top"/>
          </w:tcPr>
          <w:p w14:paraId="6F3B9E2B">
            <w:pPr>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稳定性系数K</w:t>
            </w:r>
          </w:p>
        </w:tc>
        <w:tc>
          <w:tcPr>
            <w:tcW w:w="1471" w:type="dxa"/>
            <w:noWrap w:val="0"/>
            <w:vAlign w:val="top"/>
          </w:tcPr>
          <w:p w14:paraId="6F49DDAC">
            <w:pPr>
              <w:pageBreakBefore w:val="0"/>
              <w:kinsoku/>
              <w:wordWrap/>
              <w:overflowPunct/>
              <w:topLinePunct w:val="0"/>
              <w:bidi w:val="0"/>
              <w:spacing w:line="360" w:lineRule="auto"/>
              <w:ind w:left="-224" w:leftChars="-100" w:hanging="16" w:hangingChars="8"/>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K</w:t>
            </w:r>
            <w:r>
              <w:rPr>
                <w:rFonts w:hint="default" w:ascii="Arial" w:hAnsi="Arial" w:eastAsia="宋体" w:cs="Arial"/>
                <w:color w:val="auto"/>
                <w:sz w:val="21"/>
                <w:szCs w:val="21"/>
                <w:highlight w:val="none"/>
                <w:vertAlign w:val="baseline"/>
              </w:rPr>
              <w:t>≥</w:t>
            </w:r>
            <w:r>
              <w:rPr>
                <w:rFonts w:hint="default" w:ascii="Times New Roman" w:hAnsi="Times New Roman" w:eastAsia="宋体" w:cs="Times New Roman"/>
                <w:color w:val="auto"/>
                <w:sz w:val="21"/>
                <w:szCs w:val="21"/>
                <w:highlight w:val="none"/>
                <w:vertAlign w:val="baseline"/>
              </w:rPr>
              <w:t>1.00K</w:t>
            </w:r>
            <w:r>
              <w:rPr>
                <w:rFonts w:hint="default" w:ascii="Times New Roman" w:hAnsi="Times New Roman" w:eastAsia="宋体" w:cs="Times New Roman"/>
                <w:color w:val="auto"/>
                <w:sz w:val="21"/>
                <w:szCs w:val="21"/>
                <w:highlight w:val="none"/>
                <w:vertAlign w:val="subscript"/>
              </w:rPr>
              <w:t>S</w:t>
            </w:r>
          </w:p>
        </w:tc>
        <w:tc>
          <w:tcPr>
            <w:tcW w:w="2100" w:type="dxa"/>
            <w:noWrap w:val="0"/>
            <w:vAlign w:val="top"/>
          </w:tcPr>
          <w:p w14:paraId="450055DC">
            <w:pPr>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0.96K</w:t>
            </w:r>
            <w:r>
              <w:rPr>
                <w:rFonts w:hint="default" w:ascii="Times New Roman" w:hAnsi="Times New Roman" w:eastAsia="宋体" w:cs="Times New Roman"/>
                <w:color w:val="auto"/>
                <w:sz w:val="21"/>
                <w:szCs w:val="21"/>
                <w:highlight w:val="none"/>
                <w:vertAlign w:val="subscript"/>
              </w:rPr>
              <w:t>S</w:t>
            </w:r>
            <w:r>
              <w:rPr>
                <w:rFonts w:hint="default" w:ascii="Times New Roman" w:hAnsi="Times New Roman" w:eastAsia="宋体" w:cs="Times New Roman"/>
                <w:color w:val="auto"/>
                <w:sz w:val="21"/>
                <w:szCs w:val="21"/>
                <w:highlight w:val="none"/>
                <w:vertAlign w:val="baseline"/>
              </w:rPr>
              <w:t>≤K&lt;1.00K</w:t>
            </w:r>
            <w:r>
              <w:rPr>
                <w:rFonts w:hint="default" w:ascii="Times New Roman" w:hAnsi="Times New Roman" w:eastAsia="宋体" w:cs="Times New Roman"/>
                <w:color w:val="auto"/>
                <w:sz w:val="21"/>
                <w:szCs w:val="21"/>
                <w:highlight w:val="none"/>
                <w:vertAlign w:val="subscript"/>
              </w:rPr>
              <w:t>S</w:t>
            </w:r>
          </w:p>
        </w:tc>
        <w:tc>
          <w:tcPr>
            <w:tcW w:w="1995" w:type="dxa"/>
            <w:noWrap w:val="0"/>
            <w:vAlign w:val="top"/>
          </w:tcPr>
          <w:p w14:paraId="2D285A1A">
            <w:pPr>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0.93K</w:t>
            </w:r>
            <w:r>
              <w:rPr>
                <w:rFonts w:hint="default" w:ascii="Times New Roman" w:hAnsi="Times New Roman" w:eastAsia="宋体" w:cs="Times New Roman"/>
                <w:color w:val="auto"/>
                <w:sz w:val="21"/>
                <w:szCs w:val="21"/>
                <w:highlight w:val="none"/>
                <w:vertAlign w:val="subscript"/>
              </w:rPr>
              <w:t>S</w:t>
            </w:r>
            <w:r>
              <w:rPr>
                <w:rFonts w:hint="default" w:ascii="Times New Roman" w:hAnsi="Times New Roman" w:eastAsia="宋体" w:cs="Times New Roman"/>
                <w:color w:val="auto"/>
                <w:sz w:val="21"/>
                <w:szCs w:val="21"/>
                <w:highlight w:val="none"/>
                <w:vertAlign w:val="baseline"/>
              </w:rPr>
              <w:t>≤K&lt;0.96K</w:t>
            </w:r>
            <w:r>
              <w:rPr>
                <w:rFonts w:hint="default" w:ascii="Times New Roman" w:hAnsi="Times New Roman" w:eastAsia="宋体" w:cs="Times New Roman"/>
                <w:color w:val="auto"/>
                <w:sz w:val="21"/>
                <w:szCs w:val="21"/>
                <w:highlight w:val="none"/>
                <w:vertAlign w:val="subscript"/>
              </w:rPr>
              <w:t>S</w:t>
            </w:r>
          </w:p>
        </w:tc>
        <w:tc>
          <w:tcPr>
            <w:tcW w:w="1512" w:type="dxa"/>
            <w:noWrap w:val="0"/>
            <w:vAlign w:val="top"/>
          </w:tcPr>
          <w:p w14:paraId="6840B37C">
            <w:pPr>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K&lt;0.93K</w:t>
            </w:r>
            <w:r>
              <w:rPr>
                <w:rFonts w:hint="default" w:ascii="Times New Roman" w:hAnsi="Times New Roman" w:eastAsia="宋体" w:cs="Times New Roman"/>
                <w:color w:val="auto"/>
                <w:sz w:val="21"/>
                <w:szCs w:val="21"/>
                <w:highlight w:val="none"/>
                <w:vertAlign w:val="subscript"/>
              </w:rPr>
              <w:t>S</w:t>
            </w:r>
          </w:p>
        </w:tc>
      </w:tr>
      <w:tr w14:paraId="5A1DE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noWrap w:val="0"/>
            <w:vAlign w:val="top"/>
          </w:tcPr>
          <w:p w14:paraId="1C4F1204">
            <w:pPr>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评定等级</w:t>
            </w:r>
          </w:p>
        </w:tc>
        <w:tc>
          <w:tcPr>
            <w:tcW w:w="1471" w:type="dxa"/>
            <w:noWrap w:val="0"/>
            <w:vAlign w:val="top"/>
          </w:tcPr>
          <w:p w14:paraId="58667E53">
            <w:pPr>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A</w:t>
            </w:r>
            <w:r>
              <w:rPr>
                <w:rFonts w:hint="default" w:ascii="Times New Roman" w:hAnsi="Times New Roman" w:eastAsia="宋体" w:cs="Times New Roman"/>
                <w:color w:val="auto"/>
                <w:sz w:val="21"/>
                <w:szCs w:val="21"/>
                <w:highlight w:val="none"/>
                <w:vertAlign w:val="subscript"/>
                <w:lang w:val="en-US" w:eastAsia="zh-CN"/>
              </w:rPr>
              <w:t>su</w:t>
            </w:r>
          </w:p>
        </w:tc>
        <w:tc>
          <w:tcPr>
            <w:tcW w:w="2100" w:type="dxa"/>
            <w:noWrap w:val="0"/>
            <w:vAlign w:val="top"/>
          </w:tcPr>
          <w:p w14:paraId="05BA56FC">
            <w:pPr>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B</w:t>
            </w:r>
            <w:r>
              <w:rPr>
                <w:rFonts w:hint="default" w:ascii="Times New Roman" w:hAnsi="Times New Roman" w:eastAsia="宋体" w:cs="Times New Roman"/>
                <w:color w:val="auto"/>
                <w:sz w:val="21"/>
                <w:szCs w:val="21"/>
                <w:highlight w:val="none"/>
                <w:vertAlign w:val="subscript"/>
                <w:lang w:val="en-US" w:eastAsia="zh-CN"/>
              </w:rPr>
              <w:t>su</w:t>
            </w:r>
          </w:p>
        </w:tc>
        <w:tc>
          <w:tcPr>
            <w:tcW w:w="1995" w:type="dxa"/>
            <w:noWrap w:val="0"/>
            <w:vAlign w:val="top"/>
          </w:tcPr>
          <w:p w14:paraId="76C828AC">
            <w:pPr>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C</w:t>
            </w:r>
            <w:r>
              <w:rPr>
                <w:rFonts w:hint="default" w:ascii="Times New Roman" w:hAnsi="Times New Roman" w:eastAsia="宋体" w:cs="Times New Roman"/>
                <w:color w:val="auto"/>
                <w:sz w:val="21"/>
                <w:szCs w:val="21"/>
                <w:highlight w:val="none"/>
                <w:vertAlign w:val="subscript"/>
                <w:lang w:val="en-US" w:eastAsia="zh-CN"/>
              </w:rPr>
              <w:t>su</w:t>
            </w:r>
          </w:p>
        </w:tc>
        <w:tc>
          <w:tcPr>
            <w:tcW w:w="1512" w:type="dxa"/>
            <w:noWrap w:val="0"/>
            <w:vAlign w:val="top"/>
          </w:tcPr>
          <w:p w14:paraId="384FF0BB">
            <w:pPr>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D</w:t>
            </w:r>
            <w:r>
              <w:rPr>
                <w:rFonts w:hint="default" w:ascii="Times New Roman" w:hAnsi="Times New Roman" w:eastAsia="宋体" w:cs="Times New Roman"/>
                <w:color w:val="auto"/>
                <w:sz w:val="21"/>
                <w:szCs w:val="21"/>
                <w:highlight w:val="none"/>
                <w:vertAlign w:val="subscript"/>
                <w:lang w:val="en-US" w:eastAsia="zh-CN"/>
              </w:rPr>
              <w:t>su</w:t>
            </w:r>
          </w:p>
        </w:tc>
      </w:tr>
    </w:tbl>
    <w:p w14:paraId="331DF2DF">
      <w:pPr>
        <w:keepNext w:val="0"/>
        <w:keepLines w:val="0"/>
        <w:widowControl w:val="0"/>
        <w:suppressLineNumbers w:val="0"/>
        <w:spacing w:before="0" w:beforeAutospacing="0" w:after="0" w:afterAutospacing="0" w:line="360" w:lineRule="auto"/>
        <w:ind w:left="0" w:leftChars="0" w:right="0" w:firstLine="420"/>
        <w:jc w:val="both"/>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注:1</w:t>
      </w:r>
      <w:r>
        <w:rPr>
          <w:rFonts w:hint="eastAsia" w:cs="Times New Roman"/>
          <w:color w:val="auto"/>
          <w:sz w:val="18"/>
          <w:szCs w:val="18"/>
          <w:highlight w:val="none"/>
          <w:vertAlign w:val="baseline"/>
          <w:lang w:val="en-US" w:eastAsia="zh-CN"/>
        </w:rPr>
        <w:t xml:space="preserve"> </w:t>
      </w:r>
      <w:r>
        <w:rPr>
          <w:rFonts w:hint="default" w:ascii="Times New Roman" w:hAnsi="Times New Roman" w:cs="Times New Roman"/>
          <w:color w:val="auto"/>
          <w:sz w:val="18"/>
          <w:szCs w:val="18"/>
          <w:highlight w:val="none"/>
          <w:vertAlign w:val="baseline"/>
          <w:lang w:val="en-US" w:eastAsia="zh-CN"/>
        </w:rPr>
        <w:t>K</w:t>
      </w:r>
      <w:r>
        <w:rPr>
          <w:rFonts w:hint="default" w:ascii="Times New Roman" w:hAnsi="Times New Roman" w:cs="Times New Roman"/>
          <w:color w:val="auto"/>
          <w:sz w:val="18"/>
          <w:szCs w:val="18"/>
          <w:highlight w:val="none"/>
          <w:vertAlign w:val="subscript"/>
          <w:lang w:val="en-US" w:eastAsia="zh-CN"/>
        </w:rPr>
        <w:t>S</w:t>
      </w:r>
      <w:r>
        <w:rPr>
          <w:rFonts w:hint="default" w:ascii="Times New Roman" w:hAnsi="Times New Roman" w:cs="Times New Roman"/>
          <w:color w:val="auto"/>
          <w:sz w:val="18"/>
          <w:szCs w:val="18"/>
          <w:highlight w:val="none"/>
          <w:vertAlign w:val="baseline"/>
          <w:lang w:val="en-US" w:eastAsia="zh-CN"/>
        </w:rPr>
        <w:t>为对应鉴定单元整体稳定性安全系数，取值根据现行行业标准《建筑基坑支护技术规程》JGJ120、《四川省基坑工程勘察设计技术标准》DBJ51/T236有关规定确定；</w:t>
      </w:r>
    </w:p>
    <w:p w14:paraId="6818D10D">
      <w:pPr>
        <w:keepNext w:val="0"/>
        <w:keepLines w:val="0"/>
        <w:widowControl w:val="0"/>
        <w:suppressLineNumbers w:val="0"/>
        <w:spacing w:before="0" w:beforeAutospacing="0" w:after="0" w:afterAutospacing="0" w:line="360" w:lineRule="auto"/>
        <w:ind w:left="0" w:leftChars="0" w:right="0" w:firstLine="420"/>
        <w:jc w:val="both"/>
        <w:rPr>
          <w:rFonts w:hint="default" w:ascii="Times New Roman" w:hAnsi="Times New Roman" w:eastAsia="宋体" w:cs="Times New Roman"/>
          <w:color w:val="auto"/>
          <w:kern w:val="2"/>
          <w:sz w:val="18"/>
          <w:szCs w:val="18"/>
          <w:highlight w:val="none"/>
          <w:lang w:val="en-US" w:eastAsia="zh-CN" w:bidi="ar"/>
        </w:rPr>
      </w:pPr>
      <w:r>
        <w:rPr>
          <w:rFonts w:hint="default" w:ascii="Times New Roman" w:hAnsi="Times New Roman" w:eastAsia="宋体" w:cs="Times New Roman"/>
          <w:color w:val="auto"/>
          <w:kern w:val="2"/>
          <w:sz w:val="18"/>
          <w:szCs w:val="18"/>
          <w:highlight w:val="none"/>
          <w:lang w:val="en-US" w:eastAsia="zh-CN" w:bidi="ar"/>
        </w:rPr>
        <w:t>2基坑</w:t>
      </w:r>
      <w:r>
        <w:rPr>
          <w:rFonts w:hint="default" w:ascii="Times New Roman" w:hAnsi="Times New Roman" w:cs="Times New Roman"/>
          <w:color w:val="auto"/>
          <w:kern w:val="2"/>
          <w:sz w:val="18"/>
          <w:szCs w:val="18"/>
          <w:highlight w:val="none"/>
          <w:lang w:val="en-US" w:eastAsia="zh-CN" w:bidi="ar"/>
        </w:rPr>
        <w:t>开挖滑塌</w:t>
      </w:r>
      <w:r>
        <w:rPr>
          <w:rFonts w:hint="default" w:ascii="Times New Roman" w:hAnsi="Times New Roman" w:eastAsia="宋体" w:cs="Times New Roman"/>
          <w:color w:val="auto"/>
          <w:kern w:val="2"/>
          <w:sz w:val="18"/>
          <w:szCs w:val="18"/>
          <w:highlight w:val="none"/>
          <w:lang w:val="en-US" w:eastAsia="zh-CN" w:bidi="ar"/>
        </w:rPr>
        <w:t>影响范围内无重要建筑物时取小值</w:t>
      </w:r>
      <w:r>
        <w:rPr>
          <w:rFonts w:hint="default" w:ascii="Times New Roman" w:hAnsi="Times New Roman" w:cs="Times New Roman"/>
          <w:color w:val="auto"/>
          <w:kern w:val="2"/>
          <w:sz w:val="18"/>
          <w:szCs w:val="18"/>
          <w:highlight w:val="none"/>
          <w:lang w:val="en-US" w:eastAsia="zh-CN" w:bidi="ar"/>
        </w:rPr>
        <w:t>。</w:t>
      </w:r>
    </w:p>
    <w:p w14:paraId="2CACCB23">
      <w:pPr>
        <w:keepNext w:val="0"/>
        <w:keepLines w:val="0"/>
        <w:widowControl w:val="0"/>
        <w:suppressLineNumbers w:val="0"/>
        <w:spacing w:before="0" w:beforeAutospacing="0" w:after="0" w:afterAutospacing="0" w:line="360" w:lineRule="auto"/>
        <w:ind w:right="0"/>
        <w:jc w:val="both"/>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bCs/>
          <w:color w:val="auto"/>
          <w:kern w:val="2"/>
          <w:sz w:val="24"/>
          <w:szCs w:val="24"/>
          <w:highlight w:val="none"/>
          <w:lang w:val="en-US" w:eastAsia="zh-CN" w:bidi="ar"/>
        </w:rPr>
        <w:t>4.</w:t>
      </w:r>
      <w:r>
        <w:rPr>
          <w:rFonts w:hint="eastAsia" w:cs="Times New Roman"/>
          <w:b/>
          <w:bCs/>
          <w:color w:val="auto"/>
          <w:kern w:val="2"/>
          <w:sz w:val="24"/>
          <w:szCs w:val="24"/>
          <w:highlight w:val="none"/>
          <w:lang w:val="en-US" w:eastAsia="zh-CN" w:bidi="ar"/>
        </w:rPr>
        <w:t>6</w:t>
      </w:r>
      <w:r>
        <w:rPr>
          <w:rFonts w:hint="default" w:ascii="Times New Roman" w:hAnsi="Times New Roman" w:eastAsia="宋体" w:cs="Times New Roman"/>
          <w:b/>
          <w:bCs/>
          <w:color w:val="auto"/>
          <w:kern w:val="2"/>
          <w:sz w:val="24"/>
          <w:szCs w:val="24"/>
          <w:highlight w:val="none"/>
          <w:lang w:val="en-US" w:eastAsia="zh-CN" w:bidi="ar"/>
        </w:rPr>
        <w:t>.</w:t>
      </w:r>
      <w:r>
        <w:rPr>
          <w:rFonts w:hint="eastAsia" w:cs="Times New Roman"/>
          <w:b/>
          <w:bCs/>
          <w:color w:val="auto"/>
          <w:kern w:val="2"/>
          <w:sz w:val="24"/>
          <w:szCs w:val="24"/>
          <w:highlight w:val="none"/>
          <w:lang w:val="en-US" w:eastAsia="zh-CN" w:bidi="ar"/>
        </w:rPr>
        <w:t>12</w:t>
      </w:r>
      <w:r>
        <w:rPr>
          <w:rFonts w:hint="default" w:ascii="Times New Roman" w:hAnsi="Times New Roman" w:eastAsia="宋体" w:cs="Times New Roman"/>
          <w:b w:val="0"/>
          <w:bCs w:val="0"/>
          <w:color w:val="auto"/>
          <w:kern w:val="2"/>
          <w:sz w:val="24"/>
          <w:szCs w:val="24"/>
          <w:highlight w:val="none"/>
          <w:lang w:val="en-US" w:eastAsia="zh-CN" w:bidi="ar"/>
        </w:rPr>
        <w:t>鉴定单元安全性的鉴定评级应符合下列规定：</w:t>
      </w:r>
    </w:p>
    <w:p w14:paraId="53C23F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1应以支护结构</w:t>
      </w:r>
      <w:r>
        <w:rPr>
          <w:rFonts w:hint="eastAsia" w:cs="Times New Roman"/>
          <w:b w:val="0"/>
          <w:bCs w:val="0"/>
          <w:color w:val="auto"/>
          <w:kern w:val="2"/>
          <w:sz w:val="24"/>
          <w:szCs w:val="24"/>
          <w:highlight w:val="none"/>
          <w:lang w:val="en-US" w:eastAsia="zh-CN" w:bidi="ar"/>
        </w:rPr>
        <w:t>子单元</w:t>
      </w:r>
      <w:r>
        <w:rPr>
          <w:rFonts w:hint="default" w:ascii="Times New Roman" w:hAnsi="Times New Roman" w:eastAsia="宋体" w:cs="Times New Roman"/>
          <w:b w:val="0"/>
          <w:bCs w:val="0"/>
          <w:color w:val="auto"/>
          <w:kern w:val="2"/>
          <w:sz w:val="24"/>
          <w:szCs w:val="24"/>
          <w:highlight w:val="none"/>
          <w:lang w:val="en-US" w:eastAsia="zh-CN" w:bidi="ar"/>
        </w:rPr>
        <w:t>和鉴定单元稳定性评级中的最低评定等级，作为鉴定单元的安全性等级；</w:t>
      </w:r>
    </w:p>
    <w:p w14:paraId="6A1C7A3C">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b w:val="0"/>
          <w:bCs w:val="0"/>
          <w:color w:val="auto"/>
          <w:kern w:val="2"/>
          <w:sz w:val="24"/>
          <w:szCs w:val="24"/>
          <w:highlight w:val="none"/>
          <w:lang w:val="en-US" w:eastAsia="zh-CN" w:bidi="ar"/>
        </w:rPr>
      </w:pPr>
      <w:r>
        <w:rPr>
          <w:rFonts w:hint="default" w:cs="Times New Roman"/>
          <w:b w:val="0"/>
          <w:bCs w:val="0"/>
          <w:color w:val="auto"/>
          <w:kern w:val="2"/>
          <w:sz w:val="24"/>
          <w:szCs w:val="24"/>
          <w:highlight w:val="none"/>
          <w:lang w:val="en-US" w:eastAsia="zh-CN" w:bidi="ar"/>
        </w:rPr>
        <w:t>2</w:t>
      </w:r>
      <w:r>
        <w:rPr>
          <w:rFonts w:hint="eastAsia" w:cs="Times New Roman"/>
          <w:b w:val="0"/>
          <w:bCs w:val="0"/>
          <w:color w:val="auto"/>
          <w:kern w:val="2"/>
          <w:sz w:val="24"/>
          <w:szCs w:val="24"/>
          <w:highlight w:val="none"/>
          <w:lang w:val="en-US" w:eastAsia="zh-CN" w:bidi="ar"/>
        </w:rPr>
        <w:t xml:space="preserve"> 当鉴定单元的安全性等级按上款评为 A</w:t>
      </w:r>
      <w:r>
        <w:rPr>
          <w:rFonts w:hint="default" w:cs="Times New Roman"/>
          <w:b w:val="0"/>
          <w:bCs w:val="0"/>
          <w:color w:val="auto"/>
          <w:kern w:val="2"/>
          <w:sz w:val="24"/>
          <w:szCs w:val="24"/>
          <w:highlight w:val="none"/>
          <w:vertAlign w:val="subscript"/>
          <w:lang w:val="en-US" w:eastAsia="zh-CN" w:bidi="ar"/>
        </w:rPr>
        <w:t>su</w:t>
      </w:r>
      <w:r>
        <w:rPr>
          <w:rFonts w:hint="eastAsia" w:cs="Times New Roman"/>
          <w:b w:val="0"/>
          <w:bCs w:val="0"/>
          <w:color w:val="auto"/>
          <w:kern w:val="2"/>
          <w:sz w:val="24"/>
          <w:szCs w:val="24"/>
          <w:highlight w:val="none"/>
          <w:lang w:val="en-US" w:eastAsia="zh-CN" w:bidi="ar"/>
        </w:rPr>
        <w:t>级或 B</w:t>
      </w:r>
      <w:r>
        <w:rPr>
          <w:rFonts w:hint="default" w:cs="Times New Roman"/>
          <w:b w:val="0"/>
          <w:bCs w:val="0"/>
          <w:color w:val="auto"/>
          <w:kern w:val="2"/>
          <w:sz w:val="24"/>
          <w:szCs w:val="24"/>
          <w:highlight w:val="none"/>
          <w:vertAlign w:val="subscript"/>
          <w:lang w:val="en-US" w:eastAsia="zh-CN" w:bidi="ar"/>
        </w:rPr>
        <w:t>su</w:t>
      </w:r>
      <w:r>
        <w:rPr>
          <w:rFonts w:hint="eastAsia" w:cs="Times New Roman"/>
          <w:b w:val="0"/>
          <w:bCs w:val="0"/>
          <w:color w:val="auto"/>
          <w:kern w:val="2"/>
          <w:sz w:val="24"/>
          <w:szCs w:val="24"/>
          <w:highlight w:val="none"/>
          <w:lang w:val="en-US" w:eastAsia="zh-CN" w:bidi="ar"/>
        </w:rPr>
        <w:t xml:space="preserve">级但地表水及地下水控制子单元的等级为 C级或D级时，可根据实际情况将鉴定单元所评等级降低一级或二级，但最后所定的等级不得低 于 </w:t>
      </w:r>
      <w:r>
        <w:rPr>
          <w:rFonts w:hint="default" w:cs="Times New Roman"/>
          <w:b w:val="0"/>
          <w:bCs w:val="0"/>
          <w:color w:val="auto"/>
          <w:kern w:val="2"/>
          <w:sz w:val="24"/>
          <w:szCs w:val="24"/>
          <w:highlight w:val="none"/>
          <w:lang w:val="en-US" w:eastAsia="zh-CN" w:bidi="ar"/>
        </w:rPr>
        <w:t>C</w:t>
      </w:r>
      <w:r>
        <w:rPr>
          <w:rFonts w:hint="default" w:cs="Times New Roman"/>
          <w:b w:val="0"/>
          <w:bCs w:val="0"/>
          <w:color w:val="auto"/>
          <w:kern w:val="2"/>
          <w:sz w:val="24"/>
          <w:szCs w:val="24"/>
          <w:highlight w:val="none"/>
          <w:vertAlign w:val="subscript"/>
          <w:lang w:val="en-US" w:eastAsia="zh-CN" w:bidi="ar"/>
        </w:rPr>
        <w:t>su</w:t>
      </w:r>
      <w:r>
        <w:rPr>
          <w:rFonts w:hint="eastAsia" w:cs="Times New Roman"/>
          <w:b w:val="0"/>
          <w:bCs w:val="0"/>
          <w:color w:val="auto"/>
          <w:kern w:val="2"/>
          <w:sz w:val="24"/>
          <w:szCs w:val="24"/>
          <w:highlight w:val="none"/>
          <w:lang w:val="en-US" w:eastAsia="zh-CN" w:bidi="ar"/>
        </w:rPr>
        <w:t>级。</w:t>
      </w:r>
    </w:p>
    <w:p w14:paraId="0AF165BD">
      <w:pPr>
        <w:keepNext w:val="0"/>
        <w:keepLines w:val="0"/>
        <w:widowControl w:val="0"/>
        <w:suppressLineNumbers w:val="0"/>
        <w:spacing w:before="0" w:beforeAutospacing="0" w:after="0" w:afterAutospacing="0" w:line="360" w:lineRule="auto"/>
        <w:ind w:left="0" w:right="0"/>
        <w:jc w:val="both"/>
        <w:rPr>
          <w:rFonts w:hint="default" w:ascii="楷体" w:hAnsi="楷体" w:eastAsia="楷体" w:cs="楷体"/>
          <w:color w:val="auto"/>
          <w:kern w:val="2"/>
          <w:sz w:val="24"/>
          <w:szCs w:val="24"/>
          <w:highlight w:val="none"/>
          <w:u w:val="single"/>
          <w:lang w:val="en-US" w:eastAsia="zh-CN" w:bidi="ar"/>
        </w:rPr>
      </w:pPr>
      <w:r>
        <w:rPr>
          <w:rFonts w:hint="default" w:ascii="楷体" w:hAnsi="楷体" w:eastAsia="楷体" w:cs="楷体"/>
          <w:color w:val="auto"/>
          <w:kern w:val="2"/>
          <w:sz w:val="24"/>
          <w:szCs w:val="24"/>
          <w:highlight w:val="none"/>
          <w:u w:val="single"/>
          <w:lang w:val="en-US" w:eastAsia="zh-CN" w:bidi="ar"/>
        </w:rPr>
        <w:t>【条文说明】4.</w:t>
      </w:r>
      <w:r>
        <w:rPr>
          <w:rFonts w:hint="eastAsia" w:ascii="楷体" w:hAnsi="楷体" w:eastAsia="楷体" w:cs="楷体"/>
          <w:color w:val="auto"/>
          <w:kern w:val="2"/>
          <w:sz w:val="24"/>
          <w:szCs w:val="24"/>
          <w:highlight w:val="none"/>
          <w:u w:val="single"/>
          <w:lang w:val="en-US" w:eastAsia="zh-CN" w:bidi="ar"/>
        </w:rPr>
        <w:t>6</w:t>
      </w:r>
      <w:r>
        <w:rPr>
          <w:rFonts w:hint="default" w:ascii="楷体" w:hAnsi="楷体" w:eastAsia="楷体" w:cs="楷体"/>
          <w:color w:val="auto"/>
          <w:kern w:val="2"/>
          <w:sz w:val="24"/>
          <w:szCs w:val="24"/>
          <w:highlight w:val="none"/>
          <w:u w:val="single"/>
          <w:lang w:val="en-US" w:eastAsia="zh-CN" w:bidi="ar"/>
        </w:rPr>
        <w:t>.</w:t>
      </w:r>
      <w:r>
        <w:rPr>
          <w:rFonts w:hint="eastAsia" w:ascii="楷体" w:hAnsi="楷体" w:eastAsia="楷体" w:cs="楷体"/>
          <w:color w:val="auto"/>
          <w:kern w:val="2"/>
          <w:sz w:val="24"/>
          <w:szCs w:val="24"/>
          <w:highlight w:val="none"/>
          <w:u w:val="single"/>
          <w:lang w:val="en-US" w:eastAsia="zh-CN" w:bidi="ar"/>
        </w:rPr>
        <w:t>12</w:t>
      </w:r>
      <w:r>
        <w:rPr>
          <w:rFonts w:hint="default" w:ascii="楷体" w:hAnsi="楷体" w:eastAsia="楷体" w:cs="楷体"/>
          <w:color w:val="auto"/>
          <w:kern w:val="2"/>
          <w:sz w:val="24"/>
          <w:szCs w:val="24"/>
          <w:highlight w:val="none"/>
          <w:u w:val="single"/>
          <w:lang w:val="en-US" w:eastAsia="zh-CN" w:bidi="ar"/>
        </w:rPr>
        <w:t>本条在子单元</w:t>
      </w:r>
      <w:r>
        <w:rPr>
          <w:rFonts w:hint="eastAsia" w:ascii="楷体" w:hAnsi="楷体" w:eastAsia="楷体" w:cs="楷体"/>
          <w:color w:val="auto"/>
          <w:kern w:val="2"/>
          <w:sz w:val="24"/>
          <w:szCs w:val="24"/>
          <w:highlight w:val="none"/>
          <w:u w:val="single"/>
          <w:lang w:val="en-US" w:eastAsia="zh-CN" w:bidi="ar"/>
        </w:rPr>
        <w:t>安全性</w:t>
      </w:r>
      <w:r>
        <w:rPr>
          <w:rFonts w:hint="default" w:ascii="楷体" w:hAnsi="楷体" w:eastAsia="楷体" w:cs="楷体"/>
          <w:color w:val="auto"/>
          <w:kern w:val="2"/>
          <w:sz w:val="24"/>
          <w:szCs w:val="24"/>
          <w:highlight w:val="none"/>
          <w:u w:val="single"/>
          <w:lang w:val="en-US" w:eastAsia="zh-CN" w:bidi="ar"/>
        </w:rPr>
        <w:t>评级及</w:t>
      </w:r>
      <w:r>
        <w:rPr>
          <w:rFonts w:hint="eastAsia" w:ascii="楷体" w:hAnsi="楷体" w:eastAsia="楷体" w:cs="楷体"/>
          <w:color w:val="auto"/>
          <w:kern w:val="2"/>
          <w:sz w:val="24"/>
          <w:szCs w:val="24"/>
          <w:highlight w:val="none"/>
          <w:u w:val="single"/>
          <w:lang w:val="en-US" w:eastAsia="zh-CN" w:bidi="ar"/>
        </w:rPr>
        <w:t>鉴定单元</w:t>
      </w:r>
      <w:r>
        <w:rPr>
          <w:rFonts w:hint="default" w:ascii="楷体" w:hAnsi="楷体" w:eastAsia="楷体" w:cs="楷体"/>
          <w:color w:val="auto"/>
          <w:kern w:val="2"/>
          <w:sz w:val="24"/>
          <w:szCs w:val="24"/>
          <w:highlight w:val="none"/>
          <w:u w:val="single"/>
          <w:lang w:val="en-US" w:eastAsia="zh-CN" w:bidi="ar"/>
        </w:rPr>
        <w:t>稳定性评级的基础上给出了鉴定单元安全性评级方法。</w:t>
      </w:r>
    </w:p>
    <w:bookmarkEnd w:id="30"/>
    <w:p w14:paraId="75CC14CD">
      <w:pPr>
        <w:pStyle w:val="3"/>
        <w:suppressLineNumbers w:val="0"/>
        <w:spacing w:before="0" w:beforeLines="-2147483648" w:beforeAutospacing="0" w:after="0" w:afterLines="-2147483648" w:afterAutospacing="0" w:line="360" w:lineRule="auto"/>
        <w:ind w:left="0" w:firstLine="0"/>
        <w:rPr>
          <w:rFonts w:hint="default" w:ascii="Times New Roman" w:hAnsi="Times New Roman" w:cs="Times New Roman" w:eastAsiaTheme="minorEastAsia"/>
          <w:bCs w:val="0"/>
          <w:sz w:val="28"/>
          <w:szCs w:val="28"/>
          <w:lang w:val="en-US" w:eastAsia="zh-CN" w:bidi="ar-SA"/>
        </w:rPr>
      </w:pPr>
      <w:bookmarkStart w:id="32" w:name="_Toc27315"/>
      <w:bookmarkStart w:id="33" w:name="_Toc20033"/>
      <w:r>
        <w:rPr>
          <w:rFonts w:hint="default" w:ascii="Times New Roman" w:hAnsi="Times New Roman" w:cs="Times New Roman" w:eastAsiaTheme="minorEastAsia"/>
          <w:bCs w:val="0"/>
          <w:sz w:val="28"/>
          <w:szCs w:val="28"/>
          <w:lang w:val="en-US" w:eastAsia="zh-CN" w:bidi="ar-SA"/>
        </w:rPr>
        <w:t>4.7鉴定报告</w:t>
      </w:r>
      <w:bookmarkEnd w:id="32"/>
      <w:bookmarkEnd w:id="33"/>
    </w:p>
    <w:p w14:paraId="76DB16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both"/>
        <w:textAlignment w:val="auto"/>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lang w:val="en-US" w:eastAsia="zh-CN" w:bidi="ar"/>
        </w:rPr>
        <w:t>4.</w:t>
      </w:r>
      <w:r>
        <w:rPr>
          <w:rFonts w:hint="default" w:ascii="Times New Roman" w:hAnsi="Times New Roman" w:cs="Times New Roman"/>
          <w:b/>
          <w:bCs/>
          <w:color w:val="auto"/>
          <w:kern w:val="2"/>
          <w:sz w:val="24"/>
          <w:szCs w:val="24"/>
          <w:highlight w:val="none"/>
          <w:lang w:val="en-US" w:eastAsia="zh-CN" w:bidi="ar"/>
        </w:rPr>
        <w:t>7</w:t>
      </w:r>
      <w:r>
        <w:rPr>
          <w:rFonts w:hint="default" w:ascii="Times New Roman" w:hAnsi="Times New Roman" w:eastAsia="宋体" w:cs="Times New Roman"/>
          <w:b/>
          <w:bCs/>
          <w:color w:val="auto"/>
          <w:kern w:val="2"/>
          <w:sz w:val="24"/>
          <w:szCs w:val="24"/>
          <w:highlight w:val="none"/>
          <w:lang w:val="en-US" w:eastAsia="zh-CN" w:bidi="ar"/>
        </w:rPr>
        <w:t xml:space="preserve">.1 </w:t>
      </w:r>
      <w:r>
        <w:rPr>
          <w:rFonts w:hint="default" w:ascii="Times New Roman" w:hAnsi="Times New Roman" w:eastAsia="宋体" w:cs="Times New Roman"/>
          <w:b w:val="0"/>
          <w:bCs w:val="0"/>
          <w:color w:val="auto"/>
          <w:kern w:val="2"/>
          <w:sz w:val="24"/>
          <w:szCs w:val="24"/>
          <w:highlight w:val="none"/>
          <w:lang w:val="en-US" w:eastAsia="zh-CN" w:bidi="ar"/>
        </w:rPr>
        <w:t>基坑工程鉴定报告宜包括下列内容：</w:t>
      </w:r>
    </w:p>
    <w:p w14:paraId="77A544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lang w:val="en-US" w:eastAsia="zh-CN" w:bidi="ar"/>
        </w:rPr>
        <w:t>1</w:t>
      </w:r>
      <w:r>
        <w:rPr>
          <w:rFonts w:hint="default" w:ascii="Times New Roman" w:hAnsi="Times New Roman" w:eastAsia="宋体" w:cs="Times New Roman"/>
          <w:color w:val="auto"/>
          <w:kern w:val="2"/>
          <w:sz w:val="24"/>
          <w:szCs w:val="24"/>
          <w:highlight w:val="none"/>
          <w:lang w:val="en-US" w:eastAsia="zh-CN" w:bidi="ar"/>
        </w:rPr>
        <w:t xml:space="preserve"> </w:t>
      </w:r>
      <w:r>
        <w:rPr>
          <w:rFonts w:hint="default" w:ascii="Times New Roman" w:hAnsi="Times New Roman" w:cs="Times New Roman"/>
          <w:color w:val="auto"/>
          <w:kern w:val="2"/>
          <w:sz w:val="24"/>
          <w:szCs w:val="24"/>
          <w:highlight w:val="non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工程概况：主要包括项目概况、基坑深度、支护结构的类型、安全等级、 设计使用年限、基坑截排水与地下水控制、基坑周边环境敏感点（如地铁、历史建筑等）、基坑的勘察、设计、施工、监测、监理单位；</w:t>
      </w:r>
    </w:p>
    <w:p w14:paraId="568855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lang w:val="en-US" w:eastAsia="zh-CN" w:bidi="ar"/>
        </w:rPr>
        <w:t>2</w:t>
      </w:r>
      <w:r>
        <w:rPr>
          <w:rFonts w:hint="default" w:ascii="Times New Roman" w:hAnsi="Times New Roman" w:eastAsia="宋体" w:cs="Times New Roman"/>
          <w:color w:val="auto"/>
          <w:kern w:val="2"/>
          <w:sz w:val="24"/>
          <w:szCs w:val="24"/>
          <w:highlight w:val="none"/>
          <w:lang w:val="en-US" w:eastAsia="zh-CN" w:bidi="ar"/>
        </w:rPr>
        <w:t xml:space="preserve"> </w:t>
      </w:r>
      <w:r>
        <w:rPr>
          <w:rFonts w:hint="default" w:ascii="Times New Roman" w:hAnsi="Times New Roman" w:cs="Times New Roman"/>
          <w:color w:val="auto"/>
          <w:kern w:val="2"/>
          <w:sz w:val="24"/>
          <w:szCs w:val="24"/>
          <w:highlight w:val="non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鉴定的目的、范围、内容和要求；</w:t>
      </w:r>
    </w:p>
    <w:p w14:paraId="248E52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lang w:val="en-US" w:eastAsia="zh-CN" w:bidi="ar"/>
        </w:rPr>
        <w:t>3</w:t>
      </w:r>
      <w:r>
        <w:rPr>
          <w:rFonts w:hint="default" w:ascii="Times New Roman" w:hAnsi="Times New Roman" w:eastAsia="宋体" w:cs="Times New Roman"/>
          <w:color w:val="auto"/>
          <w:kern w:val="2"/>
          <w:sz w:val="24"/>
          <w:szCs w:val="24"/>
          <w:highlight w:val="none"/>
          <w:lang w:val="en-US" w:eastAsia="zh-CN" w:bidi="ar"/>
        </w:rPr>
        <w:t xml:space="preserve"> </w:t>
      </w:r>
      <w:r>
        <w:rPr>
          <w:rFonts w:hint="default" w:ascii="Times New Roman" w:hAnsi="Times New Roman" w:cs="Times New Roman"/>
          <w:color w:val="auto"/>
          <w:kern w:val="2"/>
          <w:sz w:val="24"/>
          <w:szCs w:val="24"/>
          <w:highlight w:val="non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鉴定所依据的标准及有关技术资料；</w:t>
      </w:r>
    </w:p>
    <w:p w14:paraId="08347C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lang w:val="en-US" w:eastAsia="zh-CN" w:bidi="ar"/>
        </w:rPr>
        <w:t>4</w:t>
      </w:r>
      <w:r>
        <w:rPr>
          <w:rFonts w:hint="default" w:ascii="Times New Roman" w:hAnsi="Times New Roman" w:eastAsia="宋体" w:cs="Times New Roman"/>
          <w:color w:val="auto"/>
          <w:kern w:val="2"/>
          <w:sz w:val="24"/>
          <w:szCs w:val="24"/>
          <w:highlight w:val="none"/>
          <w:lang w:val="en-US" w:eastAsia="zh-CN" w:bidi="ar"/>
        </w:rPr>
        <w:t xml:space="preserve"> </w:t>
      </w:r>
      <w:r>
        <w:rPr>
          <w:rFonts w:hint="default" w:ascii="Times New Roman" w:hAnsi="Times New Roman" w:cs="Times New Roman"/>
          <w:color w:val="auto"/>
          <w:kern w:val="2"/>
          <w:sz w:val="24"/>
          <w:szCs w:val="24"/>
          <w:highlight w:val="non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工程地质与水文地质条件；</w:t>
      </w:r>
    </w:p>
    <w:p w14:paraId="570C7A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lang w:val="en-US" w:eastAsia="zh-CN" w:bidi="ar"/>
        </w:rPr>
        <w:t>5</w:t>
      </w:r>
      <w:r>
        <w:rPr>
          <w:rFonts w:hint="default" w:ascii="Times New Roman" w:hAnsi="Times New Roman" w:eastAsia="宋体" w:cs="Times New Roman"/>
          <w:color w:val="auto"/>
          <w:kern w:val="2"/>
          <w:sz w:val="24"/>
          <w:szCs w:val="24"/>
          <w:highlight w:val="none"/>
          <w:lang w:val="en-US" w:eastAsia="zh-CN" w:bidi="ar"/>
        </w:rPr>
        <w:t xml:space="preserve"> </w:t>
      </w:r>
      <w:r>
        <w:rPr>
          <w:rFonts w:hint="default" w:ascii="Times New Roman" w:hAnsi="Times New Roman" w:cs="Times New Roman"/>
          <w:color w:val="auto"/>
          <w:kern w:val="2"/>
          <w:sz w:val="24"/>
          <w:szCs w:val="24"/>
          <w:highlight w:val="non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现场调查、检验、支护结构、基坑截排水与地下水控制情况及实测数据；</w:t>
      </w:r>
    </w:p>
    <w:p w14:paraId="4B615D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lang w:val="en-US" w:eastAsia="zh-CN" w:bidi="ar"/>
        </w:rPr>
        <w:t>6</w:t>
      </w:r>
      <w:r>
        <w:rPr>
          <w:rFonts w:hint="default" w:ascii="Times New Roman" w:hAnsi="Times New Roman" w:eastAsia="宋体" w:cs="Times New Roman"/>
          <w:color w:val="auto"/>
          <w:kern w:val="2"/>
          <w:sz w:val="24"/>
          <w:szCs w:val="24"/>
          <w:highlight w:val="none"/>
          <w:lang w:val="en-US" w:eastAsia="zh-CN" w:bidi="ar"/>
        </w:rPr>
        <w:t xml:space="preserve"> </w:t>
      </w:r>
      <w:r>
        <w:rPr>
          <w:rFonts w:hint="default" w:ascii="Times New Roman" w:hAnsi="Times New Roman" w:cs="Times New Roman"/>
          <w:color w:val="auto"/>
          <w:kern w:val="2"/>
          <w:sz w:val="24"/>
          <w:szCs w:val="24"/>
          <w:highlight w:val="non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鉴定分析；</w:t>
      </w:r>
    </w:p>
    <w:p w14:paraId="4C9FC4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lang w:val="en-US" w:eastAsia="zh-CN" w:bidi="ar"/>
        </w:rPr>
        <w:t>7</w:t>
      </w:r>
      <w:r>
        <w:rPr>
          <w:rFonts w:hint="default" w:ascii="Times New Roman" w:hAnsi="Times New Roman" w:eastAsia="宋体" w:cs="Times New Roman"/>
          <w:color w:val="auto"/>
          <w:kern w:val="2"/>
          <w:sz w:val="24"/>
          <w:szCs w:val="24"/>
          <w:highlight w:val="none"/>
          <w:lang w:val="en-US" w:eastAsia="zh-CN" w:bidi="ar"/>
        </w:rPr>
        <w:t xml:space="preserve"> </w:t>
      </w:r>
      <w:r>
        <w:rPr>
          <w:rFonts w:hint="default" w:ascii="Times New Roman" w:hAnsi="Times New Roman" w:cs="Times New Roman"/>
          <w:color w:val="auto"/>
          <w:kern w:val="2"/>
          <w:sz w:val="24"/>
          <w:szCs w:val="24"/>
          <w:highlight w:val="non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鉴定结论及建议；</w:t>
      </w:r>
    </w:p>
    <w:p w14:paraId="32D9F4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lang w:val="en-US" w:eastAsia="zh-CN" w:bidi="ar"/>
        </w:rPr>
        <w:t>8</w:t>
      </w:r>
      <w:r>
        <w:rPr>
          <w:rFonts w:hint="default" w:ascii="Times New Roman" w:hAnsi="Times New Roman" w:eastAsia="宋体" w:cs="Times New Roman"/>
          <w:color w:val="auto"/>
          <w:kern w:val="2"/>
          <w:sz w:val="24"/>
          <w:szCs w:val="24"/>
          <w:highlight w:val="none"/>
          <w:lang w:val="en-US" w:eastAsia="zh-CN" w:bidi="ar"/>
        </w:rPr>
        <w:t xml:space="preserve"> </w:t>
      </w:r>
      <w:r>
        <w:rPr>
          <w:rFonts w:hint="default" w:ascii="Times New Roman" w:hAnsi="Times New Roman" w:cs="Times New Roman"/>
          <w:color w:val="auto"/>
          <w:kern w:val="2"/>
          <w:sz w:val="24"/>
          <w:szCs w:val="24"/>
          <w:highlight w:val="non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附件。</w:t>
      </w:r>
    </w:p>
    <w:p w14:paraId="52EB99EE">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楷体" w:cs="Times New Roman"/>
          <w:color w:val="auto"/>
          <w:kern w:val="2"/>
          <w:sz w:val="24"/>
          <w:szCs w:val="24"/>
          <w:highlight w:val="none"/>
          <w:u w:val="single"/>
        </w:rPr>
      </w:pPr>
      <w:r>
        <w:rPr>
          <w:rFonts w:hint="default" w:ascii="Times New Roman" w:hAnsi="Times New Roman" w:eastAsia="楷体" w:cs="Times New Roman"/>
          <w:color w:val="auto"/>
          <w:kern w:val="2"/>
          <w:sz w:val="24"/>
          <w:szCs w:val="24"/>
          <w:highlight w:val="none"/>
          <w:u w:val="single"/>
          <w:lang w:val="en-US" w:eastAsia="zh-CN" w:bidi="ar"/>
        </w:rPr>
        <w:t>【条文说明】本条规定鉴定报告宜包含的基本内容。根据基坑工程的实际情况，鉴定的目的、范围、内容和要求，报告所包括的内容可适当增加或减少，基坑超期使用年限不应超过设计使用年限。附件宜附基坑支护平面布置图。</w:t>
      </w:r>
    </w:p>
    <w:p w14:paraId="61938080">
      <w:pPr>
        <w:keepNext w:val="0"/>
        <w:keepLines w:val="0"/>
        <w:widowControl w:val="0"/>
        <w:suppressLineNumbers w:val="0"/>
        <w:spacing w:before="0" w:beforeAutospacing="0" w:after="0" w:afterAutospacing="0" w:line="360" w:lineRule="auto"/>
        <w:ind w:left="0" w:leftChars="0" w:right="0"/>
        <w:jc w:val="both"/>
        <w:rPr>
          <w:rFonts w:hint="default" w:ascii="Times New Roman" w:hAnsi="Times New Roman" w:eastAsia="宋体" w:cs="Times New Roman"/>
          <w:b/>
          <w:bCs/>
          <w:color w:val="auto"/>
          <w:kern w:val="2"/>
          <w:sz w:val="24"/>
          <w:szCs w:val="24"/>
          <w:highlight w:val="none"/>
          <w:lang w:val="en-US" w:eastAsia="zh-CN" w:bidi="ar"/>
        </w:rPr>
      </w:pPr>
      <w:r>
        <w:rPr>
          <w:rFonts w:hint="default" w:ascii="Times New Roman" w:hAnsi="Times New Roman" w:eastAsia="宋体" w:cs="Times New Roman"/>
          <w:b/>
          <w:bCs/>
          <w:color w:val="auto"/>
          <w:kern w:val="2"/>
          <w:sz w:val="24"/>
          <w:szCs w:val="24"/>
          <w:highlight w:val="none"/>
          <w:lang w:val="en-US" w:eastAsia="zh-CN" w:bidi="ar"/>
        </w:rPr>
        <w:t>4.</w:t>
      </w:r>
      <w:r>
        <w:rPr>
          <w:rFonts w:hint="default" w:ascii="Times New Roman" w:hAnsi="Times New Roman" w:cs="Times New Roman"/>
          <w:b/>
          <w:bCs/>
          <w:color w:val="auto"/>
          <w:kern w:val="2"/>
          <w:sz w:val="24"/>
          <w:szCs w:val="24"/>
          <w:highlight w:val="none"/>
          <w:lang w:val="en-US" w:eastAsia="zh-CN" w:bidi="ar"/>
        </w:rPr>
        <w:t>7</w:t>
      </w:r>
      <w:r>
        <w:rPr>
          <w:rFonts w:hint="default" w:ascii="Times New Roman" w:hAnsi="Times New Roman" w:eastAsia="宋体" w:cs="Times New Roman"/>
          <w:b/>
          <w:bCs/>
          <w:color w:val="auto"/>
          <w:kern w:val="2"/>
          <w:sz w:val="24"/>
          <w:szCs w:val="24"/>
          <w:highlight w:val="none"/>
          <w:lang w:val="en-US" w:eastAsia="zh-CN" w:bidi="ar"/>
        </w:rPr>
        <w:t>.</w:t>
      </w:r>
      <w:r>
        <w:rPr>
          <w:rFonts w:hint="default" w:ascii="Times New Roman" w:hAnsi="Times New Roman" w:cs="Times New Roman"/>
          <w:b/>
          <w:bCs/>
          <w:color w:val="auto"/>
          <w:kern w:val="2"/>
          <w:sz w:val="24"/>
          <w:szCs w:val="24"/>
          <w:highlight w:val="none"/>
          <w:lang w:val="en-US" w:eastAsia="zh-CN" w:bidi="ar"/>
        </w:rPr>
        <w:t>2</w:t>
      </w:r>
      <w:r>
        <w:rPr>
          <w:rFonts w:hint="default" w:ascii="Times New Roman" w:hAnsi="Times New Roman" w:eastAsia="宋体" w:cs="Times New Roman"/>
          <w:b/>
          <w:bCs/>
          <w:color w:val="auto"/>
          <w:kern w:val="2"/>
          <w:sz w:val="24"/>
          <w:szCs w:val="24"/>
          <w:highlight w:val="none"/>
          <w:lang w:val="en-US" w:eastAsia="zh-CN" w:bidi="ar"/>
        </w:rPr>
        <w:t xml:space="preserve"> </w:t>
      </w:r>
      <w:r>
        <w:rPr>
          <w:rFonts w:hint="default" w:ascii="Times New Roman" w:hAnsi="Times New Roman" w:eastAsia="宋体" w:cs="Times New Roman"/>
          <w:b w:val="0"/>
          <w:bCs w:val="0"/>
          <w:color w:val="auto"/>
          <w:kern w:val="2"/>
          <w:sz w:val="24"/>
          <w:szCs w:val="24"/>
          <w:highlight w:val="none"/>
          <w:lang w:val="en-US" w:eastAsia="zh-CN" w:bidi="ar"/>
        </w:rPr>
        <w:t>鉴定报告的编写应符合下列规定：</w:t>
      </w:r>
    </w:p>
    <w:p w14:paraId="4F6867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1 鉴定报告中应明确鉴定结果，指明鉴定对象的最终评级结果，作为技术管理或加固设计与施工的依据；</w:t>
      </w:r>
    </w:p>
    <w:p w14:paraId="2D7AAC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2 鉴定报告宜按表4.7.2明确各层次构件、子单元和鉴定单元的评级结果，且应明确处理对象，对安全性等级为c级和d级的构件，及C级和D级的子单元单元的数量、所处位置做出详细说明，并提出处理建议。</w:t>
      </w:r>
    </w:p>
    <w:p w14:paraId="4E937A06">
      <w:pPr>
        <w:spacing w:line="360" w:lineRule="auto"/>
        <w:jc w:val="center"/>
        <w:rPr>
          <w:rFonts w:hint="default" w:ascii="Times New Roman" w:hAnsi="Times New Roman" w:cs="Times New Roman"/>
          <w:b/>
          <w:color w:val="auto"/>
          <w:szCs w:val="21"/>
          <w:highlight w:val="none"/>
          <w:lang w:val="en-US" w:eastAsia="zh-CN"/>
        </w:rPr>
      </w:pPr>
      <w:r>
        <w:rPr>
          <w:rFonts w:hint="default" w:ascii="Times New Roman" w:hAnsi="Times New Roman" w:cs="Times New Roman"/>
          <w:b/>
          <w:color w:val="auto"/>
          <w:szCs w:val="21"/>
          <w:highlight w:val="none"/>
          <w:lang w:val="en-US" w:eastAsia="zh-CN"/>
        </w:rPr>
        <w:t>表4.7.2基坑工程鉴定评级汇总表</w:t>
      </w:r>
    </w:p>
    <w:tbl>
      <w:tblPr>
        <w:tblStyle w:val="32"/>
        <w:tblW w:w="500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58"/>
        <w:gridCol w:w="2683"/>
        <w:gridCol w:w="2433"/>
        <w:gridCol w:w="2589"/>
      </w:tblGrid>
      <w:tr w14:paraId="538A1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653" w:type="pct"/>
            <w:noWrap w:val="0"/>
            <w:vAlign w:val="top"/>
          </w:tcPr>
          <w:p w14:paraId="0F886B37">
            <w:pPr>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鉴定单元</w:t>
            </w:r>
          </w:p>
        </w:tc>
        <w:tc>
          <w:tcPr>
            <w:tcW w:w="1513" w:type="pct"/>
            <w:noWrap w:val="0"/>
            <w:vAlign w:val="top"/>
          </w:tcPr>
          <w:p w14:paraId="539A0402">
            <w:pPr>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支护结构构件评级结果</w:t>
            </w:r>
          </w:p>
        </w:tc>
        <w:tc>
          <w:tcPr>
            <w:tcW w:w="1372" w:type="pct"/>
            <w:noWrap w:val="0"/>
            <w:vAlign w:val="top"/>
          </w:tcPr>
          <w:p w14:paraId="5DF561A6">
            <w:pPr>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子单元评级结果</w:t>
            </w:r>
          </w:p>
        </w:tc>
        <w:tc>
          <w:tcPr>
            <w:tcW w:w="1459" w:type="pct"/>
            <w:noWrap w:val="0"/>
            <w:vAlign w:val="top"/>
          </w:tcPr>
          <w:p w14:paraId="681B1CC4">
            <w:pPr>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鉴定单元评级结果</w:t>
            </w:r>
          </w:p>
        </w:tc>
      </w:tr>
      <w:tr w14:paraId="36F79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58" w:type="dxa"/>
            <w:noWrap w:val="0"/>
            <w:vAlign w:val="top"/>
          </w:tcPr>
          <w:p w14:paraId="7EA3D460">
            <w:pPr>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highlight w:val="none"/>
                <w:vertAlign w:val="baseline"/>
              </w:rPr>
            </w:pPr>
            <w:r>
              <w:rPr>
                <w:rFonts w:hint="default" w:ascii="宋体" w:hAnsi="宋体" w:eastAsia="宋体" w:cs="宋体"/>
                <w:color w:val="auto"/>
                <w:sz w:val="21"/>
                <w:szCs w:val="21"/>
                <w:highlight w:val="none"/>
                <w:vertAlign w:val="baseline"/>
              </w:rPr>
              <w:t>I</w:t>
            </w:r>
          </w:p>
        </w:tc>
        <w:tc>
          <w:tcPr>
            <w:tcW w:w="2683" w:type="dxa"/>
            <w:noWrap w:val="0"/>
            <w:vAlign w:val="top"/>
          </w:tcPr>
          <w:p w14:paraId="3452C77D">
            <w:pPr>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highlight w:val="none"/>
                <w:vertAlign w:val="baseline"/>
              </w:rPr>
            </w:pPr>
            <w:r>
              <w:rPr>
                <w:rFonts w:hint="default" w:ascii="宋体" w:hAnsi="宋体" w:eastAsia="宋体" w:cs="宋体"/>
                <w:color w:val="auto"/>
                <w:sz w:val="21"/>
                <w:szCs w:val="21"/>
                <w:highlight w:val="none"/>
                <w:vertAlign w:val="baseline"/>
              </w:rPr>
              <w:t>a、b、</w:t>
            </w:r>
            <w:r>
              <w:rPr>
                <w:rFonts w:hint="eastAsia" w:ascii="宋体" w:hAnsi="宋体" w:eastAsia="宋体" w:cs="宋体"/>
                <w:color w:val="auto"/>
                <w:sz w:val="21"/>
                <w:szCs w:val="21"/>
                <w:highlight w:val="none"/>
                <w:vertAlign w:val="baseline"/>
                <w:lang w:val="en-US" w:eastAsia="zh-CN"/>
              </w:rPr>
              <w:t>c</w:t>
            </w:r>
            <w:r>
              <w:rPr>
                <w:rFonts w:hint="default" w:ascii="宋体" w:hAnsi="宋体" w:eastAsia="宋体" w:cs="宋体"/>
                <w:color w:val="auto"/>
                <w:sz w:val="21"/>
                <w:szCs w:val="21"/>
                <w:highlight w:val="none"/>
                <w:vertAlign w:val="baseline"/>
              </w:rPr>
              <w:t>、d</w:t>
            </w:r>
          </w:p>
        </w:tc>
        <w:tc>
          <w:tcPr>
            <w:tcW w:w="2433" w:type="dxa"/>
            <w:noWrap w:val="0"/>
            <w:vAlign w:val="top"/>
          </w:tcPr>
          <w:p w14:paraId="67A5723B">
            <w:pPr>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highlight w:val="none"/>
                <w:vertAlign w:val="baseline"/>
              </w:rPr>
            </w:pPr>
            <w:r>
              <w:rPr>
                <w:rFonts w:hint="default" w:ascii="宋体" w:hAnsi="宋体" w:eastAsia="宋体" w:cs="宋体"/>
                <w:color w:val="auto"/>
                <w:sz w:val="21"/>
                <w:szCs w:val="21"/>
                <w:highlight w:val="none"/>
                <w:vertAlign w:val="baseline"/>
              </w:rPr>
              <w:t>A、B、C、D</w:t>
            </w:r>
          </w:p>
        </w:tc>
        <w:tc>
          <w:tcPr>
            <w:tcW w:w="2589" w:type="dxa"/>
            <w:noWrap w:val="0"/>
            <w:vAlign w:val="top"/>
          </w:tcPr>
          <w:p w14:paraId="02EE9716">
            <w:pPr>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highlight w:val="none"/>
                <w:vertAlign w:val="baseline"/>
              </w:rPr>
            </w:pPr>
            <w:r>
              <w:rPr>
                <w:rFonts w:hint="default" w:ascii="宋体" w:hAnsi="宋体" w:eastAsia="宋体" w:cs="宋体"/>
                <w:color w:val="auto"/>
                <w:sz w:val="21"/>
                <w:szCs w:val="21"/>
                <w:highlight w:val="none"/>
                <w:vertAlign w:val="baseline"/>
              </w:rPr>
              <w:t>A</w:t>
            </w:r>
            <w:r>
              <w:rPr>
                <w:rFonts w:hint="default" w:ascii="宋体" w:hAnsi="宋体" w:eastAsia="宋体" w:cs="宋体"/>
                <w:color w:val="auto"/>
                <w:sz w:val="21"/>
                <w:szCs w:val="21"/>
                <w:highlight w:val="none"/>
                <w:vertAlign w:val="subscript"/>
              </w:rPr>
              <w:t>su</w:t>
            </w:r>
            <w:r>
              <w:rPr>
                <w:rFonts w:hint="default" w:ascii="宋体" w:hAnsi="宋体" w:eastAsia="宋体" w:cs="宋体"/>
                <w:color w:val="auto"/>
                <w:sz w:val="21"/>
                <w:szCs w:val="21"/>
                <w:highlight w:val="none"/>
                <w:vertAlign w:val="baseline"/>
              </w:rPr>
              <w:t>、B</w:t>
            </w:r>
            <w:r>
              <w:rPr>
                <w:rFonts w:hint="default" w:ascii="宋体" w:hAnsi="宋体" w:eastAsia="宋体" w:cs="宋体"/>
                <w:color w:val="auto"/>
                <w:sz w:val="21"/>
                <w:szCs w:val="21"/>
                <w:highlight w:val="none"/>
                <w:vertAlign w:val="subscript"/>
              </w:rPr>
              <w:t>su</w:t>
            </w:r>
            <w:r>
              <w:rPr>
                <w:rFonts w:hint="default" w:ascii="宋体" w:hAnsi="宋体" w:eastAsia="宋体" w:cs="宋体"/>
                <w:color w:val="auto"/>
                <w:sz w:val="21"/>
                <w:szCs w:val="21"/>
                <w:highlight w:val="none"/>
                <w:vertAlign w:val="baseline"/>
              </w:rPr>
              <w:t>、C</w:t>
            </w:r>
            <w:r>
              <w:rPr>
                <w:rFonts w:hint="default" w:ascii="宋体" w:hAnsi="宋体" w:eastAsia="宋体" w:cs="宋体"/>
                <w:color w:val="auto"/>
                <w:sz w:val="21"/>
                <w:szCs w:val="21"/>
                <w:highlight w:val="none"/>
                <w:vertAlign w:val="subscript"/>
              </w:rPr>
              <w:t>su</w:t>
            </w:r>
            <w:r>
              <w:rPr>
                <w:rFonts w:hint="default" w:ascii="宋体" w:hAnsi="宋体" w:eastAsia="宋体" w:cs="宋体"/>
                <w:color w:val="auto"/>
                <w:sz w:val="21"/>
                <w:szCs w:val="21"/>
                <w:highlight w:val="none"/>
                <w:vertAlign w:val="baseline"/>
              </w:rPr>
              <w:t>、D</w:t>
            </w:r>
            <w:r>
              <w:rPr>
                <w:rFonts w:hint="default" w:ascii="宋体" w:hAnsi="宋体" w:eastAsia="宋体" w:cs="宋体"/>
                <w:color w:val="auto"/>
                <w:sz w:val="21"/>
                <w:szCs w:val="21"/>
                <w:highlight w:val="none"/>
                <w:vertAlign w:val="subscript"/>
              </w:rPr>
              <w:t>su</w:t>
            </w:r>
          </w:p>
        </w:tc>
      </w:tr>
      <w:tr w14:paraId="07668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158" w:type="dxa"/>
            <w:noWrap w:val="0"/>
            <w:vAlign w:val="top"/>
          </w:tcPr>
          <w:p w14:paraId="4F928284">
            <w:pPr>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highlight w:val="none"/>
                <w:vertAlign w:val="baseline"/>
              </w:rPr>
            </w:pPr>
            <w:r>
              <w:rPr>
                <w:rFonts w:hint="default" w:ascii="宋体" w:hAnsi="宋体" w:eastAsia="宋体" w:cs="宋体"/>
                <w:color w:val="auto"/>
                <w:sz w:val="21"/>
                <w:szCs w:val="21"/>
                <w:highlight w:val="none"/>
                <w:vertAlign w:val="baseline"/>
              </w:rPr>
              <w:t>Ⅱ</w:t>
            </w:r>
          </w:p>
        </w:tc>
        <w:tc>
          <w:tcPr>
            <w:tcW w:w="2683" w:type="dxa"/>
            <w:noWrap w:val="0"/>
            <w:vAlign w:val="top"/>
          </w:tcPr>
          <w:p w14:paraId="78DC288D">
            <w:pPr>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highlight w:val="none"/>
                <w:vertAlign w:val="baseline"/>
              </w:rPr>
            </w:pPr>
            <w:r>
              <w:rPr>
                <w:rFonts w:hint="default" w:ascii="宋体" w:hAnsi="宋体" w:eastAsia="宋体" w:cs="宋体"/>
                <w:color w:val="auto"/>
                <w:sz w:val="21"/>
                <w:szCs w:val="21"/>
                <w:highlight w:val="none"/>
                <w:vertAlign w:val="baseline"/>
              </w:rPr>
              <w:t>a、b、</w:t>
            </w:r>
            <w:r>
              <w:rPr>
                <w:rFonts w:hint="eastAsia" w:ascii="宋体" w:hAnsi="宋体" w:eastAsia="宋体" w:cs="宋体"/>
                <w:color w:val="auto"/>
                <w:sz w:val="21"/>
                <w:szCs w:val="21"/>
                <w:highlight w:val="none"/>
                <w:vertAlign w:val="baseline"/>
                <w:lang w:val="en-US" w:eastAsia="zh-CN"/>
              </w:rPr>
              <w:t>c</w:t>
            </w:r>
            <w:r>
              <w:rPr>
                <w:rFonts w:hint="default" w:ascii="宋体" w:hAnsi="宋体" w:eastAsia="宋体" w:cs="宋体"/>
                <w:color w:val="auto"/>
                <w:sz w:val="21"/>
                <w:szCs w:val="21"/>
                <w:highlight w:val="none"/>
                <w:vertAlign w:val="baseline"/>
              </w:rPr>
              <w:t>、d</w:t>
            </w:r>
          </w:p>
        </w:tc>
        <w:tc>
          <w:tcPr>
            <w:tcW w:w="2433" w:type="dxa"/>
            <w:shd w:val="clear" w:color="auto" w:fill="auto"/>
            <w:noWrap w:val="0"/>
            <w:vAlign w:val="top"/>
          </w:tcPr>
          <w:p w14:paraId="6C5E9E22">
            <w:pPr>
              <w:pageBreakBefore w:val="0"/>
              <w:kinsoku/>
              <w:wordWrap/>
              <w:overflowPunct/>
              <w:topLinePunct w:val="0"/>
              <w:bidi w:val="0"/>
              <w:spacing w:line="36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宋体" w:hAnsi="宋体" w:eastAsia="宋体" w:cs="宋体"/>
                <w:color w:val="auto"/>
                <w:sz w:val="21"/>
                <w:szCs w:val="21"/>
                <w:highlight w:val="none"/>
                <w:vertAlign w:val="baseline"/>
              </w:rPr>
              <w:t>A、B、C、D</w:t>
            </w:r>
          </w:p>
        </w:tc>
        <w:tc>
          <w:tcPr>
            <w:tcW w:w="2589" w:type="dxa"/>
            <w:shd w:val="clear" w:color="auto" w:fill="auto"/>
            <w:noWrap w:val="0"/>
            <w:vAlign w:val="top"/>
          </w:tcPr>
          <w:p w14:paraId="5FF26270">
            <w:pPr>
              <w:pageBreakBefore w:val="0"/>
              <w:kinsoku/>
              <w:wordWrap/>
              <w:overflowPunct/>
              <w:topLinePunct w:val="0"/>
              <w:bidi w:val="0"/>
              <w:spacing w:line="36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宋体" w:hAnsi="宋体" w:eastAsia="宋体" w:cs="宋体"/>
                <w:color w:val="auto"/>
                <w:sz w:val="21"/>
                <w:szCs w:val="21"/>
                <w:highlight w:val="none"/>
                <w:vertAlign w:val="baseline"/>
              </w:rPr>
              <w:t>A</w:t>
            </w:r>
            <w:r>
              <w:rPr>
                <w:rFonts w:hint="default" w:ascii="宋体" w:hAnsi="宋体" w:eastAsia="宋体" w:cs="宋体"/>
                <w:color w:val="auto"/>
                <w:sz w:val="21"/>
                <w:szCs w:val="21"/>
                <w:highlight w:val="none"/>
                <w:vertAlign w:val="subscript"/>
              </w:rPr>
              <w:t>su</w:t>
            </w:r>
            <w:r>
              <w:rPr>
                <w:rFonts w:hint="default" w:ascii="宋体" w:hAnsi="宋体" w:eastAsia="宋体" w:cs="宋体"/>
                <w:color w:val="auto"/>
                <w:sz w:val="21"/>
                <w:szCs w:val="21"/>
                <w:highlight w:val="none"/>
                <w:vertAlign w:val="baseline"/>
              </w:rPr>
              <w:t>、B</w:t>
            </w:r>
            <w:r>
              <w:rPr>
                <w:rFonts w:hint="default" w:ascii="宋体" w:hAnsi="宋体" w:eastAsia="宋体" w:cs="宋体"/>
                <w:color w:val="auto"/>
                <w:sz w:val="21"/>
                <w:szCs w:val="21"/>
                <w:highlight w:val="none"/>
                <w:vertAlign w:val="subscript"/>
              </w:rPr>
              <w:t>su</w:t>
            </w:r>
            <w:r>
              <w:rPr>
                <w:rFonts w:hint="default" w:ascii="宋体" w:hAnsi="宋体" w:eastAsia="宋体" w:cs="宋体"/>
                <w:color w:val="auto"/>
                <w:sz w:val="21"/>
                <w:szCs w:val="21"/>
                <w:highlight w:val="none"/>
                <w:vertAlign w:val="baseline"/>
              </w:rPr>
              <w:t>、C</w:t>
            </w:r>
            <w:r>
              <w:rPr>
                <w:rFonts w:hint="default" w:ascii="宋体" w:hAnsi="宋体" w:eastAsia="宋体" w:cs="宋体"/>
                <w:color w:val="auto"/>
                <w:sz w:val="21"/>
                <w:szCs w:val="21"/>
                <w:highlight w:val="none"/>
                <w:vertAlign w:val="subscript"/>
              </w:rPr>
              <w:t>su</w:t>
            </w:r>
            <w:r>
              <w:rPr>
                <w:rFonts w:hint="default" w:ascii="宋体" w:hAnsi="宋体" w:eastAsia="宋体" w:cs="宋体"/>
                <w:color w:val="auto"/>
                <w:sz w:val="21"/>
                <w:szCs w:val="21"/>
                <w:highlight w:val="none"/>
                <w:vertAlign w:val="baseline"/>
              </w:rPr>
              <w:t>、D</w:t>
            </w:r>
            <w:r>
              <w:rPr>
                <w:rFonts w:hint="default" w:ascii="宋体" w:hAnsi="宋体" w:eastAsia="宋体" w:cs="宋体"/>
                <w:color w:val="auto"/>
                <w:sz w:val="21"/>
                <w:szCs w:val="21"/>
                <w:highlight w:val="none"/>
                <w:vertAlign w:val="subscript"/>
              </w:rPr>
              <w:t>su</w:t>
            </w:r>
          </w:p>
        </w:tc>
      </w:tr>
      <w:tr w14:paraId="56CC0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653" w:type="pct"/>
            <w:noWrap w:val="0"/>
            <w:vAlign w:val="top"/>
          </w:tcPr>
          <w:p w14:paraId="67230DC5">
            <w:pPr>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w:t>
            </w:r>
          </w:p>
        </w:tc>
        <w:tc>
          <w:tcPr>
            <w:tcW w:w="1513" w:type="pct"/>
            <w:noWrap w:val="0"/>
            <w:vAlign w:val="top"/>
          </w:tcPr>
          <w:p w14:paraId="783E5205">
            <w:pPr>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highlight w:val="none"/>
                <w:vertAlign w:val="baseline"/>
              </w:rPr>
            </w:pPr>
          </w:p>
        </w:tc>
        <w:tc>
          <w:tcPr>
            <w:tcW w:w="1372" w:type="pct"/>
            <w:noWrap w:val="0"/>
            <w:vAlign w:val="top"/>
          </w:tcPr>
          <w:p w14:paraId="4EB4EA60">
            <w:pPr>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w:t>
            </w:r>
          </w:p>
        </w:tc>
        <w:tc>
          <w:tcPr>
            <w:tcW w:w="1459" w:type="pct"/>
            <w:noWrap w:val="0"/>
            <w:vAlign w:val="top"/>
          </w:tcPr>
          <w:p w14:paraId="3CDABF89">
            <w:pPr>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highlight w:val="none"/>
                <w:vertAlign w:val="baseline"/>
              </w:rPr>
            </w:pPr>
          </w:p>
        </w:tc>
      </w:tr>
    </w:tbl>
    <w:p w14:paraId="0409CD17">
      <w:pPr>
        <w:keepNext w:val="0"/>
        <w:keepLines w:val="0"/>
        <w:widowControl w:val="0"/>
        <w:suppressLineNumbers w:val="0"/>
        <w:spacing w:before="0" w:beforeAutospacing="0" w:after="0" w:afterAutospacing="0" w:line="360" w:lineRule="auto"/>
        <w:ind w:left="0" w:leftChars="0" w:right="0"/>
        <w:jc w:val="both"/>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lang w:val="en-US" w:eastAsia="zh-CN" w:bidi="ar"/>
        </w:rPr>
        <w:t>4.</w:t>
      </w:r>
      <w:r>
        <w:rPr>
          <w:rFonts w:hint="default" w:ascii="Times New Roman" w:hAnsi="Times New Roman" w:cs="Times New Roman"/>
          <w:b/>
          <w:bCs/>
          <w:color w:val="auto"/>
          <w:kern w:val="2"/>
          <w:sz w:val="24"/>
          <w:szCs w:val="24"/>
          <w:highlight w:val="none"/>
          <w:lang w:val="en-US" w:eastAsia="zh-CN" w:bidi="ar"/>
        </w:rPr>
        <w:t>7</w:t>
      </w:r>
      <w:r>
        <w:rPr>
          <w:rFonts w:hint="default" w:ascii="Times New Roman" w:hAnsi="Times New Roman" w:eastAsia="宋体" w:cs="Times New Roman"/>
          <w:b/>
          <w:bCs/>
          <w:color w:val="auto"/>
          <w:kern w:val="2"/>
          <w:sz w:val="24"/>
          <w:szCs w:val="24"/>
          <w:highlight w:val="none"/>
          <w:lang w:val="en-US" w:eastAsia="zh-CN" w:bidi="ar"/>
        </w:rPr>
        <w:t>.</w:t>
      </w:r>
      <w:r>
        <w:rPr>
          <w:rFonts w:hint="default" w:ascii="Times New Roman" w:hAnsi="Times New Roman" w:cs="Times New Roman"/>
          <w:b/>
          <w:bCs/>
          <w:color w:val="auto"/>
          <w:kern w:val="2"/>
          <w:sz w:val="24"/>
          <w:szCs w:val="24"/>
          <w:highlight w:val="none"/>
          <w:lang w:val="en-US" w:eastAsia="zh-CN" w:bidi="ar"/>
        </w:rPr>
        <w:t>3</w:t>
      </w:r>
      <w:r>
        <w:rPr>
          <w:rFonts w:hint="default" w:ascii="Times New Roman" w:hAnsi="Times New Roman" w:eastAsia="宋体" w:cs="Times New Roman"/>
          <w:b/>
          <w:bCs/>
          <w:color w:val="auto"/>
          <w:kern w:val="2"/>
          <w:sz w:val="24"/>
          <w:szCs w:val="24"/>
          <w:highlight w:val="none"/>
          <w:lang w:val="en-US" w:eastAsia="zh-CN" w:bidi="ar"/>
        </w:rPr>
        <w:t xml:space="preserve"> </w:t>
      </w:r>
      <w:r>
        <w:rPr>
          <w:rFonts w:hint="default" w:ascii="Times New Roman" w:hAnsi="Times New Roman" w:eastAsia="宋体" w:cs="Times New Roman"/>
          <w:b w:val="0"/>
          <w:bCs w:val="0"/>
          <w:color w:val="auto"/>
          <w:kern w:val="2"/>
          <w:sz w:val="24"/>
          <w:szCs w:val="24"/>
          <w:highlight w:val="none"/>
          <w:lang w:val="en-US" w:eastAsia="zh-CN" w:bidi="ar"/>
        </w:rPr>
        <w:t>基坑工程鉴定报告宜提出以下监测建议：</w:t>
      </w:r>
    </w:p>
    <w:p w14:paraId="501A24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1  根据现场调查、检验及鉴定分析，提出监测的项目、范围；对存在风险或问题的基坑，应提出需要重点监测的部位和项目，监测应符合本标准第7章的规定。</w:t>
      </w:r>
    </w:p>
    <w:p w14:paraId="55B867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2  基坑采用地下水控制措施时，应对地下水位进行监测，对采用降水管井控制地下水位的，应对各降水井出水含砂率进行监测，降水管井正常使用期间抽水含砂率体积比应小于1/100000。</w:t>
      </w:r>
    </w:p>
    <w:p w14:paraId="1D1A84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3  根据基坑安全等级、支护结构型式选取适当的监测项目监测支护体系的安全状态。</w:t>
      </w:r>
    </w:p>
    <w:p w14:paraId="1DCFC6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4  基坑周边环境监测范围根据基坑开挖影响预估，监测对象包括基坑周边建（构）筑物、地下管线、道路、地面等，基坑周边存在地铁、隧道等对变形有特殊要求的建（构）筑物，监测项目与监测点的布置应符合有关管理部门或单位的规定要求。</w:t>
      </w:r>
    </w:p>
    <w:p w14:paraId="735F64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5  对基坑加固工程的监测应符合本标准第7章的规定。</w:t>
      </w:r>
    </w:p>
    <w:p w14:paraId="04B5CBD2">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eastAsiaTheme="minorEastAsia"/>
          <w:color w:val="auto"/>
          <w:sz w:val="30"/>
          <w:szCs w:val="30"/>
        </w:rPr>
        <w:sectPr>
          <w:pgSz w:w="11906" w:h="16838"/>
          <w:pgMar w:top="2098" w:right="1474" w:bottom="1417" w:left="1587" w:header="851" w:footer="992" w:gutter="0"/>
          <w:cols w:space="720" w:num="1"/>
          <w:docGrid w:type="lines" w:linePitch="312" w:charSpace="0"/>
        </w:sectPr>
      </w:pPr>
      <w:r>
        <w:rPr>
          <w:rFonts w:hint="default" w:ascii="Times New Roman" w:hAnsi="Times New Roman" w:eastAsia="楷体" w:cs="Times New Roman"/>
          <w:color w:val="auto"/>
          <w:kern w:val="2"/>
          <w:sz w:val="24"/>
          <w:szCs w:val="24"/>
          <w:highlight w:val="none"/>
          <w:u w:val="single"/>
          <w:lang w:val="en-US" w:eastAsia="zh-CN" w:bidi="ar"/>
        </w:rPr>
        <w:t>【条文说明】本条规定根据现场调查、检验及分析鉴定基础上应对监测提出相应建议，常用支护结构与周边环境监测应符合《建筑基坑工程监测技术标准》GB50497、《四川省基坑工程勘察设计技术标准》DBJ51/T 236。</w:t>
      </w:r>
    </w:p>
    <w:p w14:paraId="23E0D5D1">
      <w:pPr>
        <w:spacing w:line="360" w:lineRule="auto"/>
        <w:rPr>
          <w:rFonts w:hint="default" w:ascii="Times New Roman" w:hAnsi="Times New Roman" w:cs="Times New Roman"/>
          <w:color w:val="auto"/>
          <w:spacing w:val="-4"/>
          <w:sz w:val="24"/>
          <w:szCs w:val="24"/>
          <w:u w:val="none" w:color="auto"/>
        </w:rPr>
      </w:pPr>
    </w:p>
    <w:p w14:paraId="2C6FE9C0">
      <w:pPr>
        <w:pStyle w:val="2"/>
        <w:spacing w:before="156" w:beforeLines="50" w:after="156" w:afterLines="50"/>
        <w:rPr>
          <w:rFonts w:cs="Times New Roman" w:eastAsiaTheme="minorEastAsia"/>
          <w:sz w:val="30"/>
          <w:szCs w:val="30"/>
        </w:rPr>
      </w:pPr>
      <w:bookmarkStart w:id="34" w:name="_Toc24778"/>
      <w:bookmarkStart w:id="35" w:name="_Toc10887"/>
      <w:r>
        <w:rPr>
          <w:rFonts w:cs="Times New Roman" w:eastAsiaTheme="minorEastAsia"/>
          <w:sz w:val="30"/>
          <w:szCs w:val="30"/>
        </w:rPr>
        <w:t xml:space="preserve">5  </w:t>
      </w:r>
      <w:bookmarkEnd w:id="1"/>
      <w:bookmarkEnd w:id="2"/>
      <w:bookmarkEnd w:id="3"/>
      <w:bookmarkEnd w:id="4"/>
      <w:bookmarkEnd w:id="5"/>
      <w:bookmarkEnd w:id="6"/>
      <w:r>
        <w:rPr>
          <w:rFonts w:cs="Times New Roman" w:eastAsiaTheme="minorEastAsia"/>
          <w:sz w:val="30"/>
          <w:szCs w:val="30"/>
        </w:rPr>
        <w:t>基坑工程加固设计</w:t>
      </w:r>
      <w:bookmarkEnd w:id="34"/>
      <w:bookmarkEnd w:id="35"/>
    </w:p>
    <w:p w14:paraId="112152AC">
      <w:pPr>
        <w:pStyle w:val="3"/>
        <w:rPr>
          <w:rFonts w:ascii="Times New Roman" w:hAnsi="Times New Roman" w:cs="Times New Roman" w:eastAsiaTheme="minorEastAsia"/>
          <w:sz w:val="28"/>
          <w:szCs w:val="28"/>
        </w:rPr>
      </w:pPr>
      <w:bookmarkStart w:id="36" w:name="_Toc8265"/>
      <w:bookmarkStart w:id="37" w:name="_Toc12996"/>
      <w:r>
        <w:rPr>
          <w:rFonts w:ascii="Times New Roman" w:hAnsi="Times New Roman" w:cs="Times New Roman" w:eastAsiaTheme="minorEastAsia"/>
          <w:sz w:val="28"/>
          <w:szCs w:val="28"/>
        </w:rPr>
        <w:t>5.1一般规定</w:t>
      </w:r>
      <w:bookmarkEnd w:id="36"/>
      <w:bookmarkEnd w:id="37"/>
    </w:p>
    <w:p w14:paraId="6B29E706">
      <w:pPr>
        <w:ind w:firstLine="0" w:firstLineChars="0"/>
        <w:rPr>
          <w:rFonts w:cs="Times New Roman"/>
          <w:spacing w:val="2"/>
        </w:rPr>
      </w:pPr>
      <w:r>
        <w:rPr>
          <w:rFonts w:cs="Times New Roman"/>
          <w:b/>
        </w:rPr>
        <w:t>5.1.1</w:t>
      </w:r>
      <w:r>
        <w:rPr>
          <w:rFonts w:cs="Times New Roman"/>
        </w:rPr>
        <w:t xml:space="preserve"> </w:t>
      </w:r>
      <w:r>
        <w:rPr>
          <w:rFonts w:cs="Times New Roman"/>
          <w:spacing w:val="2"/>
        </w:rPr>
        <w:t>当应进行基坑工程加固设计</w:t>
      </w:r>
      <w:r>
        <w:rPr>
          <w:rFonts w:hint="eastAsia" w:cs="Times New Roman"/>
          <w:spacing w:val="2"/>
        </w:rPr>
        <w:t>。</w:t>
      </w:r>
      <w:r>
        <w:rPr>
          <w:rFonts w:cs="Times New Roman"/>
          <w:spacing w:val="2"/>
        </w:rPr>
        <w:t>基坑安全性鉴定结论</w:t>
      </w:r>
      <w:r>
        <w:rPr>
          <w:rFonts w:hint="eastAsia" w:cs="Times New Roman"/>
          <w:spacing w:val="2"/>
        </w:rPr>
        <w:t>为</w:t>
      </w:r>
      <w:r>
        <w:rPr>
          <w:rFonts w:cs="Times New Roman"/>
          <w:spacing w:val="2"/>
        </w:rPr>
        <w:t>建议加固处理</w:t>
      </w:r>
      <w:r>
        <w:rPr>
          <w:rFonts w:hint="eastAsia" w:cs="Times New Roman"/>
          <w:spacing w:val="2"/>
        </w:rPr>
        <w:t>时</w:t>
      </w:r>
      <w:r>
        <w:rPr>
          <w:rFonts w:cs="Times New Roman"/>
          <w:spacing w:val="2"/>
        </w:rPr>
        <w:t>。</w:t>
      </w:r>
    </w:p>
    <w:p w14:paraId="7175298A">
      <w:pPr>
        <w:rPr>
          <w:rFonts w:cs="Times New Roman"/>
          <w:spacing w:val="2"/>
        </w:rPr>
      </w:pPr>
      <w:r>
        <w:rPr>
          <w:rFonts w:cs="Times New Roman"/>
          <w:b/>
        </w:rPr>
        <w:t>5.1.2</w:t>
      </w:r>
      <w:r>
        <w:rPr>
          <w:rFonts w:cs="Times New Roman"/>
        </w:rPr>
        <w:t xml:space="preserve"> </w:t>
      </w:r>
      <w:r>
        <w:rPr>
          <w:rFonts w:cs="Times New Roman"/>
          <w:spacing w:val="2"/>
        </w:rPr>
        <w:t>基坑工程加固设计方法可</w:t>
      </w:r>
      <w:r>
        <w:rPr>
          <w:rFonts w:hint="eastAsia" w:cs="Times New Roman"/>
          <w:spacing w:val="2"/>
        </w:rPr>
        <w:t>采用</w:t>
      </w:r>
      <w:r>
        <w:rPr>
          <w:rFonts w:cs="Times New Roman"/>
          <w:spacing w:val="2"/>
        </w:rPr>
        <w:t>堆载反压法、削方减载法、基坑土体加固法、微型桩加固法、锚杆（索）加固法、灌注桩加固法、内支撑加固法、地表水与地下水控制修复法等，也可采用当地成熟、可靠、有效的其他加固法。</w:t>
      </w:r>
    </w:p>
    <w:p w14:paraId="36C7858D">
      <w:pPr>
        <w:rPr>
          <w:rFonts w:cs="Times New Roman"/>
          <w:spacing w:val="2"/>
        </w:rPr>
      </w:pPr>
      <w:r>
        <w:rPr>
          <w:rFonts w:eastAsia="楷体" w:cs="Times New Roman"/>
          <w:szCs w:val="28"/>
          <w:u w:val="single"/>
        </w:rPr>
        <w:t>【条文说明】本标准列出了常用的几种加固方法。由于岩土工程地域性强，各地工程技术人员可结合标准中有关的加固设计原则，采用当地成熟、可靠的加固方法对边坡进行加固。</w:t>
      </w:r>
    </w:p>
    <w:p w14:paraId="1F5B33CA">
      <w:pPr>
        <w:rPr>
          <w:rFonts w:cs="Times New Roman"/>
          <w:spacing w:val="2"/>
        </w:rPr>
      </w:pPr>
      <w:r>
        <w:rPr>
          <w:rFonts w:cs="Times New Roman"/>
          <w:b/>
        </w:rPr>
        <w:t>5.1.3</w:t>
      </w:r>
      <w:r>
        <w:rPr>
          <w:rFonts w:cs="Times New Roman"/>
        </w:rPr>
        <w:t xml:space="preserve"> </w:t>
      </w:r>
      <w:r>
        <w:rPr>
          <w:rFonts w:cs="Times New Roman"/>
          <w:spacing w:val="2"/>
        </w:rPr>
        <w:t>基坑工程加固设计方法的选择应考虑下列因素：</w:t>
      </w:r>
    </w:p>
    <w:p w14:paraId="08DE7D64">
      <w:pPr>
        <w:ind w:firstLine="366" w:firstLineChars="150"/>
        <w:rPr>
          <w:rFonts w:cs="Times New Roman"/>
          <w:b w:val="0"/>
          <w:bCs w:val="0"/>
          <w:spacing w:val="2"/>
        </w:rPr>
      </w:pPr>
      <w:r>
        <w:rPr>
          <w:rFonts w:cs="Times New Roman"/>
          <w:b w:val="0"/>
          <w:bCs w:val="0"/>
          <w:spacing w:val="2"/>
        </w:rPr>
        <w:t>1  场地周边环境及工程地质条件；</w:t>
      </w:r>
    </w:p>
    <w:p w14:paraId="0AFCB638">
      <w:pPr>
        <w:ind w:firstLine="366" w:firstLineChars="150"/>
        <w:rPr>
          <w:rFonts w:cs="Times New Roman"/>
          <w:b w:val="0"/>
          <w:bCs w:val="0"/>
          <w:spacing w:val="2"/>
        </w:rPr>
      </w:pPr>
      <w:r>
        <w:rPr>
          <w:rFonts w:hint="eastAsia" w:cs="Times New Roman"/>
          <w:b w:val="0"/>
          <w:bCs w:val="0"/>
          <w:spacing w:val="2"/>
        </w:rPr>
        <w:t>2</w:t>
      </w:r>
      <w:r>
        <w:rPr>
          <w:rFonts w:cs="Times New Roman"/>
          <w:b w:val="0"/>
          <w:bCs w:val="0"/>
          <w:spacing w:val="2"/>
        </w:rPr>
        <w:t xml:space="preserve">  </w:t>
      </w:r>
      <w:r>
        <w:rPr>
          <w:rFonts w:hint="eastAsia" w:cs="Times New Roman"/>
          <w:b w:val="0"/>
          <w:bCs w:val="0"/>
          <w:spacing w:val="2"/>
        </w:rPr>
        <w:t>原支护结构的损伤、破坏模式和支护结构及构件的开裂变形情况；</w:t>
      </w:r>
    </w:p>
    <w:p w14:paraId="1BE74435">
      <w:pPr>
        <w:ind w:firstLine="366" w:firstLineChars="150"/>
        <w:rPr>
          <w:rFonts w:cs="Times New Roman"/>
          <w:b w:val="0"/>
          <w:bCs w:val="0"/>
          <w:spacing w:val="2"/>
        </w:rPr>
      </w:pPr>
      <w:r>
        <w:rPr>
          <w:rFonts w:hint="eastAsia" w:cs="Times New Roman"/>
          <w:b w:val="0"/>
          <w:bCs w:val="0"/>
          <w:spacing w:val="2"/>
        </w:rPr>
        <w:t>3</w:t>
      </w:r>
      <w:r>
        <w:rPr>
          <w:rFonts w:cs="Times New Roman"/>
          <w:b w:val="0"/>
          <w:bCs w:val="0"/>
          <w:spacing w:val="2"/>
        </w:rPr>
        <w:t xml:space="preserve">  新增支护结构与原支护结构受力</w:t>
      </w:r>
      <w:r>
        <w:rPr>
          <w:rFonts w:hint="eastAsia" w:cs="Times New Roman"/>
          <w:b w:val="0"/>
          <w:bCs w:val="0"/>
          <w:spacing w:val="2"/>
        </w:rPr>
        <w:t>协调性</w:t>
      </w:r>
      <w:r>
        <w:rPr>
          <w:rFonts w:cs="Times New Roman"/>
          <w:b w:val="0"/>
          <w:bCs w:val="0"/>
          <w:spacing w:val="2"/>
        </w:rPr>
        <w:t>及加固有效性；</w:t>
      </w:r>
    </w:p>
    <w:p w14:paraId="12307222">
      <w:pPr>
        <w:ind w:firstLine="366" w:firstLineChars="150"/>
        <w:rPr>
          <w:rFonts w:cs="Times New Roman"/>
          <w:b w:val="0"/>
          <w:bCs w:val="0"/>
          <w:spacing w:val="2"/>
        </w:rPr>
      </w:pPr>
      <w:r>
        <w:rPr>
          <w:rFonts w:hint="eastAsia" w:cs="Times New Roman"/>
          <w:b w:val="0"/>
          <w:bCs w:val="0"/>
          <w:spacing w:val="2"/>
        </w:rPr>
        <w:t>4</w:t>
      </w:r>
      <w:r>
        <w:rPr>
          <w:rFonts w:cs="Times New Roman"/>
          <w:b w:val="0"/>
          <w:bCs w:val="0"/>
          <w:spacing w:val="2"/>
        </w:rPr>
        <w:t xml:space="preserve">  施工</w:t>
      </w:r>
      <w:r>
        <w:rPr>
          <w:rFonts w:hint="eastAsia" w:cs="Times New Roman"/>
          <w:b w:val="0"/>
          <w:bCs w:val="0"/>
          <w:spacing w:val="2"/>
        </w:rPr>
        <w:t>操作</w:t>
      </w:r>
      <w:r>
        <w:rPr>
          <w:rFonts w:cs="Times New Roman"/>
          <w:b w:val="0"/>
          <w:bCs w:val="0"/>
          <w:spacing w:val="2"/>
        </w:rPr>
        <w:t>可行性。</w:t>
      </w:r>
    </w:p>
    <w:p w14:paraId="679743C3">
      <w:pPr>
        <w:rPr>
          <w:rFonts w:cs="Times New Roman"/>
          <w:spacing w:val="2"/>
        </w:rPr>
      </w:pPr>
      <w:r>
        <w:rPr>
          <w:rFonts w:cs="Times New Roman"/>
          <w:b/>
        </w:rPr>
        <w:t>5.1.4</w:t>
      </w:r>
      <w:r>
        <w:rPr>
          <w:rFonts w:cs="Times New Roman"/>
        </w:rPr>
        <w:t xml:space="preserve"> </w:t>
      </w:r>
      <w:r>
        <w:rPr>
          <w:rFonts w:cs="Times New Roman"/>
          <w:spacing w:val="2"/>
        </w:rPr>
        <w:t>基坑加固设计应利用既有支护结构，选择一种或多种加固方法组合，保证基坑邻近既有建（构）筑物、道路、管线等的安全与正常使用。</w:t>
      </w:r>
    </w:p>
    <w:p w14:paraId="72799FB0">
      <w:pPr>
        <w:rPr>
          <w:rFonts w:cs="Times New Roman"/>
        </w:rPr>
      </w:pPr>
      <w:bookmarkStart w:id="38" w:name="OLE_LINK45"/>
      <w:r>
        <w:rPr>
          <w:rFonts w:cs="Times New Roman"/>
          <w:b/>
        </w:rPr>
        <w:t>5.1.</w:t>
      </w:r>
      <w:bookmarkEnd w:id="38"/>
      <w:r>
        <w:rPr>
          <w:rFonts w:hint="eastAsia" w:cs="Times New Roman"/>
          <w:b/>
          <w:szCs w:val="32"/>
        </w:rPr>
        <w:t>5</w:t>
      </w:r>
      <w:r>
        <w:rPr>
          <w:rFonts w:cs="Times New Roman"/>
        </w:rPr>
        <w:t xml:space="preserve"> 各类加固设计方法及构造要求除应符合本章规定外，尚应符合现行行业标准</w:t>
      </w:r>
      <w:bookmarkStart w:id="39" w:name="OLE_LINK44"/>
      <w:r>
        <w:rPr>
          <w:rFonts w:cs="Times New Roman"/>
        </w:rPr>
        <w:t>《建筑基坑支护技术规程》JGJ 120</w:t>
      </w:r>
      <w:bookmarkEnd w:id="39"/>
      <w:r>
        <w:rPr>
          <w:rFonts w:cs="Times New Roman"/>
        </w:rPr>
        <w:t>和地方标准《四川省基坑工程勘察设计技术标准》DBJ51/T 236的规定。</w:t>
      </w:r>
    </w:p>
    <w:p w14:paraId="238E6D11">
      <w:pPr>
        <w:rPr>
          <w:rFonts w:cs="Times New Roman"/>
        </w:rPr>
      </w:pPr>
      <w:r>
        <w:rPr>
          <w:rFonts w:cs="Times New Roman"/>
          <w:b/>
        </w:rPr>
        <w:t>5.1.</w:t>
      </w:r>
      <w:r>
        <w:rPr>
          <w:rFonts w:hint="eastAsia" w:cs="Times New Roman"/>
          <w:b/>
          <w:szCs w:val="32"/>
        </w:rPr>
        <w:t>6</w:t>
      </w:r>
      <w:r>
        <w:rPr>
          <w:rFonts w:cs="Times New Roman"/>
        </w:rPr>
        <w:t xml:space="preserve"> 基坑工程加固设计应</w:t>
      </w:r>
      <w:r>
        <w:rPr>
          <w:rFonts w:hint="eastAsia" w:cs="Times New Roman"/>
        </w:rPr>
        <w:t>提出支护结构和周边环境</w:t>
      </w:r>
      <w:r>
        <w:rPr>
          <w:rFonts w:cs="Times New Roman"/>
        </w:rPr>
        <w:t>监测预警值，并应满足基坑加固施工期间及加固后的支护结构、周边环境的变形和安全控制要求。</w:t>
      </w:r>
    </w:p>
    <w:p w14:paraId="1BB13EB0">
      <w:pPr>
        <w:pStyle w:val="3"/>
        <w:rPr>
          <w:rFonts w:ascii="Times New Roman" w:hAnsi="Times New Roman" w:cs="Times New Roman" w:eastAsiaTheme="minorEastAsia"/>
          <w:sz w:val="28"/>
          <w:szCs w:val="28"/>
        </w:rPr>
      </w:pPr>
      <w:bookmarkStart w:id="40" w:name="_Toc8944"/>
      <w:bookmarkStart w:id="41" w:name="_Toc8276"/>
      <w:r>
        <w:rPr>
          <w:rFonts w:ascii="Times New Roman" w:hAnsi="Times New Roman" w:cs="Times New Roman" w:eastAsiaTheme="minorEastAsia"/>
          <w:sz w:val="28"/>
          <w:szCs w:val="28"/>
        </w:rPr>
        <w:t>5.2设计计算</w:t>
      </w:r>
      <w:bookmarkEnd w:id="40"/>
      <w:bookmarkEnd w:id="41"/>
    </w:p>
    <w:p w14:paraId="1CB6C014">
      <w:pPr>
        <w:rPr>
          <w:rFonts w:cs="Times New Roman" w:eastAsiaTheme="minorEastAsia"/>
          <w:bCs/>
        </w:rPr>
      </w:pPr>
      <w:bookmarkStart w:id="42" w:name="OLE_LINK6"/>
      <w:r>
        <w:rPr>
          <w:rFonts w:cs="Times New Roman" w:eastAsiaTheme="minorEastAsia"/>
          <w:b/>
        </w:rPr>
        <w:t>5.2.1</w:t>
      </w:r>
      <w:r>
        <w:rPr>
          <w:rFonts w:cs="Times New Roman" w:eastAsiaTheme="minorEastAsia"/>
        </w:rPr>
        <w:t xml:space="preserve"> </w:t>
      </w:r>
      <w:r>
        <w:rPr>
          <w:rFonts w:hint="eastAsia" w:cs="Times New Roman" w:eastAsiaTheme="minorEastAsia"/>
          <w:bCs/>
        </w:rPr>
        <w:t>基坑加固工程的设计计算应符合下列规定：</w:t>
      </w:r>
    </w:p>
    <w:p w14:paraId="40E1C5D2">
      <w:pPr>
        <w:ind w:firstLine="360" w:firstLineChars="150"/>
        <w:rPr>
          <w:rFonts w:cs="Times New Roman" w:eastAsiaTheme="minorEastAsia"/>
          <w:b w:val="0"/>
          <w:bCs/>
        </w:rPr>
      </w:pPr>
      <w:r>
        <w:rPr>
          <w:rFonts w:cs="Times New Roman" w:eastAsiaTheme="minorEastAsia"/>
          <w:b w:val="0"/>
          <w:bCs/>
        </w:rPr>
        <w:t xml:space="preserve">1  </w:t>
      </w:r>
      <w:r>
        <w:rPr>
          <w:rFonts w:hint="eastAsia" w:cs="Times New Roman" w:eastAsiaTheme="minorEastAsia"/>
          <w:b w:val="0"/>
          <w:bCs/>
        </w:rPr>
        <w:t>采用堆载反压法时，岩土</w:t>
      </w:r>
      <w:r>
        <w:rPr>
          <w:rFonts w:hint="eastAsia" w:cs="Times New Roman" w:eastAsiaTheme="minorEastAsia"/>
          <w:b w:val="0"/>
          <w:bCs/>
          <w:highlight w:val="none"/>
        </w:rPr>
        <w:t>力学参数</w:t>
      </w:r>
      <w:r>
        <w:rPr>
          <w:rFonts w:hint="eastAsia" w:cs="Times New Roman" w:eastAsiaTheme="minorEastAsia"/>
          <w:b w:val="0"/>
          <w:bCs/>
        </w:rPr>
        <w:t>应</w:t>
      </w:r>
      <w:r>
        <w:rPr>
          <w:rFonts w:hint="eastAsia" w:cs="Times New Roman" w:eastAsiaTheme="minorEastAsia"/>
          <w:b w:val="0"/>
          <w:bCs/>
          <w:highlight w:val="none"/>
        </w:rPr>
        <w:t>按</w:t>
      </w:r>
      <w:r>
        <w:rPr>
          <w:rFonts w:hint="eastAsia" w:cs="Times New Roman" w:eastAsiaTheme="minorEastAsia"/>
          <w:b w:val="0"/>
          <w:bCs/>
        </w:rPr>
        <w:t>堆载填料岩土</w:t>
      </w:r>
      <w:r>
        <w:rPr>
          <w:rFonts w:hint="eastAsia" w:cs="Times New Roman" w:eastAsiaTheme="minorEastAsia"/>
          <w:b w:val="0"/>
          <w:bCs/>
          <w:highlight w:val="none"/>
        </w:rPr>
        <w:t>性质确定</w:t>
      </w:r>
      <w:r>
        <w:rPr>
          <w:rFonts w:hint="eastAsia" w:cs="Times New Roman" w:eastAsiaTheme="minorEastAsia"/>
          <w:b w:val="0"/>
          <w:bCs/>
        </w:rPr>
        <w:t>；</w:t>
      </w:r>
    </w:p>
    <w:p w14:paraId="224FC746">
      <w:pPr>
        <w:ind w:firstLine="360" w:firstLineChars="150"/>
        <w:rPr>
          <w:rFonts w:cs="Times New Roman" w:eastAsiaTheme="minorEastAsia"/>
          <w:b w:val="0"/>
          <w:bCs/>
        </w:rPr>
      </w:pPr>
      <w:r>
        <w:rPr>
          <w:rFonts w:cs="Times New Roman" w:eastAsiaTheme="minorEastAsia"/>
          <w:b w:val="0"/>
          <w:bCs/>
        </w:rPr>
        <w:t xml:space="preserve">2  </w:t>
      </w:r>
      <w:r>
        <w:rPr>
          <w:rFonts w:hint="eastAsia" w:cs="Times New Roman" w:eastAsiaTheme="minorEastAsia"/>
          <w:b w:val="0"/>
          <w:bCs/>
        </w:rPr>
        <w:t>采用基坑土体加固法加固时，岩土</w:t>
      </w:r>
      <w:r>
        <w:rPr>
          <w:rFonts w:hint="eastAsia" w:cs="Times New Roman" w:eastAsiaTheme="minorEastAsia"/>
          <w:b w:val="0"/>
          <w:bCs/>
          <w:highlight w:val="none"/>
        </w:rPr>
        <w:t>力学参数</w:t>
      </w:r>
      <w:r>
        <w:rPr>
          <w:rFonts w:hint="eastAsia" w:cs="Times New Roman" w:eastAsiaTheme="minorEastAsia"/>
          <w:b w:val="0"/>
          <w:bCs/>
        </w:rPr>
        <w:t>应</w:t>
      </w:r>
      <w:r>
        <w:rPr>
          <w:rFonts w:hint="eastAsia" w:cs="Times New Roman" w:eastAsiaTheme="minorEastAsia"/>
          <w:b w:val="0"/>
          <w:bCs/>
          <w:highlight w:val="none"/>
        </w:rPr>
        <w:t>按</w:t>
      </w:r>
      <w:r>
        <w:rPr>
          <w:rFonts w:hint="eastAsia" w:cs="Times New Roman" w:eastAsiaTheme="minorEastAsia"/>
          <w:b w:val="0"/>
          <w:bCs/>
        </w:rPr>
        <w:t>试验区加固后的岩土</w:t>
      </w:r>
      <w:r>
        <w:rPr>
          <w:rFonts w:hint="eastAsia" w:cs="Times New Roman" w:eastAsiaTheme="minorEastAsia"/>
          <w:b w:val="0"/>
          <w:bCs/>
          <w:highlight w:val="none"/>
        </w:rPr>
        <w:t>性质确定</w:t>
      </w:r>
      <w:r>
        <w:rPr>
          <w:rFonts w:hint="eastAsia" w:cs="Times New Roman" w:eastAsiaTheme="minorEastAsia"/>
          <w:b w:val="0"/>
          <w:bCs/>
        </w:rPr>
        <w:t>；</w:t>
      </w:r>
    </w:p>
    <w:p w14:paraId="4D644847">
      <w:pPr>
        <w:ind w:firstLine="360" w:firstLineChars="150"/>
        <w:rPr>
          <w:rFonts w:cs="Times New Roman" w:eastAsiaTheme="minorEastAsia"/>
          <w:b w:val="0"/>
          <w:bCs/>
        </w:rPr>
      </w:pPr>
      <w:r>
        <w:rPr>
          <w:rFonts w:cs="Times New Roman" w:eastAsiaTheme="minorEastAsia"/>
          <w:b w:val="0"/>
          <w:bCs/>
        </w:rPr>
        <w:t xml:space="preserve">3  </w:t>
      </w:r>
      <w:r>
        <w:rPr>
          <w:rFonts w:hint="eastAsia" w:cs="Times New Roman" w:eastAsiaTheme="minorEastAsia"/>
          <w:b w:val="0"/>
          <w:bCs/>
        </w:rPr>
        <w:t>采用削方减载法、锚杆（索）加固法、微型桩加固法、灌</w:t>
      </w:r>
      <w:r>
        <w:rPr>
          <w:rFonts w:cs="Times New Roman" w:eastAsiaTheme="minorEastAsia"/>
          <w:b w:val="0"/>
          <w:bCs/>
        </w:rPr>
        <w:t>注桩加固法和内支撑加固法等加固时，新增支护结构和构件承担的岩土侧压力</w:t>
      </w:r>
      <w:r>
        <w:rPr>
          <w:rFonts w:hint="eastAsia" w:cs="Times New Roman" w:eastAsiaTheme="minorEastAsia"/>
          <w:b w:val="0"/>
          <w:bCs/>
        </w:rPr>
        <w:t>宜根据基坑加固工程勘察资料或参考原有勘察资料提供的岩土参数</w:t>
      </w:r>
      <w:r>
        <w:rPr>
          <w:rFonts w:cs="Times New Roman" w:eastAsiaTheme="minorEastAsia"/>
          <w:b w:val="0"/>
          <w:bCs/>
        </w:rPr>
        <w:t>，按现行行业标准</w:t>
      </w:r>
      <w:r>
        <w:rPr>
          <w:rFonts w:cs="Times New Roman"/>
          <w:b w:val="0"/>
          <w:bCs/>
        </w:rPr>
        <w:t>《建筑基坑支护技术规程》JGJ 120</w:t>
      </w:r>
      <w:r>
        <w:rPr>
          <w:rFonts w:cs="Times New Roman" w:eastAsiaTheme="minorEastAsia"/>
          <w:b w:val="0"/>
          <w:bCs/>
        </w:rPr>
        <w:t>的有关规定进行计算</w:t>
      </w:r>
      <w:r>
        <w:rPr>
          <w:rFonts w:hint="eastAsia" w:cs="Times New Roman" w:eastAsiaTheme="minorEastAsia"/>
          <w:b w:val="0"/>
          <w:bCs/>
        </w:rPr>
        <w:t>；</w:t>
      </w:r>
    </w:p>
    <w:p w14:paraId="671E57F8">
      <w:pPr>
        <w:ind w:firstLine="360" w:firstLineChars="150"/>
        <w:rPr>
          <w:rFonts w:cs="Times New Roman" w:eastAsiaTheme="minorEastAsia"/>
          <w:b w:val="0"/>
          <w:bCs/>
        </w:rPr>
      </w:pPr>
      <w:r>
        <w:rPr>
          <w:rFonts w:cs="Times New Roman" w:eastAsiaTheme="minorEastAsia"/>
          <w:b w:val="0"/>
          <w:bCs/>
        </w:rPr>
        <w:t>4  采用新增支护结构或构件与原支护结构或构件形成组合支护结构加固边坡时，原支护结构或构件的尺寸、强度标准值和有效抗力应符合本标准第5.2.2～第5.2.4条的规定；新增支护结构或构件抗力应符合本标准第5.2.5条～第5.2.6条的规定。</w:t>
      </w:r>
    </w:p>
    <w:p w14:paraId="4D61A9EF">
      <w:pPr>
        <w:rPr>
          <w:rFonts w:cs="Times New Roman" w:eastAsiaTheme="minorEastAsia"/>
          <w:color w:val="000000"/>
          <w:spacing w:val="2"/>
        </w:rPr>
      </w:pPr>
      <w:r>
        <w:rPr>
          <w:rFonts w:cs="Times New Roman" w:eastAsiaTheme="minorEastAsia"/>
          <w:b/>
        </w:rPr>
        <w:t>5.2.2</w:t>
      </w:r>
      <w:r>
        <w:rPr>
          <w:rFonts w:cs="Times New Roman" w:eastAsiaTheme="minorEastAsia"/>
          <w:color w:val="000000"/>
        </w:rPr>
        <w:t xml:space="preserve"> </w:t>
      </w:r>
      <w:bookmarkEnd w:id="42"/>
      <w:r>
        <w:rPr>
          <w:rFonts w:cs="Times New Roman" w:eastAsiaTheme="minorEastAsia"/>
          <w:color w:val="000000"/>
          <w:spacing w:val="2"/>
        </w:rPr>
        <w:t>原支护结构、构件几何尺寸应根据鉴定结果确定。</w:t>
      </w:r>
    </w:p>
    <w:p w14:paraId="4904C91C">
      <w:pPr>
        <w:rPr>
          <w:rFonts w:cs="Times New Roman" w:eastAsiaTheme="minorEastAsia"/>
          <w:color w:val="000000"/>
          <w:spacing w:val="2"/>
        </w:rPr>
      </w:pPr>
      <w:bookmarkStart w:id="43" w:name="OLE_LINK7"/>
      <w:r>
        <w:rPr>
          <w:rFonts w:cs="Times New Roman" w:eastAsiaTheme="minorEastAsia"/>
          <w:b/>
        </w:rPr>
        <w:t>5.2.3</w:t>
      </w:r>
      <w:r>
        <w:rPr>
          <w:rFonts w:cs="Times New Roman" w:eastAsiaTheme="minorEastAsia"/>
          <w:color w:val="000000"/>
        </w:rPr>
        <w:t xml:space="preserve"> </w:t>
      </w:r>
      <w:bookmarkEnd w:id="43"/>
      <w:r>
        <w:rPr>
          <w:rFonts w:cs="Times New Roman" w:eastAsiaTheme="minorEastAsia"/>
          <w:color w:val="000000"/>
          <w:spacing w:val="2"/>
        </w:rPr>
        <w:t>原支护结构、构件材料的强度标准值应按下列规定取值：</w:t>
      </w:r>
    </w:p>
    <w:p w14:paraId="20AFDE9B">
      <w:pPr>
        <w:ind w:firstLine="366" w:firstLineChars="150"/>
        <w:rPr>
          <w:rFonts w:cs="Times New Roman" w:eastAsiaTheme="minorEastAsia"/>
          <w:b w:val="0"/>
          <w:bCs w:val="0"/>
          <w:color w:val="000000"/>
          <w:spacing w:val="2"/>
        </w:rPr>
      </w:pPr>
      <w:r>
        <w:rPr>
          <w:rFonts w:cs="Times New Roman" w:eastAsiaTheme="minorEastAsia"/>
          <w:b w:val="0"/>
          <w:bCs w:val="0"/>
          <w:color w:val="000000"/>
          <w:spacing w:val="2"/>
        </w:rPr>
        <w:t>1  当现场检测数据符合原设计值时，可采用原设计标准值；</w:t>
      </w:r>
    </w:p>
    <w:p w14:paraId="314292CC">
      <w:pPr>
        <w:ind w:firstLine="366" w:firstLineChars="150"/>
        <w:rPr>
          <w:rFonts w:cs="Times New Roman" w:eastAsiaTheme="minorEastAsia"/>
          <w:b w:val="0"/>
          <w:bCs w:val="0"/>
          <w:color w:val="000000"/>
          <w:spacing w:val="2"/>
        </w:rPr>
      </w:pPr>
      <w:r>
        <w:rPr>
          <w:rFonts w:cs="Times New Roman" w:eastAsiaTheme="minorEastAsia"/>
          <w:b w:val="0"/>
          <w:bCs w:val="0"/>
          <w:color w:val="000000"/>
          <w:spacing w:val="2"/>
        </w:rPr>
        <w:t>2  当现场检测数据与原设计值有差异时，应采用检测结果推定的标准值，标准值的推定方法应符合国家现行有关标准的规定。</w:t>
      </w:r>
    </w:p>
    <w:p w14:paraId="2CFEBBEB">
      <w:pPr>
        <w:rPr>
          <w:rFonts w:eastAsia="楷体" w:cs="Times New Roman"/>
          <w:color w:val="000000"/>
          <w:spacing w:val="2"/>
          <w:u w:val="single"/>
        </w:rPr>
      </w:pPr>
      <w:r>
        <w:rPr>
          <w:rFonts w:eastAsia="楷体" w:cs="Times New Roman"/>
          <w:color w:val="000000"/>
          <w:spacing w:val="2"/>
          <w:u w:val="single"/>
        </w:rPr>
        <w:t>【条文说明】对既有支护结构、构件的几何尺寸和材料性能指标的取值做了明确规定。根据既有基坑工程加固程序，基坑加固设计前，既有支护结构、构件的相关参数应在既有基坑工程鉴定中通过实测等方式予以确定。</w:t>
      </w:r>
    </w:p>
    <w:p w14:paraId="4227C719">
      <w:pPr>
        <w:rPr>
          <w:rFonts w:cs="Times New Roman"/>
        </w:rPr>
      </w:pPr>
      <w:r>
        <w:rPr>
          <w:rFonts w:cs="Times New Roman"/>
          <w:b/>
        </w:rPr>
        <w:t>5.2.4</w:t>
      </w:r>
      <w:r>
        <w:rPr>
          <w:rFonts w:cs="Times New Roman"/>
        </w:rPr>
        <w:t xml:space="preserve"> 基坑工程加固设计时，下列情况不应考虑原支护结构或构件的有效抗力：</w:t>
      </w:r>
    </w:p>
    <w:p w14:paraId="0B0DDD42">
      <w:pPr>
        <w:ind w:firstLine="360" w:firstLineChars="150"/>
        <w:rPr>
          <w:rFonts w:cs="Times New Roman"/>
          <w:b w:val="0"/>
          <w:bCs w:val="0"/>
        </w:rPr>
      </w:pPr>
      <w:r>
        <w:rPr>
          <w:rFonts w:cs="Times New Roman"/>
          <w:b w:val="0"/>
          <w:bCs w:val="0"/>
        </w:rPr>
        <w:t>1  支护结构基础位于潜在滑面之上，基坑工程整体失稳时；</w:t>
      </w:r>
    </w:p>
    <w:p w14:paraId="2DEDD1EB">
      <w:pPr>
        <w:ind w:firstLine="360" w:firstLineChars="150"/>
        <w:rPr>
          <w:rFonts w:cs="Times New Roman"/>
          <w:b w:val="0"/>
          <w:bCs w:val="0"/>
        </w:rPr>
      </w:pPr>
      <w:r>
        <w:rPr>
          <w:rFonts w:cs="Times New Roman"/>
          <w:b w:val="0"/>
          <w:bCs w:val="0"/>
        </w:rPr>
        <w:t>2  锚杆锚固段位于非稳定地层中时；</w:t>
      </w:r>
    </w:p>
    <w:p w14:paraId="179AECE8">
      <w:pPr>
        <w:ind w:firstLine="360" w:firstLineChars="150"/>
        <w:rPr>
          <w:rFonts w:cs="Times New Roman"/>
          <w:b w:val="0"/>
          <w:bCs w:val="0"/>
        </w:rPr>
      </w:pPr>
      <w:r>
        <w:rPr>
          <w:rFonts w:cs="Times New Roman"/>
          <w:b w:val="0"/>
          <w:bCs w:val="0"/>
        </w:rPr>
        <w:t>3  支护结构或构件通过加固处理后，除结构自身重力作用外，难以有效恢复的抗力；</w:t>
      </w:r>
    </w:p>
    <w:p w14:paraId="2D7F2D2A">
      <w:pPr>
        <w:ind w:firstLine="360" w:firstLineChars="150"/>
        <w:rPr>
          <w:rFonts w:cs="Times New Roman"/>
          <w:b w:val="0"/>
          <w:bCs w:val="0"/>
        </w:rPr>
      </w:pPr>
      <w:r>
        <w:rPr>
          <w:rFonts w:cs="Times New Roman"/>
          <w:b w:val="0"/>
          <w:bCs w:val="0"/>
        </w:rPr>
        <w:t>4  鉴定结果认定支护结构或构件已经失效时，除结构自身重力作用和满足结构安全性要求的构件外的抗力。</w:t>
      </w:r>
    </w:p>
    <w:p w14:paraId="05BCD95B">
      <w:pPr>
        <w:rPr>
          <w:rFonts w:eastAsia="楷体" w:cs="Times New Roman"/>
          <w:u w:val="single"/>
        </w:rPr>
      </w:pPr>
      <w:r>
        <w:rPr>
          <w:rFonts w:eastAsia="楷体" w:cs="Times New Roman"/>
          <w:u w:val="single"/>
        </w:rPr>
        <w:t>【条文说明】目前的鉴定检测技术尚难以对既有基坑工程进行全面精确的测试，岩土工程的可变性更增加了鉴定的难度。因此，对影响基坑侧壁整体安全的支护结构、构件的施工质量存在怀疑且难以通过鉴定查明时，既有支护结构、构件有效抗力计算不宜考虑其有利作用。</w:t>
      </w:r>
    </w:p>
    <w:p w14:paraId="777403D0">
      <w:pPr>
        <w:rPr>
          <w:rFonts w:eastAsia="楷体" w:cs="Times New Roman"/>
          <w:u w:val="single"/>
        </w:rPr>
      </w:pPr>
      <w:r>
        <w:rPr>
          <w:rFonts w:eastAsia="楷体" w:cs="Times New Roman"/>
          <w:u w:val="single"/>
        </w:rPr>
        <w:t>本条第1款，支护结构基础位于潜在滑面之上时，基坑整体稳定无法得到保证，支护结构也无法发挥作用。此时不应考虑原支护结构的作用:</w:t>
      </w:r>
    </w:p>
    <w:p w14:paraId="38C33C8D">
      <w:pPr>
        <w:ind w:firstLine="480" w:firstLineChars="200"/>
        <w:rPr>
          <w:rFonts w:eastAsia="楷体" w:cs="Times New Roman"/>
          <w:u w:val="single"/>
        </w:rPr>
      </w:pPr>
      <w:r>
        <w:rPr>
          <w:rFonts w:eastAsia="楷体" w:cs="Times New Roman"/>
          <w:u w:val="single"/>
        </w:rPr>
        <w:t>本条第4款，支护结构鉴定单元属于严重不符合国家现行安全性标准时，其中满足安全性要求的构件依然可以在组合支护结构中作为新增支护结构的构件发挥作用。当结构重量对工程稳定起有利作用时，应考虑其作用。</w:t>
      </w:r>
    </w:p>
    <w:p w14:paraId="34F6ACB0">
      <w:pPr>
        <w:rPr>
          <w:rFonts w:cs="Times New Roman"/>
        </w:rPr>
      </w:pPr>
      <w:r>
        <w:rPr>
          <w:rFonts w:cs="Times New Roman"/>
          <w:b/>
        </w:rPr>
        <w:t>5.2.5</w:t>
      </w:r>
      <w:r>
        <w:rPr>
          <w:rFonts w:cs="Times New Roman"/>
        </w:rPr>
        <w:t xml:space="preserve"> 采用锚杆（索）加固法时，根据基坑工程的支护形式和鉴定结论类别，新增锚杆（索）及传力结构的抗力应考虑发挥系数，发挥系数宜按表5.2.5采用。</w:t>
      </w:r>
    </w:p>
    <w:p w14:paraId="764BB001">
      <w:pPr>
        <w:spacing w:line="360" w:lineRule="auto"/>
        <w:jc w:val="center"/>
        <w:rPr>
          <w:rFonts w:hint="default" w:ascii="Times New Roman" w:hAnsi="Times New Roman" w:eastAsia="宋体" w:cs="Times New Roman"/>
          <w:b/>
          <w:color w:val="auto"/>
          <w:szCs w:val="21"/>
          <w:highlight w:val="none"/>
          <w:lang w:val="en-US" w:eastAsia="zh-CN"/>
        </w:rPr>
      </w:pPr>
      <w:r>
        <w:rPr>
          <w:rFonts w:hint="eastAsia" w:ascii="Times New Roman" w:hAnsi="Times New Roman" w:eastAsia="宋体" w:cs="Times New Roman"/>
          <w:b/>
          <w:color w:val="auto"/>
          <w:szCs w:val="21"/>
          <w:highlight w:val="none"/>
          <w:lang w:val="en-US" w:eastAsia="zh-CN"/>
        </w:rPr>
        <w:t>表</w:t>
      </w:r>
      <w:r>
        <w:rPr>
          <w:rFonts w:hint="default" w:ascii="Times New Roman" w:hAnsi="Times New Roman" w:eastAsia="宋体" w:cs="Times New Roman"/>
          <w:b/>
          <w:color w:val="auto"/>
          <w:szCs w:val="21"/>
          <w:highlight w:val="none"/>
          <w:lang w:val="en-US" w:eastAsia="zh-CN"/>
        </w:rPr>
        <w:t xml:space="preserve">5.2.5  </w:t>
      </w:r>
      <w:r>
        <w:rPr>
          <w:rFonts w:hint="eastAsia" w:ascii="Times New Roman" w:hAnsi="Times New Roman" w:eastAsia="宋体" w:cs="Times New Roman"/>
          <w:b/>
          <w:color w:val="auto"/>
          <w:szCs w:val="21"/>
          <w:highlight w:val="none"/>
          <w:lang w:val="en-US" w:eastAsia="zh-CN"/>
        </w:rPr>
        <w:t>新增锚杆及传力结构的抗力发挥系数</w:t>
      </w:r>
    </w:p>
    <w:tbl>
      <w:tblPr>
        <w:tblStyle w:val="13"/>
        <w:tblW w:w="4918" w:type="pct"/>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2570"/>
        <w:gridCol w:w="2411"/>
        <w:gridCol w:w="2616"/>
      </w:tblGrid>
      <w:tr w14:paraId="07E1E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pct"/>
            <w:vAlign w:val="center"/>
          </w:tcPr>
          <w:p w14:paraId="6ABC2E97">
            <w:pPr>
              <w:spacing w:line="276" w:lineRule="auto"/>
              <w:jc w:val="center"/>
              <w:rPr>
                <w:sz w:val="21"/>
                <w:szCs w:val="21"/>
              </w:rPr>
            </w:pPr>
            <w:r>
              <w:rPr>
                <w:rFonts w:hint="eastAsia"/>
                <w:sz w:val="21"/>
                <w:szCs w:val="21"/>
              </w:rPr>
              <w:t>基坑支护形式</w:t>
            </w:r>
          </w:p>
        </w:tc>
        <w:tc>
          <w:tcPr>
            <w:tcW w:w="1441" w:type="pct"/>
            <w:vAlign w:val="center"/>
          </w:tcPr>
          <w:p w14:paraId="50544FF0">
            <w:pPr>
              <w:spacing w:line="276" w:lineRule="auto"/>
              <w:jc w:val="center"/>
              <w:rPr>
                <w:sz w:val="21"/>
                <w:szCs w:val="21"/>
              </w:rPr>
            </w:pPr>
            <w:r>
              <w:rPr>
                <w:rFonts w:hint="eastAsia"/>
                <w:sz w:val="21"/>
                <w:szCs w:val="21"/>
              </w:rPr>
              <w:t>鉴定结论类别</w:t>
            </w:r>
          </w:p>
        </w:tc>
        <w:tc>
          <w:tcPr>
            <w:tcW w:w="1352" w:type="pct"/>
            <w:vAlign w:val="center"/>
          </w:tcPr>
          <w:p w14:paraId="4D8B9868">
            <w:pPr>
              <w:spacing w:line="276" w:lineRule="auto"/>
              <w:jc w:val="center"/>
              <w:rPr>
                <w:sz w:val="21"/>
                <w:szCs w:val="21"/>
              </w:rPr>
            </w:pPr>
            <w:r>
              <w:rPr>
                <w:rFonts w:hint="eastAsia"/>
                <w:sz w:val="21"/>
                <w:szCs w:val="21"/>
              </w:rPr>
              <w:t>非预应力锚杆（索）加固</w:t>
            </w:r>
          </w:p>
        </w:tc>
        <w:tc>
          <w:tcPr>
            <w:tcW w:w="1467" w:type="pct"/>
            <w:vAlign w:val="center"/>
          </w:tcPr>
          <w:p w14:paraId="7F62AF09">
            <w:pPr>
              <w:spacing w:line="276" w:lineRule="auto"/>
              <w:jc w:val="center"/>
              <w:rPr>
                <w:sz w:val="21"/>
                <w:szCs w:val="21"/>
              </w:rPr>
            </w:pPr>
            <w:r>
              <w:rPr>
                <w:rFonts w:hint="eastAsia"/>
                <w:sz w:val="21"/>
                <w:szCs w:val="21"/>
              </w:rPr>
              <w:t>预应力锚杆（索）加固</w:t>
            </w:r>
          </w:p>
        </w:tc>
      </w:tr>
      <w:tr w14:paraId="2DE8B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1" w:hRule="atLeast"/>
        </w:trPr>
        <w:tc>
          <w:tcPr>
            <w:tcW w:w="738" w:type="pct"/>
            <w:vMerge w:val="restart"/>
            <w:vAlign w:val="center"/>
          </w:tcPr>
          <w:p w14:paraId="7FE67EF6">
            <w:pPr>
              <w:spacing w:line="276" w:lineRule="auto"/>
              <w:jc w:val="center"/>
              <w:rPr>
                <w:sz w:val="21"/>
                <w:szCs w:val="21"/>
              </w:rPr>
            </w:pPr>
            <w:r>
              <w:rPr>
                <w:rFonts w:hint="eastAsia"/>
                <w:sz w:val="21"/>
                <w:szCs w:val="21"/>
              </w:rPr>
              <w:t>喷锚支护、锚拉桩</w:t>
            </w:r>
          </w:p>
        </w:tc>
        <w:tc>
          <w:tcPr>
            <w:tcW w:w="1441" w:type="pct"/>
            <w:vAlign w:val="center"/>
          </w:tcPr>
          <w:p w14:paraId="48A19DA6">
            <w:pPr>
              <w:spacing w:line="276" w:lineRule="auto"/>
              <w:jc w:val="center"/>
              <w:rPr>
                <w:sz w:val="21"/>
                <w:szCs w:val="21"/>
              </w:rPr>
            </w:pPr>
            <w:r>
              <w:rPr>
                <w:sz w:val="21"/>
                <w:szCs w:val="21"/>
              </w:rPr>
              <w:t>Bu</w:t>
            </w:r>
          </w:p>
        </w:tc>
        <w:tc>
          <w:tcPr>
            <w:tcW w:w="1352" w:type="pct"/>
            <w:vAlign w:val="center"/>
          </w:tcPr>
          <w:p w14:paraId="7B29D3ED">
            <w:pPr>
              <w:spacing w:line="276" w:lineRule="auto"/>
              <w:jc w:val="center"/>
              <w:rPr>
                <w:sz w:val="21"/>
                <w:szCs w:val="21"/>
              </w:rPr>
            </w:pPr>
            <w:r>
              <w:rPr>
                <w:sz w:val="21"/>
                <w:szCs w:val="21"/>
              </w:rPr>
              <w:t>0.70</w:t>
            </w:r>
          </w:p>
        </w:tc>
        <w:tc>
          <w:tcPr>
            <w:tcW w:w="1467" w:type="pct"/>
            <w:vAlign w:val="center"/>
          </w:tcPr>
          <w:p w14:paraId="0EB41726">
            <w:pPr>
              <w:spacing w:line="276" w:lineRule="auto"/>
              <w:jc w:val="center"/>
              <w:rPr>
                <w:sz w:val="21"/>
                <w:szCs w:val="21"/>
              </w:rPr>
            </w:pPr>
            <w:r>
              <w:rPr>
                <w:sz w:val="21"/>
                <w:szCs w:val="21"/>
              </w:rPr>
              <w:t>0.95</w:t>
            </w:r>
          </w:p>
        </w:tc>
      </w:tr>
      <w:tr w14:paraId="1599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738" w:type="pct"/>
            <w:vMerge w:val="continue"/>
            <w:vAlign w:val="center"/>
          </w:tcPr>
          <w:p w14:paraId="54BDE07C">
            <w:pPr>
              <w:spacing w:line="276" w:lineRule="auto"/>
              <w:jc w:val="center"/>
              <w:rPr>
                <w:sz w:val="21"/>
                <w:szCs w:val="21"/>
              </w:rPr>
            </w:pPr>
          </w:p>
        </w:tc>
        <w:tc>
          <w:tcPr>
            <w:tcW w:w="1441" w:type="pct"/>
            <w:vAlign w:val="center"/>
          </w:tcPr>
          <w:p w14:paraId="1359C958">
            <w:pPr>
              <w:spacing w:line="276" w:lineRule="auto"/>
              <w:jc w:val="center"/>
              <w:rPr>
                <w:sz w:val="21"/>
                <w:szCs w:val="21"/>
              </w:rPr>
            </w:pPr>
            <w:r>
              <w:rPr>
                <w:sz w:val="21"/>
                <w:szCs w:val="21"/>
              </w:rPr>
              <w:t>Cu</w:t>
            </w:r>
          </w:p>
        </w:tc>
        <w:tc>
          <w:tcPr>
            <w:tcW w:w="1352" w:type="pct"/>
            <w:vAlign w:val="center"/>
          </w:tcPr>
          <w:p w14:paraId="768DF5B4">
            <w:pPr>
              <w:spacing w:line="276" w:lineRule="auto"/>
              <w:jc w:val="center"/>
              <w:rPr>
                <w:sz w:val="21"/>
                <w:szCs w:val="21"/>
              </w:rPr>
            </w:pPr>
            <w:r>
              <w:rPr>
                <w:sz w:val="21"/>
                <w:szCs w:val="21"/>
              </w:rPr>
              <w:t>0.65</w:t>
            </w:r>
          </w:p>
        </w:tc>
        <w:tc>
          <w:tcPr>
            <w:tcW w:w="1467" w:type="pct"/>
            <w:vAlign w:val="center"/>
          </w:tcPr>
          <w:p w14:paraId="3F17F832">
            <w:pPr>
              <w:spacing w:line="276" w:lineRule="auto"/>
              <w:jc w:val="center"/>
              <w:rPr>
                <w:sz w:val="21"/>
                <w:szCs w:val="21"/>
              </w:rPr>
            </w:pPr>
            <w:r>
              <w:rPr>
                <w:sz w:val="21"/>
                <w:szCs w:val="21"/>
              </w:rPr>
              <w:t>0.90</w:t>
            </w:r>
          </w:p>
        </w:tc>
      </w:tr>
      <w:tr w14:paraId="078C3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738" w:type="pct"/>
            <w:vMerge w:val="continue"/>
            <w:vAlign w:val="center"/>
          </w:tcPr>
          <w:p w14:paraId="3A482996">
            <w:pPr>
              <w:spacing w:line="276" w:lineRule="auto"/>
              <w:jc w:val="center"/>
              <w:rPr>
                <w:sz w:val="21"/>
                <w:szCs w:val="21"/>
              </w:rPr>
            </w:pPr>
          </w:p>
        </w:tc>
        <w:tc>
          <w:tcPr>
            <w:tcW w:w="1441" w:type="pct"/>
            <w:vAlign w:val="center"/>
          </w:tcPr>
          <w:p w14:paraId="7D7043F8">
            <w:pPr>
              <w:spacing w:line="276" w:lineRule="auto"/>
              <w:jc w:val="center"/>
              <w:rPr>
                <w:sz w:val="21"/>
                <w:szCs w:val="21"/>
              </w:rPr>
            </w:pPr>
            <w:r>
              <w:rPr>
                <w:sz w:val="21"/>
                <w:szCs w:val="21"/>
              </w:rPr>
              <w:t>Du</w:t>
            </w:r>
          </w:p>
        </w:tc>
        <w:tc>
          <w:tcPr>
            <w:tcW w:w="1352" w:type="pct"/>
            <w:vAlign w:val="center"/>
          </w:tcPr>
          <w:p w14:paraId="56EC712F">
            <w:pPr>
              <w:spacing w:line="276" w:lineRule="auto"/>
              <w:jc w:val="center"/>
              <w:rPr>
                <w:sz w:val="21"/>
                <w:szCs w:val="21"/>
              </w:rPr>
            </w:pPr>
            <w:r>
              <w:rPr>
                <w:sz w:val="21"/>
                <w:szCs w:val="21"/>
              </w:rPr>
              <w:t>0.6</w:t>
            </w:r>
            <w:r>
              <w:rPr>
                <w:rFonts w:hint="eastAsia"/>
                <w:sz w:val="21"/>
                <w:szCs w:val="21"/>
              </w:rPr>
              <w:t>0</w:t>
            </w:r>
          </w:p>
        </w:tc>
        <w:tc>
          <w:tcPr>
            <w:tcW w:w="1467" w:type="pct"/>
            <w:vAlign w:val="center"/>
          </w:tcPr>
          <w:p w14:paraId="47BF0E16">
            <w:pPr>
              <w:spacing w:line="276" w:lineRule="auto"/>
              <w:jc w:val="center"/>
              <w:rPr>
                <w:sz w:val="21"/>
                <w:szCs w:val="21"/>
              </w:rPr>
            </w:pPr>
            <w:r>
              <w:rPr>
                <w:sz w:val="21"/>
                <w:szCs w:val="21"/>
              </w:rPr>
              <w:t>0.85</w:t>
            </w:r>
          </w:p>
        </w:tc>
      </w:tr>
      <w:tr w14:paraId="3F130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738" w:type="pct"/>
            <w:vMerge w:val="restart"/>
            <w:vAlign w:val="center"/>
          </w:tcPr>
          <w:p w14:paraId="2A5BC67E">
            <w:pPr>
              <w:spacing w:line="276" w:lineRule="auto"/>
              <w:jc w:val="center"/>
              <w:rPr>
                <w:sz w:val="21"/>
                <w:szCs w:val="21"/>
              </w:rPr>
            </w:pPr>
            <w:bookmarkStart w:id="44" w:name="OLE_LINK17"/>
            <w:r>
              <w:rPr>
                <w:rFonts w:hint="eastAsia"/>
                <w:sz w:val="21"/>
                <w:szCs w:val="21"/>
              </w:rPr>
              <w:t>微型桩、单排桩、双排桩</w:t>
            </w:r>
            <w:bookmarkEnd w:id="44"/>
          </w:p>
        </w:tc>
        <w:tc>
          <w:tcPr>
            <w:tcW w:w="2570" w:type="dxa"/>
            <w:vAlign w:val="center"/>
          </w:tcPr>
          <w:p w14:paraId="1DDA916A">
            <w:pPr>
              <w:spacing w:line="276" w:lineRule="auto"/>
              <w:jc w:val="center"/>
              <w:rPr>
                <w:sz w:val="21"/>
                <w:szCs w:val="21"/>
              </w:rPr>
            </w:pPr>
            <w:r>
              <w:rPr>
                <w:sz w:val="21"/>
                <w:szCs w:val="21"/>
              </w:rPr>
              <w:t>Bu</w:t>
            </w:r>
          </w:p>
        </w:tc>
        <w:tc>
          <w:tcPr>
            <w:tcW w:w="1352" w:type="pct"/>
            <w:vAlign w:val="center"/>
          </w:tcPr>
          <w:p w14:paraId="6509477A">
            <w:pPr>
              <w:spacing w:line="276" w:lineRule="auto"/>
              <w:jc w:val="center"/>
              <w:rPr>
                <w:sz w:val="21"/>
                <w:szCs w:val="21"/>
              </w:rPr>
            </w:pPr>
            <w:r>
              <w:rPr>
                <w:sz w:val="21"/>
                <w:szCs w:val="21"/>
              </w:rPr>
              <w:t>0.80</w:t>
            </w:r>
          </w:p>
        </w:tc>
        <w:tc>
          <w:tcPr>
            <w:tcW w:w="1467" w:type="pct"/>
            <w:vAlign w:val="center"/>
          </w:tcPr>
          <w:p w14:paraId="30080776">
            <w:pPr>
              <w:spacing w:line="276" w:lineRule="auto"/>
              <w:jc w:val="center"/>
              <w:rPr>
                <w:sz w:val="21"/>
                <w:szCs w:val="21"/>
              </w:rPr>
            </w:pPr>
            <w:r>
              <w:rPr>
                <w:sz w:val="21"/>
                <w:szCs w:val="21"/>
              </w:rPr>
              <w:t>0.95</w:t>
            </w:r>
          </w:p>
        </w:tc>
      </w:tr>
      <w:tr w14:paraId="710AF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738" w:type="pct"/>
            <w:vMerge w:val="continue"/>
            <w:vAlign w:val="center"/>
          </w:tcPr>
          <w:p w14:paraId="574736B0">
            <w:pPr>
              <w:spacing w:line="276" w:lineRule="auto"/>
              <w:jc w:val="center"/>
              <w:rPr>
                <w:sz w:val="21"/>
                <w:szCs w:val="21"/>
              </w:rPr>
            </w:pPr>
          </w:p>
        </w:tc>
        <w:tc>
          <w:tcPr>
            <w:tcW w:w="2570" w:type="dxa"/>
            <w:vAlign w:val="center"/>
          </w:tcPr>
          <w:p w14:paraId="6209DC92">
            <w:pPr>
              <w:spacing w:line="276" w:lineRule="auto"/>
              <w:jc w:val="center"/>
              <w:rPr>
                <w:sz w:val="21"/>
                <w:szCs w:val="21"/>
              </w:rPr>
            </w:pPr>
            <w:r>
              <w:rPr>
                <w:sz w:val="21"/>
                <w:szCs w:val="21"/>
              </w:rPr>
              <w:t>Cu</w:t>
            </w:r>
          </w:p>
        </w:tc>
        <w:tc>
          <w:tcPr>
            <w:tcW w:w="1352" w:type="pct"/>
            <w:vAlign w:val="center"/>
          </w:tcPr>
          <w:p w14:paraId="2F5FB6B0">
            <w:pPr>
              <w:spacing w:line="276" w:lineRule="auto"/>
              <w:jc w:val="center"/>
              <w:rPr>
                <w:sz w:val="21"/>
                <w:szCs w:val="21"/>
              </w:rPr>
            </w:pPr>
            <w:r>
              <w:rPr>
                <w:sz w:val="21"/>
                <w:szCs w:val="21"/>
              </w:rPr>
              <w:t>0.75</w:t>
            </w:r>
          </w:p>
        </w:tc>
        <w:tc>
          <w:tcPr>
            <w:tcW w:w="1467" w:type="pct"/>
            <w:vAlign w:val="center"/>
          </w:tcPr>
          <w:p w14:paraId="05F05C20">
            <w:pPr>
              <w:spacing w:line="276" w:lineRule="auto"/>
              <w:jc w:val="center"/>
              <w:rPr>
                <w:sz w:val="21"/>
                <w:szCs w:val="21"/>
              </w:rPr>
            </w:pPr>
            <w:r>
              <w:rPr>
                <w:sz w:val="21"/>
                <w:szCs w:val="21"/>
              </w:rPr>
              <w:t>0.90</w:t>
            </w:r>
          </w:p>
        </w:tc>
      </w:tr>
      <w:tr w14:paraId="1C002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738" w:type="pct"/>
            <w:vMerge w:val="continue"/>
            <w:vAlign w:val="center"/>
          </w:tcPr>
          <w:p w14:paraId="4CC460C7">
            <w:pPr>
              <w:spacing w:line="276" w:lineRule="auto"/>
              <w:jc w:val="center"/>
              <w:rPr>
                <w:sz w:val="21"/>
                <w:szCs w:val="21"/>
              </w:rPr>
            </w:pPr>
          </w:p>
        </w:tc>
        <w:tc>
          <w:tcPr>
            <w:tcW w:w="2570" w:type="dxa"/>
            <w:vAlign w:val="center"/>
          </w:tcPr>
          <w:p w14:paraId="24C19653">
            <w:pPr>
              <w:spacing w:line="276" w:lineRule="auto"/>
              <w:jc w:val="center"/>
              <w:rPr>
                <w:sz w:val="21"/>
                <w:szCs w:val="21"/>
              </w:rPr>
            </w:pPr>
            <w:r>
              <w:rPr>
                <w:sz w:val="21"/>
                <w:szCs w:val="21"/>
              </w:rPr>
              <w:t>Du</w:t>
            </w:r>
          </w:p>
        </w:tc>
        <w:tc>
          <w:tcPr>
            <w:tcW w:w="1352" w:type="pct"/>
            <w:vAlign w:val="center"/>
          </w:tcPr>
          <w:p w14:paraId="31B0B470">
            <w:pPr>
              <w:spacing w:line="276" w:lineRule="auto"/>
              <w:jc w:val="center"/>
              <w:rPr>
                <w:sz w:val="21"/>
                <w:szCs w:val="21"/>
              </w:rPr>
            </w:pPr>
            <w:r>
              <w:rPr>
                <w:sz w:val="21"/>
                <w:szCs w:val="21"/>
              </w:rPr>
              <w:t>0.7</w:t>
            </w:r>
            <w:r>
              <w:rPr>
                <w:rFonts w:hint="eastAsia"/>
                <w:sz w:val="21"/>
                <w:szCs w:val="21"/>
              </w:rPr>
              <w:t>0</w:t>
            </w:r>
          </w:p>
        </w:tc>
        <w:tc>
          <w:tcPr>
            <w:tcW w:w="1467" w:type="pct"/>
            <w:vAlign w:val="center"/>
          </w:tcPr>
          <w:p w14:paraId="6306EEB3">
            <w:pPr>
              <w:spacing w:line="276" w:lineRule="auto"/>
              <w:jc w:val="center"/>
              <w:rPr>
                <w:sz w:val="21"/>
                <w:szCs w:val="21"/>
              </w:rPr>
            </w:pPr>
            <w:r>
              <w:rPr>
                <w:sz w:val="21"/>
                <w:szCs w:val="21"/>
              </w:rPr>
              <w:t>0.85</w:t>
            </w:r>
          </w:p>
        </w:tc>
      </w:tr>
    </w:tbl>
    <w:p w14:paraId="7530E96B">
      <w:pPr>
        <w:spacing w:line="240" w:lineRule="auto"/>
        <w:ind w:firstLine="360" w:firstLineChars="200"/>
        <w:jc w:val="left"/>
        <w:rPr>
          <w:rFonts w:cs="Times New Roman"/>
          <w:bCs/>
          <w:sz w:val="18"/>
          <w:szCs w:val="15"/>
        </w:rPr>
      </w:pPr>
      <w:r>
        <w:rPr>
          <w:rFonts w:hint="eastAsia" w:cs="Times New Roman"/>
          <w:bCs/>
          <w:sz w:val="18"/>
          <w:szCs w:val="15"/>
        </w:rPr>
        <w:t>注：</w:t>
      </w:r>
      <w:r>
        <w:rPr>
          <w:rFonts w:cs="Times New Roman"/>
          <w:bCs/>
          <w:sz w:val="18"/>
          <w:szCs w:val="15"/>
        </w:rPr>
        <w:t xml:space="preserve">1  </w:t>
      </w:r>
      <w:r>
        <w:rPr>
          <w:rFonts w:hint="eastAsia" w:cs="Times New Roman"/>
          <w:bCs/>
          <w:sz w:val="18"/>
          <w:szCs w:val="15"/>
        </w:rPr>
        <w:t>本表适用于在既有支护结构上新增的锚杆（索）及其传力结构的抗力发挥系数取值；</w:t>
      </w:r>
    </w:p>
    <w:p w14:paraId="70779D70">
      <w:pPr>
        <w:spacing w:line="240" w:lineRule="auto"/>
        <w:ind w:firstLine="720" w:firstLineChars="400"/>
        <w:jc w:val="left"/>
        <w:rPr>
          <w:rFonts w:cs="Times New Roman"/>
          <w:bCs/>
          <w:sz w:val="18"/>
          <w:szCs w:val="15"/>
        </w:rPr>
      </w:pPr>
      <w:r>
        <w:rPr>
          <w:rFonts w:cs="Times New Roman"/>
          <w:bCs/>
          <w:sz w:val="18"/>
          <w:szCs w:val="15"/>
        </w:rPr>
        <w:t xml:space="preserve">2  </w:t>
      </w:r>
      <w:r>
        <w:rPr>
          <w:rFonts w:hint="eastAsia" w:cs="Times New Roman"/>
          <w:bCs/>
          <w:sz w:val="18"/>
          <w:szCs w:val="15"/>
        </w:rPr>
        <w:t>锚固段为土层时，抗力发挥系数宜比表中数值降低</w:t>
      </w:r>
      <w:r>
        <w:rPr>
          <w:rFonts w:cs="Times New Roman"/>
          <w:bCs/>
          <w:sz w:val="18"/>
          <w:szCs w:val="15"/>
        </w:rPr>
        <w:t>0.05</w:t>
      </w:r>
      <w:r>
        <w:rPr>
          <w:rFonts w:hint="eastAsia" w:cs="Times New Roman"/>
          <w:bCs/>
          <w:sz w:val="18"/>
          <w:szCs w:val="15"/>
        </w:rPr>
        <w:t>。</w:t>
      </w:r>
    </w:p>
    <w:p w14:paraId="7B059251">
      <w:pPr>
        <w:rPr>
          <w:rFonts w:hint="eastAsia" w:ascii="Times New Roman" w:hAnsi="Times New Roman" w:eastAsia="楷体" w:cs="Times New Roman"/>
          <w:u w:val="single"/>
        </w:rPr>
      </w:pPr>
      <w:r>
        <w:rPr>
          <w:rFonts w:hint="eastAsia" w:ascii="Times New Roman" w:hAnsi="Times New Roman" w:eastAsia="楷体" w:cs="Times New Roman"/>
          <w:u w:val="single"/>
        </w:rPr>
        <w:t>【条文说明】鉴于目前国内基坑加固的相关实测数据、试验资料较少，本节在确定新增锚杆及传力结构的构件抗力发挥系数时，借鉴国家现行相关加固规范的成果，主要考虑了基坑安全性鉴定结果、新旧结构构件结合程度、加固后支护结构的应力应变滞后等因素的影响。</w:t>
      </w:r>
    </w:p>
    <w:p w14:paraId="1561A5B8">
      <w:pPr>
        <w:rPr>
          <w:rFonts w:ascii="Times New Roman" w:hAnsi="Times New Roman" w:eastAsia="楷体" w:cs="Times New Roman"/>
          <w:u w:val="single"/>
        </w:rPr>
      </w:pPr>
      <w:r>
        <w:rPr>
          <w:rFonts w:hint="eastAsia" w:ascii="Times New Roman" w:hAnsi="Times New Roman" w:eastAsia="楷体" w:cs="Times New Roman"/>
          <w:u w:val="single"/>
        </w:rPr>
        <w:t>在既有喷锚支护、锚拉桩支护结构上</w:t>
      </w:r>
      <w:r>
        <w:rPr>
          <w:rFonts w:ascii="Times New Roman" w:hAnsi="Times New Roman" w:eastAsia="楷体" w:cs="Times New Roman"/>
          <w:u w:val="single"/>
        </w:rPr>
        <w:t>加固时，新增非预应力锚杆抗拉刚度较小，在边坡新的变形下其应力应变滞后严重，新增锚杆发挥作用小，因此锚杆抗力发挥系数折减最多</w:t>
      </w:r>
      <w:r>
        <w:rPr>
          <w:rFonts w:hint="eastAsia" w:ascii="Times New Roman" w:hAnsi="Times New Roman" w:eastAsia="楷体" w:cs="Times New Roman"/>
          <w:u w:val="single"/>
        </w:rPr>
        <w:t>。既有微型桩、灌注单排桩、双排桩</w:t>
      </w:r>
      <w:r>
        <w:rPr>
          <w:rFonts w:ascii="Times New Roman" w:hAnsi="Times New Roman" w:eastAsia="楷体" w:cs="Times New Roman"/>
          <w:u w:val="single"/>
        </w:rPr>
        <w:t>的自身变形较大，新增非预应力锚杆更容易与之协同工作，所以锚杆抗力发挥系数折减</w:t>
      </w:r>
      <w:r>
        <w:rPr>
          <w:rFonts w:hint="eastAsia" w:ascii="Times New Roman" w:hAnsi="Times New Roman" w:eastAsia="楷体" w:cs="Times New Roman"/>
          <w:u w:val="single"/>
        </w:rPr>
        <w:t>相对较</w:t>
      </w:r>
      <w:r>
        <w:rPr>
          <w:rFonts w:ascii="Times New Roman" w:hAnsi="Times New Roman" w:eastAsia="楷体" w:cs="Times New Roman"/>
          <w:u w:val="single"/>
        </w:rPr>
        <w:t>少。</w:t>
      </w:r>
    </w:p>
    <w:p w14:paraId="1D704D03">
      <w:pPr>
        <w:jc w:val="left"/>
        <w:rPr>
          <w:rFonts w:cs="Times New Roman"/>
          <w:szCs w:val="32"/>
        </w:rPr>
      </w:pPr>
      <w:r>
        <w:rPr>
          <w:rFonts w:cs="Times New Roman"/>
          <w:b/>
          <w:szCs w:val="32"/>
        </w:rPr>
        <w:t>5.2.6</w:t>
      </w:r>
      <w:r>
        <w:rPr>
          <w:rFonts w:cs="Times New Roman"/>
          <w:szCs w:val="32"/>
        </w:rPr>
        <w:t xml:space="preserve"> 采用钢板桩、</w:t>
      </w:r>
      <w:r>
        <w:rPr>
          <w:rFonts w:cs="Times New Roman"/>
          <w:spacing w:val="2"/>
          <w:szCs w:val="32"/>
        </w:rPr>
        <w:t>微型桩或灌注桩加固法</w:t>
      </w:r>
      <w:r>
        <w:rPr>
          <w:rFonts w:cs="Times New Roman"/>
          <w:szCs w:val="32"/>
        </w:rPr>
        <w:t>加固时，根据基坑工程的支护形式和</w:t>
      </w:r>
      <w:r>
        <w:rPr>
          <w:rFonts w:cs="Times New Roman"/>
        </w:rPr>
        <w:t>鉴定结论类别</w:t>
      </w:r>
      <w:r>
        <w:rPr>
          <w:rFonts w:cs="Times New Roman"/>
          <w:szCs w:val="32"/>
        </w:rPr>
        <w:t>，新增钢板桩、微型桩、灌注桩及传力结构的抗力发挥系数宜按表5.2.6采用。</w:t>
      </w:r>
    </w:p>
    <w:p w14:paraId="784736B7">
      <w:pPr>
        <w:jc w:val="center"/>
        <w:rPr>
          <w:rFonts w:cs="Times New Roman"/>
          <w:b/>
          <w:szCs w:val="21"/>
        </w:rPr>
      </w:pPr>
      <w:r>
        <w:rPr>
          <w:rFonts w:cs="Times New Roman"/>
          <w:b/>
          <w:szCs w:val="21"/>
        </w:rPr>
        <w:t>表5.2.6  新增钢板桩、微型桩、灌注桩及传力结构的抗力发挥系数</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2610"/>
        <w:gridCol w:w="2761"/>
        <w:gridCol w:w="2666"/>
      </w:tblGrid>
      <w:tr w14:paraId="50AC6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563" w:type="pct"/>
            <w:vMerge w:val="restart"/>
            <w:vAlign w:val="center"/>
          </w:tcPr>
          <w:p w14:paraId="2922B970">
            <w:pPr>
              <w:jc w:val="center"/>
              <w:rPr>
                <w:szCs w:val="21"/>
              </w:rPr>
            </w:pPr>
            <w:r>
              <w:rPr>
                <w:rFonts w:hint="eastAsia"/>
                <w:szCs w:val="21"/>
              </w:rPr>
              <w:t>基坑支护形式</w:t>
            </w:r>
          </w:p>
        </w:tc>
        <w:tc>
          <w:tcPr>
            <w:tcW w:w="4437" w:type="pct"/>
            <w:gridSpan w:val="3"/>
            <w:vAlign w:val="center"/>
          </w:tcPr>
          <w:p w14:paraId="3430D6C7">
            <w:pPr>
              <w:jc w:val="center"/>
              <w:rPr>
                <w:szCs w:val="21"/>
              </w:rPr>
            </w:pPr>
            <w:r>
              <w:rPr>
                <w:rFonts w:hint="eastAsia"/>
                <w:szCs w:val="21"/>
              </w:rPr>
              <w:t>鉴定结论类别</w:t>
            </w:r>
          </w:p>
        </w:tc>
      </w:tr>
      <w:tr w14:paraId="33C10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63" w:type="pct"/>
            <w:vMerge w:val="continue"/>
            <w:vAlign w:val="center"/>
          </w:tcPr>
          <w:p w14:paraId="01454DF8">
            <w:pPr>
              <w:jc w:val="center"/>
              <w:rPr>
                <w:szCs w:val="21"/>
              </w:rPr>
            </w:pPr>
          </w:p>
        </w:tc>
        <w:tc>
          <w:tcPr>
            <w:tcW w:w="1441" w:type="pct"/>
            <w:vAlign w:val="center"/>
          </w:tcPr>
          <w:p w14:paraId="5ACCC735">
            <w:pPr>
              <w:jc w:val="center"/>
              <w:rPr>
                <w:szCs w:val="21"/>
              </w:rPr>
            </w:pPr>
            <w:r>
              <w:rPr>
                <w:rFonts w:hint="eastAsia"/>
                <w:szCs w:val="21"/>
              </w:rPr>
              <w:t>Bu</w:t>
            </w:r>
          </w:p>
        </w:tc>
        <w:tc>
          <w:tcPr>
            <w:tcW w:w="1524" w:type="pct"/>
            <w:vAlign w:val="center"/>
          </w:tcPr>
          <w:p w14:paraId="7D032B38">
            <w:pPr>
              <w:jc w:val="center"/>
              <w:rPr>
                <w:szCs w:val="21"/>
              </w:rPr>
            </w:pPr>
            <w:r>
              <w:rPr>
                <w:rFonts w:hint="eastAsia"/>
                <w:szCs w:val="21"/>
              </w:rPr>
              <w:t>Cu</w:t>
            </w:r>
          </w:p>
        </w:tc>
        <w:tc>
          <w:tcPr>
            <w:tcW w:w="1472" w:type="pct"/>
            <w:vAlign w:val="center"/>
          </w:tcPr>
          <w:p w14:paraId="7D9E0F62">
            <w:pPr>
              <w:jc w:val="center"/>
              <w:rPr>
                <w:szCs w:val="21"/>
              </w:rPr>
            </w:pPr>
            <w:r>
              <w:rPr>
                <w:rFonts w:hint="eastAsia"/>
                <w:szCs w:val="21"/>
              </w:rPr>
              <w:t>Du</w:t>
            </w:r>
          </w:p>
        </w:tc>
      </w:tr>
      <w:tr w14:paraId="00B4D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563" w:type="pct"/>
            <w:vAlign w:val="center"/>
          </w:tcPr>
          <w:p w14:paraId="106FEC78">
            <w:pPr>
              <w:jc w:val="center"/>
              <w:rPr>
                <w:szCs w:val="21"/>
              </w:rPr>
            </w:pPr>
            <w:r>
              <w:rPr>
                <w:rFonts w:hint="eastAsia"/>
                <w:szCs w:val="21"/>
              </w:rPr>
              <w:t>微型桩</w:t>
            </w:r>
          </w:p>
        </w:tc>
        <w:tc>
          <w:tcPr>
            <w:tcW w:w="1441" w:type="pct"/>
            <w:vAlign w:val="center"/>
          </w:tcPr>
          <w:p w14:paraId="30CF7722">
            <w:pPr>
              <w:jc w:val="center"/>
              <w:rPr>
                <w:szCs w:val="21"/>
              </w:rPr>
            </w:pPr>
            <w:r>
              <w:rPr>
                <w:szCs w:val="21"/>
              </w:rPr>
              <w:t>0.80</w:t>
            </w:r>
          </w:p>
        </w:tc>
        <w:tc>
          <w:tcPr>
            <w:tcW w:w="1524" w:type="pct"/>
            <w:vAlign w:val="center"/>
          </w:tcPr>
          <w:p w14:paraId="221A2E64">
            <w:pPr>
              <w:jc w:val="center"/>
              <w:rPr>
                <w:szCs w:val="21"/>
              </w:rPr>
            </w:pPr>
            <w:r>
              <w:rPr>
                <w:szCs w:val="21"/>
              </w:rPr>
              <w:t>0.75</w:t>
            </w:r>
          </w:p>
        </w:tc>
        <w:tc>
          <w:tcPr>
            <w:tcW w:w="1472" w:type="pct"/>
            <w:vAlign w:val="center"/>
          </w:tcPr>
          <w:p w14:paraId="61728067">
            <w:pPr>
              <w:jc w:val="center"/>
              <w:rPr>
                <w:szCs w:val="21"/>
              </w:rPr>
            </w:pPr>
            <w:r>
              <w:rPr>
                <w:rFonts w:hint="eastAsia"/>
                <w:szCs w:val="21"/>
              </w:rPr>
              <w:t>0.7</w:t>
            </w:r>
          </w:p>
        </w:tc>
      </w:tr>
      <w:tr w14:paraId="7BB9D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563" w:type="pct"/>
            <w:vAlign w:val="center"/>
          </w:tcPr>
          <w:p w14:paraId="342668CD">
            <w:pPr>
              <w:jc w:val="center"/>
              <w:rPr>
                <w:szCs w:val="21"/>
              </w:rPr>
            </w:pPr>
            <w:r>
              <w:rPr>
                <w:rFonts w:hint="eastAsia"/>
                <w:szCs w:val="21"/>
              </w:rPr>
              <w:t>灌注桩</w:t>
            </w:r>
          </w:p>
        </w:tc>
        <w:tc>
          <w:tcPr>
            <w:tcW w:w="1441" w:type="pct"/>
            <w:vAlign w:val="center"/>
          </w:tcPr>
          <w:p w14:paraId="408F609B">
            <w:pPr>
              <w:jc w:val="center"/>
              <w:rPr>
                <w:szCs w:val="21"/>
              </w:rPr>
            </w:pPr>
            <w:r>
              <w:rPr>
                <w:szCs w:val="21"/>
              </w:rPr>
              <w:t>0.85</w:t>
            </w:r>
          </w:p>
        </w:tc>
        <w:tc>
          <w:tcPr>
            <w:tcW w:w="1524" w:type="pct"/>
            <w:vAlign w:val="center"/>
          </w:tcPr>
          <w:p w14:paraId="577A015F">
            <w:pPr>
              <w:jc w:val="center"/>
              <w:rPr>
                <w:szCs w:val="21"/>
              </w:rPr>
            </w:pPr>
            <w:r>
              <w:rPr>
                <w:szCs w:val="21"/>
              </w:rPr>
              <w:t>0.80</w:t>
            </w:r>
          </w:p>
        </w:tc>
        <w:tc>
          <w:tcPr>
            <w:tcW w:w="1472" w:type="pct"/>
            <w:vAlign w:val="center"/>
          </w:tcPr>
          <w:p w14:paraId="7E93809C">
            <w:pPr>
              <w:jc w:val="center"/>
              <w:rPr>
                <w:szCs w:val="21"/>
              </w:rPr>
            </w:pPr>
            <w:r>
              <w:rPr>
                <w:rFonts w:hint="eastAsia"/>
                <w:szCs w:val="21"/>
              </w:rPr>
              <w:t>0.75</w:t>
            </w:r>
          </w:p>
        </w:tc>
      </w:tr>
    </w:tbl>
    <w:p w14:paraId="77418697">
      <w:pPr>
        <w:ind w:firstLine="480" w:firstLineChars="200"/>
        <w:jc w:val="left"/>
        <w:rPr>
          <w:rFonts w:cs="Times New Roman"/>
          <w:bCs/>
          <w:szCs w:val="21"/>
        </w:rPr>
      </w:pPr>
      <w:r>
        <w:rPr>
          <w:rFonts w:cs="Times New Roman"/>
          <w:bCs/>
          <w:szCs w:val="21"/>
        </w:rPr>
        <w:t>注：1  本表适用于在既有支护结构上新增的微型桩、灌注桩及其传力结构的抗力发挥系数取值；</w:t>
      </w:r>
    </w:p>
    <w:p w14:paraId="27D55102">
      <w:pPr>
        <w:ind w:firstLine="960" w:firstLineChars="400"/>
        <w:jc w:val="left"/>
        <w:rPr>
          <w:rFonts w:cs="Times New Roman"/>
          <w:bCs/>
          <w:szCs w:val="21"/>
        </w:rPr>
      </w:pPr>
      <w:r>
        <w:rPr>
          <w:rFonts w:cs="Times New Roman"/>
          <w:bCs/>
          <w:szCs w:val="21"/>
        </w:rPr>
        <w:t>2  新增桩埋入段为土层时，抗力发挥系数宜比表中数值降低0.05。</w:t>
      </w:r>
    </w:p>
    <w:p w14:paraId="12DA3735">
      <w:pPr>
        <w:rPr>
          <w:rFonts w:cs="Times New Roman" w:eastAsiaTheme="minorEastAsia"/>
          <w:bCs/>
        </w:rPr>
      </w:pPr>
      <w:r>
        <w:rPr>
          <w:rFonts w:cs="Times New Roman" w:eastAsiaTheme="minorEastAsia"/>
          <w:b/>
        </w:rPr>
        <w:t>5.2.7</w:t>
      </w:r>
      <w:r>
        <w:rPr>
          <w:rFonts w:cs="Times New Roman" w:eastAsiaTheme="minorEastAsia"/>
        </w:rPr>
        <w:t xml:space="preserve"> </w:t>
      </w:r>
      <w:r>
        <w:rPr>
          <w:rFonts w:cs="Times New Roman" w:eastAsiaTheme="minorEastAsia"/>
          <w:bCs/>
        </w:rPr>
        <w:t>基坑底被动区有限土体的</w:t>
      </w:r>
      <w:bookmarkStart w:id="45" w:name="OLE_LINK27"/>
      <w:r>
        <w:rPr>
          <w:rFonts w:cs="Times New Roman" w:eastAsiaTheme="minorEastAsia"/>
          <w:bCs/>
        </w:rPr>
        <w:t>被动土压力标准值</w:t>
      </w:r>
      <w:bookmarkEnd w:id="45"/>
      <w:r>
        <w:rPr>
          <w:rFonts w:cs="Times New Roman" w:eastAsiaTheme="minorEastAsia"/>
          <w:bCs/>
        </w:rPr>
        <w:t>可按下列公式计算：</w:t>
      </w:r>
    </w:p>
    <w:p w14:paraId="68151EC6">
      <w:pPr>
        <w:jc w:val="center"/>
        <w:rPr>
          <w:rFonts w:cs="Times New Roman" w:eastAsiaTheme="minorEastAsia"/>
          <w:bCs/>
        </w:rPr>
      </w:pPr>
      <w:r>
        <w:rPr>
          <w:rFonts w:cs="Times New Roman"/>
        </w:rPr>
        <w:drawing>
          <wp:inline distT="0" distB="0" distL="0" distR="0">
            <wp:extent cx="2514600" cy="2341880"/>
            <wp:effectExtent l="0" t="0" r="0" b="1270"/>
            <wp:docPr id="17006274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27464"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541159" cy="2366659"/>
                    </a:xfrm>
                    <a:prstGeom prst="rect">
                      <a:avLst/>
                    </a:prstGeom>
                  </pic:spPr>
                </pic:pic>
              </a:graphicData>
            </a:graphic>
          </wp:inline>
        </w:drawing>
      </w:r>
    </w:p>
    <w:p w14:paraId="7C2EE990">
      <w:pPr>
        <w:jc w:val="center"/>
        <w:rPr>
          <w:rFonts w:cs="Times New Roman" w:eastAsiaTheme="minorEastAsia"/>
          <w:bCs/>
        </w:rPr>
      </w:pPr>
      <w:r>
        <w:rPr>
          <w:rFonts w:cs="Times New Roman" w:eastAsiaTheme="minorEastAsia"/>
          <w:bCs/>
        </w:rPr>
        <w:t>图5.2.7  基坑内有限土体受力示意图</w:t>
      </w:r>
    </w:p>
    <w:tbl>
      <w:tblPr>
        <w:tblStyle w:val="1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992"/>
        <w:gridCol w:w="1069"/>
      </w:tblGrid>
      <w:tr w14:paraId="1C496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4410" w:type="pct"/>
            <w:vAlign w:val="center"/>
          </w:tcPr>
          <w:p w14:paraId="3F9D79BF">
            <w:pPr>
              <w:jc w:val="right"/>
              <w:rPr>
                <w:rFonts w:cs="Times New Roman" w:eastAsiaTheme="minorEastAsia"/>
              </w:rPr>
            </w:pPr>
            <m:oMathPara>
              <m:oMathParaPr>
                <m:jc m:val="center"/>
              </m:oMathParaPr>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E</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P</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sSub>
                  <m:sSubPr>
                    <m:ctrlPr>
                      <w:rPr>
                        <w:rFonts w:ascii="Cambria Math" w:hAnsi="Cambria Math" w:cs="Times New Roman" w:eastAsiaTheme="minorEastAsia"/>
                        <w:i/>
                        <w:vertAlign w:val="subscript"/>
                        <w:lang w:val="de-DE"/>
                      </w:rPr>
                    </m:ctrlPr>
                  </m:sSubPr>
                  <m:e>
                    <m:f>
                      <m:fPr>
                        <m:ctrlPr>
                          <w:rPr>
                            <w:rFonts w:ascii="Cambria Math" w:hAnsi="Cambria Math" w:cs="Times New Roman" w:eastAsiaTheme="minorEastAsia"/>
                            <w:i/>
                            <w:vertAlign w:val="subscript"/>
                            <w:lang w:val="de-DE"/>
                          </w:rPr>
                        </m:ctrlPr>
                      </m:fPr>
                      <m:num>
                        <m:r>
                          <m:rPr/>
                          <w:rPr>
                            <w:rFonts w:ascii="Cambria Math" w:hAnsi="Cambria Math" w:cs="Times New Roman" w:eastAsiaTheme="minorEastAsia"/>
                            <w:vertAlign w:val="subscript"/>
                            <w:lang w:val="de-DE"/>
                          </w:rPr>
                          <m:t>γ</m:t>
                        </m:r>
                        <m:sSup>
                          <m:sSupPr>
                            <m:ctrlPr>
                              <w:rPr>
                                <w:rFonts w:ascii="Cambria Math" w:hAnsi="Cambria Math" w:cs="Times New Roman" w:eastAsiaTheme="minorEastAsia"/>
                                <w:i/>
                                <w:vertAlign w:val="subscript"/>
                                <w:lang w:val="de-DE"/>
                              </w:rPr>
                            </m:ctrlPr>
                          </m:sSupPr>
                          <m:e>
                            <m:r>
                              <m:rPr/>
                              <w:rPr>
                                <w:rFonts w:ascii="Cambria Math" w:hAnsi="Cambria Math" w:cs="Times New Roman" w:eastAsiaTheme="minorEastAsia"/>
                                <w:vertAlign w:val="subscript"/>
                                <w:lang w:val="de-DE"/>
                              </w:rPr>
                              <m:t>h</m:t>
                            </m:r>
                            <m:ctrlPr>
                              <w:rPr>
                                <w:rFonts w:ascii="Cambria Math" w:hAnsi="Cambria Math" w:cs="Times New Roman" w:eastAsiaTheme="minorEastAsia"/>
                                <w:i/>
                                <w:vertAlign w:val="subscript"/>
                                <w:lang w:val="de-DE"/>
                              </w:rPr>
                            </m:ctrlPr>
                          </m:e>
                          <m:sup>
                            <m:r>
                              <m:rPr/>
                              <w:rPr>
                                <w:rFonts w:ascii="Cambria Math" w:hAnsi="Cambria Math" w:cs="Times New Roman" w:eastAsiaTheme="minorEastAsia"/>
                                <w:vertAlign w:val="subscript"/>
                                <w:lang w:val="de-DE"/>
                              </w:rPr>
                              <m:t>2</m:t>
                            </m:r>
                            <m:ctrlPr>
                              <w:rPr>
                                <w:rFonts w:ascii="Cambria Math" w:hAnsi="Cambria Math" w:cs="Times New Roman" w:eastAsiaTheme="minorEastAsia"/>
                                <w:i/>
                                <w:vertAlign w:val="subscript"/>
                                <w:lang w:val="de-DE"/>
                              </w:rPr>
                            </m:ctrlPr>
                          </m:sup>
                        </m:sSup>
                        <m:ctrlPr>
                          <w:rPr>
                            <w:rFonts w:ascii="Cambria Math" w:hAnsi="Cambria Math" w:cs="Times New Roman" w:eastAsiaTheme="minorEastAsia"/>
                            <w:i/>
                            <w:vertAlign w:val="subscript"/>
                            <w:lang w:val="de-DE"/>
                          </w:rPr>
                        </m:ctrlPr>
                      </m:num>
                      <m:den>
                        <m:r>
                          <m:rPr/>
                          <w:rPr>
                            <w:rFonts w:ascii="Cambria Math" w:hAnsi="Cambria Math" w:cs="Times New Roman" w:eastAsiaTheme="minorEastAsia"/>
                            <w:vertAlign w:val="subscript"/>
                            <w:lang w:val="de-DE"/>
                          </w:rPr>
                          <m:t>2</m:t>
                        </m:r>
                        <m:ctrlPr>
                          <w:rPr>
                            <w:rFonts w:ascii="Cambria Math" w:hAnsi="Cambria Math" w:cs="Times New Roman" w:eastAsiaTheme="minorEastAsia"/>
                            <w:i/>
                            <w:vertAlign w:val="subscript"/>
                            <w:lang w:val="de-DE"/>
                          </w:rPr>
                        </m:ctrlPr>
                      </m:den>
                    </m:f>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P</m:t>
                    </m:r>
                    <m:ctrlPr>
                      <w:rPr>
                        <w:rFonts w:ascii="Cambria Math" w:hAnsi="Cambria Math" w:cs="Times New Roman" w:eastAsiaTheme="minorEastAsia"/>
                        <w:i/>
                        <w:vertAlign w:val="subscript"/>
                        <w:lang w:val="de-DE"/>
                      </w:rPr>
                    </m:ctrlPr>
                  </m:sub>
                </m:sSub>
              </m:oMath>
            </m:oMathPara>
          </w:p>
        </w:tc>
        <w:tc>
          <w:tcPr>
            <w:tcW w:w="590" w:type="pct"/>
            <w:vAlign w:val="center"/>
          </w:tcPr>
          <w:p w14:paraId="175468E9">
            <w:pPr>
              <w:jc w:val="center"/>
              <w:rPr>
                <w:rFonts w:cs="Times New Roman" w:eastAsiaTheme="minorEastAsia"/>
                <w:sz w:val="16"/>
                <w:szCs w:val="16"/>
              </w:rPr>
            </w:pPr>
            <w:r>
              <w:rPr>
                <w:rFonts w:cs="Times New Roman" w:eastAsiaTheme="minorEastAsia"/>
                <w:sz w:val="16"/>
                <w:szCs w:val="16"/>
              </w:rPr>
              <w:t>（5.2.7-1）</w:t>
            </w:r>
          </w:p>
        </w:tc>
      </w:tr>
      <w:tr w14:paraId="223FE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4410" w:type="pct"/>
            <w:vAlign w:val="center"/>
          </w:tcPr>
          <w:p w14:paraId="463E8C2D">
            <w:pPr>
              <w:jc w:val="right"/>
              <w:rPr>
                <w:rFonts w:cs="Times New Roman"/>
                <w:vertAlign w:val="subscript"/>
                <w:lang w:val="de-DE"/>
              </w:rPr>
            </w:pPr>
            <m:oMathPara>
              <m:oMathParaPr>
                <m:jc m:val="center"/>
              </m:oMathParaPr>
              <m:oMath>
                <m:sSub>
                  <m:sSubPr>
                    <m:ctrlPr>
                      <w:rPr>
                        <w:rFonts w:ascii="Cambria Math" w:hAnsi="Cambria Math" w:cs="Times New Roman" w:eastAsiaTheme="minorEastAsia"/>
                        <w:i/>
                        <w:sz w:val="16"/>
                        <w:szCs w:val="16"/>
                        <w:vertAlign w:val="subscript"/>
                        <w:lang w:val="de-DE"/>
                      </w:rPr>
                    </m:ctrlPr>
                  </m:sSubPr>
                  <m:e>
                    <m:r>
                      <m:rPr/>
                      <w:rPr>
                        <w:rFonts w:ascii="Cambria Math" w:hAnsi="Cambria Math" w:cs="Times New Roman" w:eastAsiaTheme="minorEastAsia"/>
                        <w:sz w:val="16"/>
                        <w:szCs w:val="16"/>
                        <w:vertAlign w:val="subscript"/>
                        <w:lang w:val="de-DE"/>
                      </w:rPr>
                      <m:t>K</m:t>
                    </m:r>
                    <m:ctrlPr>
                      <w:rPr>
                        <w:rFonts w:ascii="Cambria Math" w:hAnsi="Cambria Math" w:cs="Times New Roman" w:eastAsiaTheme="minorEastAsia"/>
                        <w:i/>
                        <w:sz w:val="16"/>
                        <w:szCs w:val="16"/>
                        <w:vertAlign w:val="subscript"/>
                        <w:lang w:val="de-DE"/>
                      </w:rPr>
                    </m:ctrlPr>
                  </m:e>
                  <m:sub>
                    <m:r>
                      <m:rPr/>
                      <w:rPr>
                        <w:rFonts w:ascii="Cambria Math" w:hAnsi="Cambria Math" w:cs="Times New Roman" w:eastAsiaTheme="minorEastAsia"/>
                        <w:sz w:val="16"/>
                        <w:szCs w:val="16"/>
                        <w:vertAlign w:val="subscript"/>
                        <w:lang w:val="de-DE"/>
                      </w:rPr>
                      <m:t>P</m:t>
                    </m:r>
                    <m:ctrlPr>
                      <w:rPr>
                        <w:rFonts w:ascii="Cambria Math" w:hAnsi="Cambria Math" w:cs="Times New Roman" w:eastAsiaTheme="minorEastAsia"/>
                        <w:i/>
                        <w:sz w:val="16"/>
                        <w:szCs w:val="16"/>
                        <w:vertAlign w:val="subscript"/>
                        <w:lang w:val="de-DE"/>
                      </w:rPr>
                    </m:ctrlPr>
                  </m:sub>
                </m:sSub>
                <m:r>
                  <m:rPr/>
                  <w:rPr>
                    <w:rFonts w:ascii="Cambria Math" w:hAnsi="Cambria Math" w:cs="Times New Roman" w:eastAsiaTheme="minorEastAsia"/>
                    <w:sz w:val="16"/>
                    <w:szCs w:val="16"/>
                    <w:vertAlign w:val="subscript"/>
                    <w:lang w:val="de-DE"/>
                  </w:rPr>
                  <m:t>=</m:t>
                </m:r>
                <m:f>
                  <m:fPr>
                    <m:ctrlPr>
                      <w:rPr>
                        <w:rFonts w:ascii="Cambria Math" w:hAnsi="Cambria Math" w:cs="Times New Roman" w:eastAsiaTheme="minorEastAsia"/>
                        <w:i/>
                        <w:sz w:val="16"/>
                        <w:szCs w:val="16"/>
                        <w:vertAlign w:val="subscript"/>
                        <w:lang w:val="de-DE"/>
                      </w:rPr>
                    </m:ctrlPr>
                  </m:fPr>
                  <m:num>
                    <m:d>
                      <m:dPr>
                        <m:begChr m:val="["/>
                        <m:endChr m:val="]"/>
                        <m:ctrlPr>
                          <w:rPr>
                            <w:rFonts w:ascii="Cambria Math" w:hAnsi="Cambria Math" w:cs="Times New Roman" w:eastAsiaTheme="minorEastAsia"/>
                            <w:i/>
                            <w:sz w:val="16"/>
                            <w:szCs w:val="16"/>
                            <w:vertAlign w:val="subscript"/>
                            <w:lang w:val="de-DE"/>
                          </w:rPr>
                        </m:ctrlPr>
                      </m:dPr>
                      <m:e>
                        <m:f>
                          <m:fPr>
                            <m:ctrlPr>
                              <w:rPr>
                                <w:rFonts w:ascii="Cambria Math" w:hAnsi="Cambria Math" w:cs="Times New Roman" w:eastAsiaTheme="minorEastAsia"/>
                                <w:i/>
                                <w:sz w:val="16"/>
                                <w:szCs w:val="16"/>
                                <w:vertAlign w:val="subscript"/>
                                <w:lang w:val="de-DE"/>
                              </w:rPr>
                            </m:ctrlPr>
                          </m:fPr>
                          <m:num>
                            <m:r>
                              <m:rPr/>
                              <w:rPr>
                                <w:rFonts w:ascii="Cambria Math" w:hAnsi="Cambria Math" w:cs="Times New Roman" w:eastAsiaTheme="minorEastAsia"/>
                                <w:sz w:val="16"/>
                                <w:szCs w:val="16"/>
                                <w:vertAlign w:val="subscript"/>
                                <w:lang w:val="de-DE"/>
                              </w:rPr>
                              <m:t>b</m:t>
                            </m:r>
                            <m:ctrlPr>
                              <w:rPr>
                                <w:rFonts w:ascii="Cambria Math" w:hAnsi="Cambria Math" w:cs="Times New Roman" w:eastAsiaTheme="minorEastAsia"/>
                                <w:i/>
                                <w:sz w:val="16"/>
                                <w:szCs w:val="16"/>
                                <w:vertAlign w:val="subscript"/>
                                <w:lang w:val="de-DE"/>
                              </w:rPr>
                            </m:ctrlPr>
                          </m:num>
                          <m:den>
                            <m:r>
                              <m:rPr/>
                              <w:rPr>
                                <w:rFonts w:ascii="Cambria Math" w:hAnsi="Cambria Math" w:cs="Times New Roman" w:eastAsiaTheme="minorEastAsia"/>
                                <w:sz w:val="16"/>
                                <w:szCs w:val="16"/>
                                <w:vertAlign w:val="subscript"/>
                                <w:lang w:val="de-DE"/>
                              </w:rPr>
                              <m:t>h</m:t>
                            </m:r>
                            <m:ctrlPr>
                              <w:rPr>
                                <w:rFonts w:ascii="Cambria Math" w:hAnsi="Cambria Math" w:cs="Times New Roman" w:eastAsiaTheme="minorEastAsia"/>
                                <w:i/>
                                <w:sz w:val="16"/>
                                <w:szCs w:val="16"/>
                                <w:vertAlign w:val="subscript"/>
                                <w:lang w:val="de-DE"/>
                              </w:rPr>
                            </m:ctrlPr>
                          </m:den>
                        </m:f>
                        <m:r>
                          <m:rPr/>
                          <w:rPr>
                            <w:rFonts w:ascii="Cambria Math" w:hAnsi="Cambria Math" w:cs="Times New Roman" w:eastAsiaTheme="minorEastAsia"/>
                            <w:sz w:val="16"/>
                            <w:szCs w:val="16"/>
                            <w:vertAlign w:val="subscript"/>
                            <w:lang w:val="de-DE"/>
                          </w:rPr>
                          <m:t>+</m:t>
                        </m:r>
                        <m:f>
                          <m:fPr>
                            <m:ctrlPr>
                              <w:rPr>
                                <w:rFonts w:ascii="Cambria Math" w:hAnsi="Cambria Math" w:cs="Times New Roman" w:eastAsiaTheme="minorEastAsia"/>
                                <w:i/>
                                <w:sz w:val="16"/>
                                <w:szCs w:val="16"/>
                                <w:vertAlign w:val="subscript"/>
                                <w:lang w:val="de-DE"/>
                              </w:rPr>
                            </m:ctrlPr>
                          </m:fPr>
                          <m:num>
                            <m:r>
                              <m:rPr/>
                              <w:rPr>
                                <w:rFonts w:ascii="Cambria Math" w:hAnsi="Cambria Math" w:cs="Times New Roman" w:eastAsiaTheme="minorEastAsia"/>
                                <w:sz w:val="16"/>
                                <w:szCs w:val="16"/>
                                <w:vertAlign w:val="subscript"/>
                                <w:lang w:val="de-DE"/>
                              </w:rPr>
                              <m:t>b</m:t>
                            </m:r>
                            <m:r>
                              <m:rPr>
                                <m:sty m:val="p"/>
                              </m:rPr>
                              <w:rPr>
                                <w:rFonts w:ascii="Cambria Math" w:hAnsi="Cambria Math" w:cs="Times New Roman" w:eastAsiaTheme="minorEastAsia"/>
                                <w:sz w:val="16"/>
                                <w:szCs w:val="16"/>
                                <w:vertAlign w:val="subscript"/>
                                <w:lang w:val="de-DE"/>
                              </w:rPr>
                              <m:t>sin</m:t>
                            </m:r>
                            <m:d>
                              <m:dPr>
                                <m:ctrlPr>
                                  <w:rPr>
                                    <w:rFonts w:ascii="Cambria Math" w:hAnsi="Cambria Math" w:cs="Times New Roman" w:eastAsiaTheme="minorEastAsia"/>
                                    <w:i/>
                                    <w:sz w:val="16"/>
                                    <w:szCs w:val="16"/>
                                    <w:vertAlign w:val="subscript"/>
                                    <w:lang w:val="de-DE"/>
                                  </w:rPr>
                                </m:ctrlPr>
                              </m:dPr>
                              <m:e>
                                <m:r>
                                  <m:rPr/>
                                  <w:rPr>
                                    <w:rFonts w:ascii="Cambria Math" w:hAnsi="Cambria Math" w:cs="Times New Roman" w:eastAsiaTheme="minorEastAsia"/>
                                    <w:sz w:val="16"/>
                                    <w:szCs w:val="16"/>
                                    <w:vertAlign w:val="subscript"/>
                                    <w:lang w:val="de-DE"/>
                                  </w:rPr>
                                  <m:t>α−θ</m:t>
                                </m:r>
                                <m:ctrlPr>
                                  <w:rPr>
                                    <w:rFonts w:ascii="Cambria Math" w:hAnsi="Cambria Math" w:cs="Times New Roman" w:eastAsiaTheme="minorEastAsia"/>
                                    <w:i/>
                                    <w:sz w:val="16"/>
                                    <w:szCs w:val="16"/>
                                    <w:vertAlign w:val="subscript"/>
                                    <w:lang w:val="de-DE"/>
                                  </w:rPr>
                                </m:ctrlPr>
                              </m:e>
                            </m:d>
                            <m:ctrlPr>
                              <w:rPr>
                                <w:rFonts w:ascii="Cambria Math" w:hAnsi="Cambria Math" w:cs="Times New Roman" w:eastAsiaTheme="minorEastAsia"/>
                                <w:i/>
                                <w:sz w:val="16"/>
                                <w:szCs w:val="16"/>
                                <w:vertAlign w:val="subscript"/>
                                <w:lang w:val="de-DE"/>
                              </w:rPr>
                            </m:ctrlPr>
                          </m:num>
                          <m:den>
                            <m:r>
                              <m:rPr/>
                              <w:rPr>
                                <w:rFonts w:ascii="Cambria Math" w:hAnsi="Cambria Math" w:cs="Times New Roman" w:eastAsiaTheme="minorEastAsia"/>
                                <w:sz w:val="16"/>
                                <w:szCs w:val="16"/>
                                <w:vertAlign w:val="subscript"/>
                                <w:lang w:val="de-DE"/>
                              </w:rPr>
                              <m:t>h</m:t>
                            </m:r>
                            <m:r>
                              <m:rPr>
                                <m:sty m:val="p"/>
                              </m:rPr>
                              <w:rPr>
                                <w:rFonts w:ascii="Cambria Math" w:hAnsi="Cambria Math" w:cs="Times New Roman" w:eastAsiaTheme="minorEastAsia"/>
                                <w:sz w:val="16"/>
                                <w:szCs w:val="16"/>
                                <w:vertAlign w:val="subscript"/>
                                <w:lang w:val="de-DE"/>
                              </w:rPr>
                              <m:t>sin</m:t>
                            </m:r>
                            <m:d>
                              <m:dPr>
                                <m:ctrlPr>
                                  <w:rPr>
                                    <w:rFonts w:ascii="Cambria Math" w:hAnsi="Cambria Math" w:cs="Times New Roman" w:eastAsiaTheme="minorEastAsia"/>
                                    <w:i/>
                                    <w:sz w:val="16"/>
                                    <w:szCs w:val="16"/>
                                    <w:vertAlign w:val="subscript"/>
                                    <w:lang w:val="de-DE"/>
                                  </w:rPr>
                                </m:ctrlPr>
                              </m:dPr>
                              <m:e>
                                <m:r>
                                  <m:rPr/>
                                  <w:rPr>
                                    <w:rFonts w:ascii="Cambria Math" w:hAnsi="Cambria Math" w:cs="Times New Roman" w:eastAsiaTheme="minorEastAsia"/>
                                    <w:sz w:val="16"/>
                                    <w:szCs w:val="16"/>
                                    <w:vertAlign w:val="subscript"/>
                                    <w:lang w:val="de-DE"/>
                                  </w:rPr>
                                  <m:t>α+θ</m:t>
                                </m:r>
                                <m:ctrlPr>
                                  <w:rPr>
                                    <w:rFonts w:ascii="Cambria Math" w:hAnsi="Cambria Math" w:cs="Times New Roman" w:eastAsiaTheme="minorEastAsia"/>
                                    <w:i/>
                                    <w:sz w:val="16"/>
                                    <w:szCs w:val="16"/>
                                    <w:vertAlign w:val="subscript"/>
                                    <w:lang w:val="de-DE"/>
                                  </w:rPr>
                                </m:ctrlPr>
                              </m:e>
                            </m:d>
                            <m:ctrlPr>
                              <w:rPr>
                                <w:rFonts w:ascii="Cambria Math" w:hAnsi="Cambria Math" w:cs="Times New Roman" w:eastAsiaTheme="minorEastAsia"/>
                                <w:i/>
                                <w:sz w:val="16"/>
                                <w:szCs w:val="16"/>
                                <w:vertAlign w:val="subscript"/>
                                <w:lang w:val="de-DE"/>
                              </w:rPr>
                            </m:ctrlPr>
                          </m:den>
                        </m:f>
                        <m:r>
                          <m:rPr/>
                          <w:rPr>
                            <w:rFonts w:ascii="Cambria Math" w:hAnsi="Cambria Math" w:cs="Times New Roman" w:eastAsiaTheme="minorEastAsia"/>
                            <w:sz w:val="16"/>
                            <w:szCs w:val="16"/>
                            <w:vertAlign w:val="subscript"/>
                            <w:lang w:val="de-DE"/>
                          </w:rPr>
                          <m:t>−</m:t>
                        </m:r>
                        <m:f>
                          <m:fPr>
                            <m:ctrlPr>
                              <w:rPr>
                                <w:rFonts w:ascii="Cambria Math" w:hAnsi="Cambria Math" w:cs="Times New Roman" w:eastAsiaTheme="minorEastAsia"/>
                                <w:i/>
                                <w:sz w:val="16"/>
                                <w:szCs w:val="16"/>
                                <w:vertAlign w:val="subscript"/>
                                <w:lang w:val="de-DE"/>
                              </w:rPr>
                            </m:ctrlPr>
                          </m:fPr>
                          <m:num>
                            <m:sSup>
                              <m:sSupPr>
                                <m:ctrlPr>
                                  <w:rPr>
                                    <w:rFonts w:ascii="Cambria Math" w:hAnsi="Cambria Math" w:cs="Times New Roman" w:eastAsiaTheme="minorEastAsia"/>
                                    <w:i/>
                                    <w:sz w:val="16"/>
                                    <w:szCs w:val="16"/>
                                    <w:vertAlign w:val="subscript"/>
                                    <w:lang w:val="de-DE"/>
                                  </w:rPr>
                                </m:ctrlPr>
                              </m:sSupPr>
                              <m:e>
                                <m:r>
                                  <m:rPr/>
                                  <w:rPr>
                                    <w:rFonts w:ascii="Cambria Math" w:hAnsi="Cambria Math" w:cs="Times New Roman" w:eastAsiaTheme="minorEastAsia"/>
                                    <w:sz w:val="16"/>
                                    <w:szCs w:val="16"/>
                                    <w:vertAlign w:val="subscript"/>
                                    <w:lang w:val="de-DE"/>
                                  </w:rPr>
                                  <m:t>b</m:t>
                                </m:r>
                                <m:ctrlPr>
                                  <w:rPr>
                                    <w:rFonts w:ascii="Cambria Math" w:hAnsi="Cambria Math" w:cs="Times New Roman" w:eastAsiaTheme="minorEastAsia"/>
                                    <w:i/>
                                    <w:sz w:val="16"/>
                                    <w:szCs w:val="16"/>
                                    <w:vertAlign w:val="subscript"/>
                                    <w:lang w:val="de-DE"/>
                                  </w:rPr>
                                </m:ctrlPr>
                              </m:e>
                              <m:sup>
                                <m:r>
                                  <m:rPr/>
                                  <w:rPr>
                                    <w:rFonts w:ascii="Cambria Math" w:hAnsi="Cambria Math" w:cs="Times New Roman" w:eastAsiaTheme="minorEastAsia"/>
                                    <w:sz w:val="16"/>
                                    <w:szCs w:val="16"/>
                                    <w:vertAlign w:val="subscript"/>
                                    <w:lang w:val="de-DE"/>
                                  </w:rPr>
                                  <m:t>2</m:t>
                                </m:r>
                                <m:ctrlPr>
                                  <w:rPr>
                                    <w:rFonts w:ascii="Cambria Math" w:hAnsi="Cambria Math" w:cs="Times New Roman" w:eastAsiaTheme="minorEastAsia"/>
                                    <w:i/>
                                    <w:sz w:val="16"/>
                                    <w:szCs w:val="16"/>
                                    <w:vertAlign w:val="subscript"/>
                                    <w:lang w:val="de-DE"/>
                                  </w:rPr>
                                </m:ctrlPr>
                              </m:sup>
                            </m:sSup>
                            <m:r>
                              <m:rPr>
                                <m:sty m:val="p"/>
                              </m:rPr>
                              <w:rPr>
                                <w:rFonts w:ascii="Cambria Math" w:hAnsi="Cambria Math" w:cs="Times New Roman" w:eastAsiaTheme="minorEastAsia"/>
                                <w:sz w:val="16"/>
                                <w:szCs w:val="16"/>
                                <w:vertAlign w:val="subscript"/>
                                <w:lang w:val="de-DE"/>
                              </w:rPr>
                              <m:t>sin</m:t>
                            </m:r>
                            <m:r>
                              <m:rPr/>
                              <w:rPr>
                                <w:rFonts w:ascii="Cambria Math" w:hAnsi="Cambria Math" w:cs="Times New Roman" w:eastAsiaTheme="minorEastAsia"/>
                                <w:sz w:val="16"/>
                                <w:szCs w:val="16"/>
                                <w:vertAlign w:val="subscript"/>
                                <w:lang w:val="de-DE"/>
                              </w:rPr>
                              <m:t>α</m:t>
                            </m:r>
                            <m:r>
                              <m:rPr>
                                <m:sty m:val="p"/>
                              </m:rPr>
                              <w:rPr>
                                <w:rFonts w:ascii="Cambria Math" w:hAnsi="Cambria Math" w:cs="Times New Roman" w:eastAsiaTheme="minorEastAsia"/>
                                <w:sz w:val="16"/>
                                <w:szCs w:val="16"/>
                                <w:vertAlign w:val="subscript"/>
                                <w:lang w:val="de-DE"/>
                              </w:rPr>
                              <m:t>sin</m:t>
                            </m:r>
                            <m:r>
                              <m:rPr/>
                              <w:rPr>
                                <w:rFonts w:ascii="Cambria Math" w:hAnsi="Cambria Math" w:cs="Times New Roman" w:eastAsiaTheme="minorEastAsia"/>
                                <w:sz w:val="16"/>
                                <w:szCs w:val="16"/>
                                <w:vertAlign w:val="subscript"/>
                                <w:lang w:val="de-DE"/>
                              </w:rPr>
                              <m:t>θ</m:t>
                            </m:r>
                            <m:ctrlPr>
                              <w:rPr>
                                <w:rFonts w:ascii="Cambria Math" w:hAnsi="Cambria Math" w:cs="Times New Roman" w:eastAsiaTheme="minorEastAsia"/>
                                <w:i/>
                                <w:sz w:val="16"/>
                                <w:szCs w:val="16"/>
                                <w:vertAlign w:val="subscript"/>
                                <w:lang w:val="de-DE"/>
                              </w:rPr>
                            </m:ctrlPr>
                          </m:num>
                          <m:den>
                            <m:sSup>
                              <m:sSupPr>
                                <m:ctrlPr>
                                  <w:rPr>
                                    <w:rFonts w:ascii="Cambria Math" w:hAnsi="Cambria Math" w:cs="Times New Roman" w:eastAsiaTheme="minorEastAsia"/>
                                    <w:i/>
                                    <w:sz w:val="16"/>
                                    <w:szCs w:val="16"/>
                                    <w:vertAlign w:val="subscript"/>
                                    <w:lang w:val="de-DE"/>
                                  </w:rPr>
                                </m:ctrlPr>
                              </m:sSupPr>
                              <m:e>
                                <m:r>
                                  <m:rPr/>
                                  <w:rPr>
                                    <w:rFonts w:ascii="Cambria Math" w:hAnsi="Cambria Math" w:cs="Times New Roman" w:eastAsiaTheme="minorEastAsia"/>
                                    <w:sz w:val="16"/>
                                    <w:szCs w:val="16"/>
                                    <w:vertAlign w:val="subscript"/>
                                    <w:lang w:val="de-DE"/>
                                  </w:rPr>
                                  <m:t>h</m:t>
                                </m:r>
                                <m:ctrlPr>
                                  <w:rPr>
                                    <w:rFonts w:ascii="Cambria Math" w:hAnsi="Cambria Math" w:cs="Times New Roman" w:eastAsiaTheme="minorEastAsia"/>
                                    <w:i/>
                                    <w:sz w:val="16"/>
                                    <w:szCs w:val="16"/>
                                    <w:vertAlign w:val="subscript"/>
                                    <w:lang w:val="de-DE"/>
                                  </w:rPr>
                                </m:ctrlPr>
                              </m:e>
                              <m:sup>
                                <m:r>
                                  <m:rPr/>
                                  <w:rPr>
                                    <w:rFonts w:ascii="Cambria Math" w:hAnsi="Cambria Math" w:cs="Times New Roman" w:eastAsiaTheme="minorEastAsia"/>
                                    <w:sz w:val="16"/>
                                    <w:szCs w:val="16"/>
                                    <w:vertAlign w:val="subscript"/>
                                    <w:lang w:val="de-DE"/>
                                  </w:rPr>
                                  <m:t>2</m:t>
                                </m:r>
                                <m:ctrlPr>
                                  <w:rPr>
                                    <w:rFonts w:ascii="Cambria Math" w:hAnsi="Cambria Math" w:cs="Times New Roman" w:eastAsiaTheme="minorEastAsia"/>
                                    <w:i/>
                                    <w:sz w:val="16"/>
                                    <w:szCs w:val="16"/>
                                    <w:vertAlign w:val="subscript"/>
                                    <w:lang w:val="de-DE"/>
                                  </w:rPr>
                                </m:ctrlPr>
                              </m:sup>
                            </m:sSup>
                            <m:func>
                              <m:funcPr>
                                <m:ctrlPr>
                                  <w:rPr>
                                    <w:rFonts w:ascii="Cambria Math" w:hAnsi="Cambria Math" w:cs="Times New Roman" w:eastAsiaTheme="minorEastAsia"/>
                                    <w:sz w:val="16"/>
                                    <w:szCs w:val="16"/>
                                    <w:vertAlign w:val="subscript"/>
                                    <w:lang w:val="de-DE"/>
                                  </w:rPr>
                                </m:ctrlPr>
                              </m:funcPr>
                              <m:fName>
                                <m:r>
                                  <m:rPr>
                                    <m:sty m:val="p"/>
                                  </m:rPr>
                                  <w:rPr>
                                    <w:rFonts w:ascii="Cambria Math" w:hAnsi="Cambria Math" w:cs="Times New Roman" w:eastAsiaTheme="minorEastAsia"/>
                                    <w:sz w:val="16"/>
                                    <w:szCs w:val="16"/>
                                    <w:vertAlign w:val="subscript"/>
                                    <w:lang w:val="de-DE"/>
                                  </w:rPr>
                                  <m:t>sin</m:t>
                                </m:r>
                                <m:ctrlPr>
                                  <w:rPr>
                                    <w:rFonts w:ascii="Cambria Math" w:hAnsi="Cambria Math" w:cs="Times New Roman" w:eastAsiaTheme="minorEastAsia"/>
                                    <w:sz w:val="16"/>
                                    <w:szCs w:val="16"/>
                                    <w:vertAlign w:val="subscript"/>
                                    <w:lang w:val="de-DE"/>
                                  </w:rPr>
                                </m:ctrlPr>
                              </m:fName>
                              <m:e>
                                <m:d>
                                  <m:dPr>
                                    <m:ctrlPr>
                                      <w:rPr>
                                        <w:rFonts w:ascii="Cambria Math" w:hAnsi="Cambria Math" w:cs="Times New Roman" w:eastAsiaTheme="minorEastAsia"/>
                                        <w:i/>
                                        <w:sz w:val="16"/>
                                        <w:szCs w:val="16"/>
                                        <w:vertAlign w:val="subscript"/>
                                        <w:lang w:val="de-DE"/>
                                      </w:rPr>
                                    </m:ctrlPr>
                                  </m:dPr>
                                  <m:e>
                                    <m:r>
                                      <m:rPr/>
                                      <w:rPr>
                                        <w:rFonts w:ascii="Cambria Math" w:hAnsi="Cambria Math" w:cs="Times New Roman" w:eastAsiaTheme="minorEastAsia"/>
                                        <w:sz w:val="16"/>
                                        <w:szCs w:val="16"/>
                                        <w:vertAlign w:val="subscript"/>
                                        <w:lang w:val="de-DE"/>
                                      </w:rPr>
                                      <m:t>α+θ</m:t>
                                    </m:r>
                                    <m:ctrlPr>
                                      <w:rPr>
                                        <w:rFonts w:ascii="Cambria Math" w:hAnsi="Cambria Math" w:cs="Times New Roman" w:eastAsiaTheme="minorEastAsia"/>
                                        <w:i/>
                                        <w:sz w:val="16"/>
                                        <w:szCs w:val="16"/>
                                        <w:vertAlign w:val="subscript"/>
                                        <w:lang w:val="de-DE"/>
                                      </w:rPr>
                                    </m:ctrlPr>
                                  </m:e>
                                </m:d>
                                <m:ctrlPr>
                                  <w:rPr>
                                    <w:rFonts w:ascii="Cambria Math" w:hAnsi="Cambria Math" w:cs="Times New Roman" w:eastAsiaTheme="minorEastAsia"/>
                                    <w:sz w:val="16"/>
                                    <w:szCs w:val="16"/>
                                    <w:vertAlign w:val="subscript"/>
                                    <w:lang w:val="de-DE"/>
                                  </w:rPr>
                                </m:ctrlPr>
                              </m:e>
                            </m:func>
                            <m:ctrlPr>
                              <w:rPr>
                                <w:rFonts w:ascii="Cambria Math" w:hAnsi="Cambria Math" w:cs="Times New Roman" w:eastAsiaTheme="minorEastAsia"/>
                                <w:i/>
                                <w:sz w:val="16"/>
                                <w:szCs w:val="16"/>
                                <w:vertAlign w:val="subscript"/>
                                <w:lang w:val="de-DE"/>
                              </w:rPr>
                            </m:ctrlPr>
                          </m:den>
                        </m:f>
                        <m:r>
                          <m:rPr/>
                          <w:rPr>
                            <w:rFonts w:ascii="Cambria Math" w:hAnsi="Cambria Math" w:cs="Times New Roman" w:eastAsiaTheme="minorEastAsia"/>
                            <w:sz w:val="16"/>
                            <w:szCs w:val="16"/>
                            <w:vertAlign w:val="subscript"/>
                            <w:lang w:val="de-DE"/>
                          </w:rPr>
                          <m:t>+</m:t>
                        </m:r>
                        <m:f>
                          <m:fPr>
                            <m:ctrlPr>
                              <w:rPr>
                                <w:rFonts w:ascii="Cambria Math" w:hAnsi="Cambria Math" w:cs="Times New Roman" w:eastAsiaTheme="minorEastAsia"/>
                                <w:i/>
                                <w:sz w:val="16"/>
                                <w:szCs w:val="16"/>
                                <w:vertAlign w:val="subscript"/>
                                <w:lang w:val="de-DE"/>
                              </w:rPr>
                            </m:ctrlPr>
                          </m:fPr>
                          <m:num>
                            <m:r>
                              <m:rPr>
                                <m:sty m:val="p"/>
                              </m:rPr>
                              <w:rPr>
                                <w:rFonts w:ascii="Cambria Math" w:hAnsi="Cambria Math" w:cs="Times New Roman" w:eastAsiaTheme="minorEastAsia"/>
                                <w:sz w:val="16"/>
                                <w:szCs w:val="16"/>
                                <w:vertAlign w:val="subscript"/>
                                <w:lang w:val="de-DE"/>
                              </w:rPr>
                              <m:t>cos</m:t>
                            </m:r>
                            <m:r>
                              <m:rPr/>
                              <w:rPr>
                                <w:rFonts w:ascii="Cambria Math" w:hAnsi="Cambria Math" w:cs="Times New Roman" w:eastAsiaTheme="minorEastAsia"/>
                                <w:sz w:val="16"/>
                                <w:szCs w:val="16"/>
                                <w:vertAlign w:val="subscript"/>
                                <w:lang w:val="de-DE"/>
                              </w:rPr>
                              <m:t>α</m:t>
                            </m:r>
                            <m:r>
                              <m:rPr>
                                <m:sty m:val="p"/>
                              </m:rPr>
                              <w:rPr>
                                <w:rFonts w:ascii="Cambria Math" w:hAnsi="Cambria Math" w:cs="Times New Roman" w:eastAsiaTheme="minorEastAsia"/>
                                <w:sz w:val="16"/>
                                <w:szCs w:val="16"/>
                                <w:vertAlign w:val="subscript"/>
                                <w:lang w:val="de-DE"/>
                              </w:rPr>
                              <m:t>cos</m:t>
                            </m:r>
                            <m:r>
                              <m:rPr/>
                              <w:rPr>
                                <w:rFonts w:ascii="Cambria Math" w:hAnsi="Cambria Math" w:cs="Times New Roman" w:eastAsiaTheme="minorEastAsia"/>
                                <w:sz w:val="16"/>
                                <w:szCs w:val="16"/>
                                <w:vertAlign w:val="subscript"/>
                                <w:lang w:val="de-DE"/>
                              </w:rPr>
                              <m:t>θ</m:t>
                            </m:r>
                            <m:func>
                              <m:funcPr>
                                <m:ctrlPr>
                                  <w:rPr>
                                    <w:rFonts w:ascii="Cambria Math" w:hAnsi="Cambria Math" w:cs="Times New Roman" w:eastAsiaTheme="minorEastAsia"/>
                                    <w:sz w:val="16"/>
                                    <w:szCs w:val="16"/>
                                    <w:vertAlign w:val="subscript"/>
                                    <w:lang w:val="de-DE"/>
                                  </w:rPr>
                                </m:ctrlPr>
                              </m:funcPr>
                              <m:fName>
                                <m:r>
                                  <m:rPr>
                                    <m:sty m:val="p"/>
                                  </m:rPr>
                                  <w:rPr>
                                    <w:rFonts w:ascii="Cambria Math" w:hAnsi="Cambria Math" w:cs="Times New Roman" w:eastAsiaTheme="minorEastAsia"/>
                                    <w:sz w:val="16"/>
                                    <w:szCs w:val="16"/>
                                    <w:vertAlign w:val="subscript"/>
                                    <w:lang w:val="de-DE"/>
                                  </w:rPr>
                                  <m:t>sin</m:t>
                                </m:r>
                                <m:ctrlPr>
                                  <w:rPr>
                                    <w:rFonts w:ascii="Cambria Math" w:hAnsi="Cambria Math" w:cs="Times New Roman" w:eastAsiaTheme="minorEastAsia"/>
                                    <w:sz w:val="16"/>
                                    <w:szCs w:val="16"/>
                                    <w:vertAlign w:val="subscript"/>
                                    <w:lang w:val="de-DE"/>
                                  </w:rPr>
                                </m:ctrlPr>
                              </m:fName>
                              <m:e>
                                <m:d>
                                  <m:dPr>
                                    <m:ctrlPr>
                                      <w:rPr>
                                        <w:rFonts w:ascii="Cambria Math" w:hAnsi="Cambria Math" w:cs="Times New Roman" w:eastAsiaTheme="minorEastAsia"/>
                                        <w:i/>
                                        <w:sz w:val="16"/>
                                        <w:szCs w:val="16"/>
                                        <w:vertAlign w:val="subscript"/>
                                        <w:lang w:val="de-DE"/>
                                      </w:rPr>
                                    </m:ctrlPr>
                                  </m:dPr>
                                  <m:e>
                                    <m:r>
                                      <m:rPr/>
                                      <w:rPr>
                                        <w:rFonts w:ascii="Cambria Math" w:hAnsi="Cambria Math" w:cs="Times New Roman" w:eastAsiaTheme="minorEastAsia"/>
                                        <w:sz w:val="16"/>
                                        <w:szCs w:val="16"/>
                                        <w:vertAlign w:val="subscript"/>
                                        <w:lang w:val="de-DE"/>
                                      </w:rPr>
                                      <m:t>θ+φ</m:t>
                                    </m:r>
                                    <m:ctrlPr>
                                      <w:rPr>
                                        <w:rFonts w:ascii="Cambria Math" w:hAnsi="Cambria Math" w:cs="Times New Roman" w:eastAsiaTheme="minorEastAsia"/>
                                        <w:i/>
                                        <w:sz w:val="16"/>
                                        <w:szCs w:val="16"/>
                                        <w:vertAlign w:val="subscript"/>
                                        <w:lang w:val="de-DE"/>
                                      </w:rPr>
                                    </m:ctrlPr>
                                  </m:e>
                                </m:d>
                                <m:ctrlPr>
                                  <w:rPr>
                                    <w:rFonts w:ascii="Cambria Math" w:hAnsi="Cambria Math" w:cs="Times New Roman" w:eastAsiaTheme="minorEastAsia"/>
                                    <w:sz w:val="16"/>
                                    <w:szCs w:val="16"/>
                                    <w:vertAlign w:val="subscript"/>
                                    <w:lang w:val="de-DE"/>
                                  </w:rPr>
                                </m:ctrlPr>
                              </m:e>
                            </m:func>
                            <m:ctrlPr>
                              <w:rPr>
                                <w:rFonts w:ascii="Cambria Math" w:hAnsi="Cambria Math" w:cs="Times New Roman" w:eastAsiaTheme="minorEastAsia"/>
                                <w:i/>
                                <w:sz w:val="16"/>
                                <w:szCs w:val="16"/>
                                <w:vertAlign w:val="subscript"/>
                                <w:lang w:val="de-DE"/>
                              </w:rPr>
                            </m:ctrlPr>
                          </m:num>
                          <m:den>
                            <m:func>
                              <m:funcPr>
                                <m:ctrlPr>
                                  <w:rPr>
                                    <w:rFonts w:ascii="Cambria Math" w:hAnsi="Cambria Math" w:cs="Times New Roman" w:eastAsiaTheme="minorEastAsia"/>
                                    <w:sz w:val="16"/>
                                    <w:szCs w:val="16"/>
                                    <w:vertAlign w:val="subscript"/>
                                    <w:lang w:val="de-DE"/>
                                  </w:rPr>
                                </m:ctrlPr>
                              </m:funcPr>
                              <m:fName>
                                <m:r>
                                  <m:rPr>
                                    <m:sty m:val="p"/>
                                  </m:rPr>
                                  <w:rPr>
                                    <w:rFonts w:ascii="Cambria Math" w:hAnsi="Cambria Math" w:cs="Times New Roman" w:eastAsiaTheme="minorEastAsia"/>
                                    <w:sz w:val="16"/>
                                    <w:szCs w:val="16"/>
                                    <w:vertAlign w:val="subscript"/>
                                    <w:lang w:val="de-DE"/>
                                  </w:rPr>
                                  <m:t>sin</m:t>
                                </m:r>
                                <m:ctrlPr>
                                  <w:rPr>
                                    <w:rFonts w:ascii="Cambria Math" w:hAnsi="Cambria Math" w:cs="Times New Roman" w:eastAsiaTheme="minorEastAsia"/>
                                    <w:sz w:val="16"/>
                                    <w:szCs w:val="16"/>
                                    <w:vertAlign w:val="subscript"/>
                                    <w:lang w:val="de-DE"/>
                                  </w:rPr>
                                </m:ctrlPr>
                              </m:fName>
                              <m:e>
                                <m:d>
                                  <m:dPr>
                                    <m:ctrlPr>
                                      <w:rPr>
                                        <w:rFonts w:ascii="Cambria Math" w:hAnsi="Cambria Math" w:cs="Times New Roman" w:eastAsiaTheme="minorEastAsia"/>
                                        <w:i/>
                                        <w:sz w:val="16"/>
                                        <w:szCs w:val="16"/>
                                        <w:vertAlign w:val="subscript"/>
                                        <w:lang w:val="de-DE"/>
                                      </w:rPr>
                                    </m:ctrlPr>
                                  </m:dPr>
                                  <m:e>
                                    <m:r>
                                      <m:rPr/>
                                      <w:rPr>
                                        <w:rFonts w:ascii="Cambria Math" w:hAnsi="Cambria Math" w:cs="Times New Roman" w:eastAsiaTheme="minorEastAsia"/>
                                        <w:sz w:val="16"/>
                                        <w:szCs w:val="16"/>
                                        <w:vertAlign w:val="subscript"/>
                                        <w:lang w:val="de-DE"/>
                                      </w:rPr>
                                      <m:t>α+θ</m:t>
                                    </m:r>
                                    <m:ctrlPr>
                                      <w:rPr>
                                        <w:rFonts w:ascii="Cambria Math" w:hAnsi="Cambria Math" w:cs="Times New Roman" w:eastAsiaTheme="minorEastAsia"/>
                                        <w:i/>
                                        <w:sz w:val="16"/>
                                        <w:szCs w:val="16"/>
                                        <w:vertAlign w:val="subscript"/>
                                        <w:lang w:val="de-DE"/>
                                      </w:rPr>
                                    </m:ctrlPr>
                                  </m:e>
                                </m:d>
                                <m:ctrlPr>
                                  <w:rPr>
                                    <w:rFonts w:ascii="Cambria Math" w:hAnsi="Cambria Math" w:cs="Times New Roman" w:eastAsiaTheme="minorEastAsia"/>
                                    <w:sz w:val="16"/>
                                    <w:szCs w:val="16"/>
                                    <w:vertAlign w:val="subscript"/>
                                    <w:lang w:val="de-DE"/>
                                  </w:rPr>
                                </m:ctrlPr>
                              </m:e>
                            </m:func>
                            <m:ctrlPr>
                              <w:rPr>
                                <w:rFonts w:ascii="Cambria Math" w:hAnsi="Cambria Math" w:cs="Times New Roman" w:eastAsiaTheme="minorEastAsia"/>
                                <w:i/>
                                <w:sz w:val="16"/>
                                <w:szCs w:val="16"/>
                                <w:vertAlign w:val="subscript"/>
                                <w:lang w:val="de-DE"/>
                              </w:rPr>
                            </m:ctrlPr>
                          </m:den>
                        </m:f>
                        <m:r>
                          <m:rPr/>
                          <w:rPr>
                            <w:rFonts w:ascii="Cambria Math" w:hAnsi="Cambria Math" w:cs="Times New Roman" w:eastAsiaTheme="minorEastAsia"/>
                            <w:sz w:val="16"/>
                            <w:szCs w:val="16"/>
                            <w:vertAlign w:val="subscript"/>
                            <w:lang w:val="de-DE"/>
                          </w:rPr>
                          <m:t>+</m:t>
                        </m:r>
                        <m:f>
                          <m:fPr>
                            <m:ctrlPr>
                              <w:rPr>
                                <w:rFonts w:ascii="Cambria Math" w:hAnsi="Cambria Math" w:cs="Times New Roman" w:eastAsiaTheme="minorEastAsia"/>
                                <w:i/>
                                <w:sz w:val="16"/>
                                <w:szCs w:val="16"/>
                                <w:vertAlign w:val="subscript"/>
                                <w:lang w:val="de-DE"/>
                              </w:rPr>
                            </m:ctrlPr>
                          </m:fPr>
                          <m:num>
                            <m:r>
                              <m:rPr/>
                              <w:rPr>
                                <w:rFonts w:ascii="Cambria Math" w:hAnsi="Cambria Math" w:cs="Times New Roman" w:eastAsiaTheme="minorEastAsia"/>
                                <w:sz w:val="16"/>
                                <w:szCs w:val="16"/>
                                <w:vertAlign w:val="subscript"/>
                                <w:lang w:val="de-DE"/>
                              </w:rPr>
                              <m:t>2c</m:t>
                            </m:r>
                            <m:r>
                              <m:rPr>
                                <m:sty m:val="p"/>
                              </m:rPr>
                              <w:rPr>
                                <w:rFonts w:ascii="Cambria Math" w:hAnsi="Cambria Math" w:cs="Times New Roman" w:eastAsiaTheme="minorEastAsia"/>
                                <w:sz w:val="16"/>
                                <w:szCs w:val="16"/>
                                <w:vertAlign w:val="subscript"/>
                                <w:lang w:val="de-DE"/>
                              </w:rPr>
                              <m:t>cos</m:t>
                            </m:r>
                            <m:r>
                              <m:rPr/>
                              <w:rPr>
                                <w:rFonts w:ascii="Cambria Math" w:hAnsi="Cambria Math" w:cs="Times New Roman" w:eastAsiaTheme="minorEastAsia"/>
                                <w:sz w:val="16"/>
                                <w:szCs w:val="16"/>
                                <w:vertAlign w:val="subscript"/>
                                <w:lang w:val="de-DE"/>
                              </w:rPr>
                              <m:t>φ</m:t>
                            </m:r>
                            <m:d>
                              <m:dPr>
                                <m:ctrlPr>
                                  <w:rPr>
                                    <w:rFonts w:ascii="Cambria Math" w:hAnsi="Cambria Math" w:cs="Times New Roman" w:eastAsiaTheme="minorEastAsia"/>
                                    <w:i/>
                                    <w:sz w:val="16"/>
                                    <w:szCs w:val="16"/>
                                    <w:vertAlign w:val="subscript"/>
                                    <w:lang w:val="de-DE"/>
                                  </w:rPr>
                                </m:ctrlPr>
                              </m:dPr>
                              <m:e>
                                <m:r>
                                  <m:rPr/>
                                  <w:rPr>
                                    <w:rFonts w:ascii="Cambria Math" w:hAnsi="Cambria Math" w:cs="Times New Roman" w:eastAsiaTheme="minorEastAsia"/>
                                    <w:sz w:val="16"/>
                                    <w:szCs w:val="16"/>
                                    <w:vertAlign w:val="subscript"/>
                                    <w:lang w:val="de-DE"/>
                                  </w:rPr>
                                  <m:t>b</m:t>
                                </m:r>
                                <m:r>
                                  <m:rPr>
                                    <m:sty m:val="p"/>
                                  </m:rPr>
                                  <w:rPr>
                                    <w:rFonts w:ascii="Cambria Math" w:hAnsi="Cambria Math" w:cs="Times New Roman" w:eastAsiaTheme="minorEastAsia"/>
                                    <w:sz w:val="16"/>
                                    <w:szCs w:val="16"/>
                                    <w:vertAlign w:val="subscript"/>
                                    <w:lang w:val="de-DE"/>
                                  </w:rPr>
                                  <m:t>sin</m:t>
                                </m:r>
                                <m:r>
                                  <m:rPr/>
                                  <w:rPr>
                                    <w:rFonts w:ascii="Cambria Math" w:hAnsi="Cambria Math" w:cs="Times New Roman" w:eastAsiaTheme="minorEastAsia"/>
                                    <w:sz w:val="16"/>
                                    <w:szCs w:val="16"/>
                                    <w:vertAlign w:val="subscript"/>
                                    <w:lang w:val="de-DE"/>
                                  </w:rPr>
                                  <m:t>α+h</m:t>
                                </m:r>
                                <m:r>
                                  <m:rPr>
                                    <m:sty m:val="p"/>
                                  </m:rPr>
                                  <w:rPr>
                                    <w:rFonts w:ascii="Cambria Math" w:hAnsi="Cambria Math" w:cs="Times New Roman" w:eastAsiaTheme="minorEastAsia"/>
                                    <w:sz w:val="16"/>
                                    <w:szCs w:val="16"/>
                                    <w:vertAlign w:val="subscript"/>
                                    <w:lang w:val="de-DE"/>
                                  </w:rPr>
                                  <m:t>cos</m:t>
                                </m:r>
                                <m:r>
                                  <m:rPr/>
                                  <w:rPr>
                                    <w:rFonts w:ascii="Cambria Math" w:hAnsi="Cambria Math" w:cs="Times New Roman" w:eastAsiaTheme="minorEastAsia"/>
                                    <w:sz w:val="16"/>
                                    <w:szCs w:val="16"/>
                                    <w:vertAlign w:val="subscript"/>
                                    <w:lang w:val="de-DE"/>
                                  </w:rPr>
                                  <m:t>α</m:t>
                                </m:r>
                                <m:ctrlPr>
                                  <w:rPr>
                                    <w:rFonts w:ascii="Cambria Math" w:hAnsi="Cambria Math" w:cs="Times New Roman" w:eastAsiaTheme="minorEastAsia"/>
                                    <w:i/>
                                    <w:sz w:val="16"/>
                                    <w:szCs w:val="16"/>
                                    <w:vertAlign w:val="subscript"/>
                                    <w:lang w:val="de-DE"/>
                                  </w:rPr>
                                </m:ctrlPr>
                              </m:e>
                            </m:d>
                            <m:ctrlPr>
                              <w:rPr>
                                <w:rFonts w:ascii="Cambria Math" w:hAnsi="Cambria Math" w:cs="Times New Roman" w:eastAsiaTheme="minorEastAsia"/>
                                <w:i/>
                                <w:sz w:val="16"/>
                                <w:szCs w:val="16"/>
                                <w:vertAlign w:val="subscript"/>
                                <w:lang w:val="de-DE"/>
                              </w:rPr>
                            </m:ctrlPr>
                          </m:num>
                          <m:den>
                            <m:r>
                              <m:rPr/>
                              <w:rPr>
                                <w:rFonts w:ascii="Cambria Math" w:hAnsi="Cambria Math" w:cs="Times New Roman" w:eastAsiaTheme="minorEastAsia"/>
                                <w:sz w:val="16"/>
                                <w:szCs w:val="16"/>
                                <w:vertAlign w:val="subscript"/>
                                <w:lang w:val="de-DE"/>
                              </w:rPr>
                              <m:t>γ</m:t>
                            </m:r>
                            <m:sSup>
                              <m:sSupPr>
                                <m:ctrlPr>
                                  <w:rPr>
                                    <w:rFonts w:ascii="Cambria Math" w:hAnsi="Cambria Math" w:cs="Times New Roman" w:eastAsiaTheme="minorEastAsia"/>
                                    <w:i/>
                                    <w:sz w:val="16"/>
                                    <w:szCs w:val="16"/>
                                    <w:vertAlign w:val="subscript"/>
                                    <w:lang w:val="de-DE"/>
                                  </w:rPr>
                                </m:ctrlPr>
                              </m:sSupPr>
                              <m:e>
                                <m:r>
                                  <m:rPr/>
                                  <w:rPr>
                                    <w:rFonts w:ascii="Cambria Math" w:hAnsi="Cambria Math" w:cs="Times New Roman" w:eastAsiaTheme="minorEastAsia"/>
                                    <w:sz w:val="16"/>
                                    <w:szCs w:val="16"/>
                                    <w:vertAlign w:val="subscript"/>
                                    <w:lang w:val="de-DE"/>
                                  </w:rPr>
                                  <m:t>h</m:t>
                                </m:r>
                                <m:ctrlPr>
                                  <w:rPr>
                                    <w:rFonts w:ascii="Cambria Math" w:hAnsi="Cambria Math" w:cs="Times New Roman" w:eastAsiaTheme="minorEastAsia"/>
                                    <w:i/>
                                    <w:sz w:val="16"/>
                                    <w:szCs w:val="16"/>
                                    <w:vertAlign w:val="subscript"/>
                                    <w:lang w:val="de-DE"/>
                                  </w:rPr>
                                </m:ctrlPr>
                              </m:e>
                              <m:sup>
                                <m:r>
                                  <m:rPr/>
                                  <w:rPr>
                                    <w:rFonts w:ascii="Cambria Math" w:hAnsi="Cambria Math" w:cs="Times New Roman" w:eastAsiaTheme="minorEastAsia"/>
                                    <w:sz w:val="16"/>
                                    <w:szCs w:val="16"/>
                                    <w:vertAlign w:val="subscript"/>
                                    <w:lang w:val="de-DE"/>
                                  </w:rPr>
                                  <m:t>2</m:t>
                                </m:r>
                                <m:ctrlPr>
                                  <w:rPr>
                                    <w:rFonts w:ascii="Cambria Math" w:hAnsi="Cambria Math" w:cs="Times New Roman" w:eastAsiaTheme="minorEastAsia"/>
                                    <w:i/>
                                    <w:sz w:val="16"/>
                                    <w:szCs w:val="16"/>
                                    <w:vertAlign w:val="subscript"/>
                                    <w:lang w:val="de-DE"/>
                                  </w:rPr>
                                </m:ctrlPr>
                              </m:sup>
                            </m:sSup>
                            <m:r>
                              <m:rPr>
                                <m:sty m:val="p"/>
                              </m:rPr>
                              <w:rPr>
                                <w:rFonts w:ascii="Cambria Math" w:hAnsi="Cambria Math" w:cs="Times New Roman" w:eastAsiaTheme="minorEastAsia"/>
                                <w:sz w:val="16"/>
                                <w:szCs w:val="16"/>
                                <w:vertAlign w:val="subscript"/>
                                <w:lang w:val="de-DE"/>
                              </w:rPr>
                              <m:t>sin</m:t>
                            </m:r>
                            <m:r>
                              <m:rPr/>
                              <w:rPr>
                                <w:rFonts w:ascii="Cambria Math" w:hAnsi="Cambria Math" w:cs="Times New Roman" w:eastAsiaTheme="minorEastAsia"/>
                                <w:sz w:val="16"/>
                                <w:szCs w:val="16"/>
                                <w:vertAlign w:val="subscript"/>
                                <w:lang w:val="de-DE"/>
                              </w:rPr>
                              <m:t>θ</m:t>
                            </m:r>
                            <m:ctrlPr>
                              <w:rPr>
                                <w:rFonts w:ascii="Cambria Math" w:hAnsi="Cambria Math" w:cs="Times New Roman" w:eastAsiaTheme="minorEastAsia"/>
                                <w:i/>
                                <w:sz w:val="16"/>
                                <w:szCs w:val="16"/>
                                <w:vertAlign w:val="subscript"/>
                                <w:lang w:val="de-DE"/>
                              </w:rPr>
                            </m:ctrlPr>
                          </m:den>
                        </m:f>
                        <m:r>
                          <m:rPr/>
                          <w:rPr>
                            <w:rFonts w:ascii="Cambria Math" w:hAnsi="Cambria Math" w:cs="Times New Roman" w:eastAsiaTheme="minorEastAsia"/>
                            <w:sz w:val="16"/>
                            <w:szCs w:val="16"/>
                            <w:vertAlign w:val="subscript"/>
                            <w:lang w:val="de-DE"/>
                          </w:rPr>
                          <m:t>+</m:t>
                        </m:r>
                        <m:f>
                          <m:fPr>
                            <m:ctrlPr>
                              <w:rPr>
                                <w:rFonts w:ascii="Cambria Math" w:hAnsi="Cambria Math" w:cs="Times New Roman" w:eastAsiaTheme="minorEastAsia"/>
                                <w:i/>
                                <w:sz w:val="16"/>
                                <w:szCs w:val="16"/>
                                <w:vertAlign w:val="subscript"/>
                                <w:lang w:val="de-DE"/>
                              </w:rPr>
                            </m:ctrlPr>
                          </m:fPr>
                          <m:num>
                            <m:r>
                              <m:rPr/>
                              <w:rPr>
                                <w:rFonts w:ascii="Cambria Math" w:hAnsi="Cambria Math" w:cs="Times New Roman" w:eastAsiaTheme="minorEastAsia"/>
                                <w:sz w:val="16"/>
                                <w:szCs w:val="16"/>
                                <w:vertAlign w:val="subscript"/>
                                <w:lang w:val="de-DE"/>
                              </w:rPr>
                              <m:t>2c</m:t>
                            </m:r>
                            <m:r>
                              <m:rPr>
                                <m:sty m:val="p"/>
                              </m:rPr>
                              <w:rPr>
                                <w:rFonts w:ascii="Cambria Math" w:hAnsi="Cambria Math" w:cs="Times New Roman" w:eastAsiaTheme="minorEastAsia"/>
                                <w:sz w:val="16"/>
                                <w:szCs w:val="16"/>
                                <w:vertAlign w:val="subscript"/>
                                <w:lang w:val="de-DE"/>
                              </w:rPr>
                              <m:t>sin</m:t>
                            </m:r>
                            <m:d>
                              <m:dPr>
                                <m:ctrlPr>
                                  <w:rPr>
                                    <w:rFonts w:ascii="Cambria Math" w:hAnsi="Cambria Math" w:cs="Times New Roman" w:eastAsiaTheme="minorEastAsia"/>
                                    <w:i/>
                                    <w:sz w:val="16"/>
                                    <w:szCs w:val="16"/>
                                    <w:vertAlign w:val="subscript"/>
                                    <w:lang w:val="de-DE"/>
                                  </w:rPr>
                                </m:ctrlPr>
                              </m:dPr>
                              <m:e>
                                <m:r>
                                  <m:rPr/>
                                  <w:rPr>
                                    <w:rFonts w:ascii="Cambria Math" w:hAnsi="Cambria Math" w:cs="Times New Roman" w:eastAsiaTheme="minorEastAsia"/>
                                    <w:sz w:val="16"/>
                                    <w:szCs w:val="16"/>
                                    <w:vertAlign w:val="subscript"/>
                                    <w:lang w:val="de-DE"/>
                                  </w:rPr>
                                  <m:t>θ+φ</m:t>
                                </m:r>
                                <m:ctrlPr>
                                  <w:rPr>
                                    <w:rFonts w:ascii="Cambria Math" w:hAnsi="Cambria Math" w:cs="Times New Roman" w:eastAsiaTheme="minorEastAsia"/>
                                    <w:i/>
                                    <w:sz w:val="16"/>
                                    <w:szCs w:val="16"/>
                                    <w:vertAlign w:val="subscript"/>
                                    <w:lang w:val="de-DE"/>
                                  </w:rPr>
                                </m:ctrlPr>
                              </m:e>
                            </m:d>
                            <m:r>
                              <m:rPr>
                                <m:sty m:val="p"/>
                              </m:rPr>
                              <w:rPr>
                                <w:rFonts w:ascii="Cambria Math" w:hAnsi="Cambria Math" w:cs="Times New Roman" w:eastAsiaTheme="minorEastAsia"/>
                                <w:sz w:val="16"/>
                                <w:szCs w:val="16"/>
                                <w:vertAlign w:val="subscript"/>
                                <w:lang w:val="de-DE"/>
                              </w:rPr>
                              <m:t>tan</m:t>
                            </m:r>
                            <m:r>
                              <m:rPr/>
                              <w:rPr>
                                <w:rFonts w:ascii="Cambria Math" w:hAnsi="Cambria Math" w:cs="Times New Roman" w:eastAsiaTheme="minorEastAsia"/>
                                <w:sz w:val="16"/>
                                <w:szCs w:val="16"/>
                                <w:vertAlign w:val="subscript"/>
                                <w:lang w:val="de-DE"/>
                              </w:rPr>
                              <m:t>δ</m:t>
                            </m:r>
                            <m:ctrlPr>
                              <w:rPr>
                                <w:rFonts w:ascii="Cambria Math" w:hAnsi="Cambria Math" w:cs="Times New Roman" w:eastAsiaTheme="minorEastAsia"/>
                                <w:i/>
                                <w:sz w:val="16"/>
                                <w:szCs w:val="16"/>
                                <w:vertAlign w:val="subscript"/>
                                <w:lang w:val="de-DE"/>
                              </w:rPr>
                            </m:ctrlPr>
                          </m:num>
                          <m:den>
                            <m:r>
                              <m:rPr/>
                              <w:rPr>
                                <w:rFonts w:ascii="Cambria Math" w:hAnsi="Cambria Math" w:cs="Times New Roman" w:eastAsiaTheme="minorEastAsia"/>
                                <w:sz w:val="16"/>
                                <w:szCs w:val="16"/>
                                <w:vertAlign w:val="subscript"/>
                                <w:lang w:val="de-DE"/>
                              </w:rPr>
                              <m:t>γh</m:t>
                            </m:r>
                            <m:r>
                              <m:rPr>
                                <m:sty m:val="p"/>
                              </m:rPr>
                              <w:rPr>
                                <w:rFonts w:ascii="Cambria Math" w:hAnsi="Cambria Math" w:cs="Times New Roman" w:eastAsiaTheme="minorEastAsia"/>
                                <w:sz w:val="16"/>
                                <w:szCs w:val="16"/>
                                <w:vertAlign w:val="subscript"/>
                                <w:lang w:val="de-DE"/>
                              </w:rPr>
                              <m:t>tan</m:t>
                            </m:r>
                            <m:r>
                              <m:rPr/>
                              <w:rPr>
                                <w:rFonts w:ascii="Cambria Math" w:hAnsi="Cambria Math" w:cs="Times New Roman" w:eastAsiaTheme="minorEastAsia"/>
                                <w:sz w:val="16"/>
                                <w:szCs w:val="16"/>
                                <w:vertAlign w:val="subscript"/>
                                <w:lang w:val="de-DE"/>
                              </w:rPr>
                              <m:t>φ</m:t>
                            </m:r>
                            <m:ctrlPr>
                              <w:rPr>
                                <w:rFonts w:ascii="Cambria Math" w:hAnsi="Cambria Math" w:cs="Times New Roman" w:eastAsiaTheme="minorEastAsia"/>
                                <w:i/>
                                <w:sz w:val="16"/>
                                <w:szCs w:val="16"/>
                                <w:vertAlign w:val="subscript"/>
                                <w:lang w:val="de-DE"/>
                              </w:rPr>
                            </m:ctrlPr>
                          </m:den>
                        </m:f>
                        <m:ctrlPr>
                          <w:rPr>
                            <w:rFonts w:ascii="Cambria Math" w:hAnsi="Cambria Math" w:cs="Times New Roman" w:eastAsiaTheme="minorEastAsia"/>
                            <w:i/>
                            <w:sz w:val="16"/>
                            <w:szCs w:val="16"/>
                            <w:vertAlign w:val="subscript"/>
                            <w:lang w:val="de-DE"/>
                          </w:rPr>
                        </m:ctrlPr>
                      </m:e>
                    </m:d>
                    <m:ctrlPr>
                      <w:rPr>
                        <w:rFonts w:ascii="Cambria Math" w:hAnsi="Cambria Math" w:cs="Times New Roman" w:eastAsiaTheme="minorEastAsia"/>
                        <w:i/>
                        <w:sz w:val="16"/>
                        <w:szCs w:val="16"/>
                        <w:vertAlign w:val="subscript"/>
                        <w:lang w:val="de-DE"/>
                      </w:rPr>
                    </m:ctrlPr>
                  </m:num>
                  <m:den>
                    <m:func>
                      <m:funcPr>
                        <m:ctrlPr>
                          <w:rPr>
                            <w:rFonts w:ascii="Cambria Math" w:hAnsi="Cambria Math" w:cs="Times New Roman" w:eastAsiaTheme="minorEastAsia"/>
                            <w:sz w:val="16"/>
                            <w:szCs w:val="16"/>
                            <w:vertAlign w:val="subscript"/>
                            <w:lang w:val="de-DE"/>
                          </w:rPr>
                        </m:ctrlPr>
                      </m:funcPr>
                      <m:fName>
                        <m:r>
                          <m:rPr>
                            <m:sty m:val="p"/>
                          </m:rPr>
                          <w:rPr>
                            <w:rFonts w:ascii="Cambria Math" w:hAnsi="Cambria Math" w:cs="Times New Roman" w:eastAsiaTheme="minorEastAsia"/>
                            <w:sz w:val="16"/>
                            <w:szCs w:val="16"/>
                            <w:vertAlign w:val="subscript"/>
                            <w:lang w:val="de-DE"/>
                          </w:rPr>
                          <m:t>cos</m:t>
                        </m:r>
                        <m:ctrlPr>
                          <w:rPr>
                            <w:rFonts w:ascii="Cambria Math" w:hAnsi="Cambria Math" w:cs="Times New Roman" w:eastAsiaTheme="minorEastAsia"/>
                            <w:i/>
                            <w:sz w:val="16"/>
                            <w:szCs w:val="16"/>
                            <w:vertAlign w:val="subscript"/>
                            <w:lang w:val="de-DE"/>
                          </w:rPr>
                        </m:ctrlPr>
                      </m:fName>
                      <m:e>
                        <m:d>
                          <m:dPr>
                            <m:ctrlPr>
                              <w:rPr>
                                <w:rFonts w:ascii="Cambria Math" w:hAnsi="Cambria Math" w:cs="Times New Roman" w:eastAsiaTheme="minorEastAsia"/>
                                <w:i/>
                                <w:sz w:val="16"/>
                                <w:szCs w:val="16"/>
                                <w:vertAlign w:val="subscript"/>
                                <w:lang w:val="de-DE"/>
                              </w:rPr>
                            </m:ctrlPr>
                          </m:dPr>
                          <m:e>
                            <m:r>
                              <m:rPr/>
                              <w:rPr>
                                <w:rFonts w:ascii="Cambria Math" w:hAnsi="Cambria Math" w:cs="Times New Roman" w:eastAsiaTheme="minorEastAsia"/>
                                <w:sz w:val="16"/>
                                <w:szCs w:val="16"/>
                                <w:vertAlign w:val="subscript"/>
                                <w:lang w:val="de-DE"/>
                              </w:rPr>
                              <m:t>θ+φ+δ</m:t>
                            </m:r>
                            <m:ctrlPr>
                              <w:rPr>
                                <w:rFonts w:ascii="Cambria Math" w:hAnsi="Cambria Math" w:cs="Times New Roman" w:eastAsiaTheme="minorEastAsia"/>
                                <w:i/>
                                <w:sz w:val="16"/>
                                <w:szCs w:val="16"/>
                                <w:vertAlign w:val="subscript"/>
                                <w:lang w:val="de-DE"/>
                              </w:rPr>
                            </m:ctrlPr>
                          </m:e>
                        </m:d>
                        <m:ctrlPr>
                          <w:rPr>
                            <w:rFonts w:ascii="Cambria Math" w:hAnsi="Cambria Math" w:cs="Times New Roman" w:eastAsiaTheme="minorEastAsia"/>
                            <w:sz w:val="16"/>
                            <w:szCs w:val="16"/>
                            <w:vertAlign w:val="subscript"/>
                            <w:lang w:val="de-DE"/>
                          </w:rPr>
                        </m:ctrlPr>
                      </m:e>
                    </m:func>
                    <m:ctrlPr>
                      <w:rPr>
                        <w:rFonts w:ascii="Cambria Math" w:hAnsi="Cambria Math" w:cs="Times New Roman" w:eastAsiaTheme="minorEastAsia"/>
                        <w:i/>
                        <w:sz w:val="16"/>
                        <w:szCs w:val="16"/>
                        <w:vertAlign w:val="subscript"/>
                        <w:lang w:val="de-DE"/>
                      </w:rPr>
                    </m:ctrlPr>
                  </m:den>
                </m:f>
              </m:oMath>
            </m:oMathPara>
          </w:p>
        </w:tc>
        <w:tc>
          <w:tcPr>
            <w:tcW w:w="590" w:type="pct"/>
            <w:vAlign w:val="center"/>
          </w:tcPr>
          <w:p w14:paraId="68947456">
            <w:pPr>
              <w:jc w:val="center"/>
              <w:rPr>
                <w:rFonts w:cs="Times New Roman" w:eastAsiaTheme="minorEastAsia"/>
                <w:sz w:val="16"/>
                <w:szCs w:val="16"/>
              </w:rPr>
            </w:pPr>
            <w:r>
              <w:rPr>
                <w:rFonts w:cs="Times New Roman" w:eastAsiaTheme="minorEastAsia"/>
                <w:sz w:val="16"/>
                <w:szCs w:val="16"/>
              </w:rPr>
              <w:t>（5.2.7-2）</w:t>
            </w:r>
          </w:p>
        </w:tc>
      </w:tr>
    </w:tbl>
    <w:tbl>
      <w:tblPr>
        <w:tblStyle w:val="13"/>
        <w:tblW w:w="5000" w:type="pct"/>
        <w:tblInd w:w="0" w:type="dxa"/>
        <w:tblLayout w:type="autofit"/>
        <w:tblCellMar>
          <w:top w:w="0" w:type="dxa"/>
          <w:left w:w="108" w:type="dxa"/>
          <w:bottom w:w="0" w:type="dxa"/>
          <w:right w:w="108" w:type="dxa"/>
        </w:tblCellMar>
      </w:tblPr>
      <w:tblGrid>
        <w:gridCol w:w="670"/>
        <w:gridCol w:w="1254"/>
        <w:gridCol w:w="782"/>
        <w:gridCol w:w="6139"/>
      </w:tblGrid>
      <w:tr w14:paraId="1D1710A2">
        <w:tblPrEx>
          <w:tblCellMar>
            <w:top w:w="0" w:type="dxa"/>
            <w:left w:w="108" w:type="dxa"/>
            <w:bottom w:w="0" w:type="dxa"/>
            <w:right w:w="108" w:type="dxa"/>
          </w:tblCellMar>
        </w:tblPrEx>
        <w:trPr>
          <w:trHeight w:val="5586" w:hRule="exact"/>
        </w:trPr>
        <w:tc>
          <w:tcPr>
            <w:tcW w:w="379" w:type="pct"/>
            <w:tcMar>
              <w:left w:w="0" w:type="dxa"/>
              <w:right w:w="28" w:type="dxa"/>
            </w:tcMar>
          </w:tcPr>
          <w:p w14:paraId="1FFC7760">
            <w:pPr>
              <w:rPr>
                <w:rFonts w:cs="Times New Roman" w:eastAsiaTheme="minorEastAsia"/>
              </w:rPr>
            </w:pPr>
          </w:p>
        </w:tc>
        <w:tc>
          <w:tcPr>
            <w:tcW w:w="709" w:type="pct"/>
            <w:tcMar>
              <w:left w:w="0" w:type="dxa"/>
              <w:right w:w="28" w:type="dxa"/>
            </w:tcMar>
          </w:tcPr>
          <w:p w14:paraId="337C66DB">
            <w:pPr>
              <w:spacing w:line="460" w:lineRule="exact"/>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E</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P</m:t>
                    </m:r>
                    <m:ctrlPr>
                      <w:rPr>
                        <w:rFonts w:ascii="Cambria Math" w:hAnsi="Cambria Math" w:cs="Times New Roman" w:eastAsiaTheme="minorEastAsia"/>
                        <w:i/>
                        <w:vertAlign w:val="subscript"/>
                        <w:lang w:val="de-DE"/>
                      </w:rPr>
                    </m:ctrlPr>
                  </m:sub>
                </m:sSub>
              </m:oMath>
            </m:oMathPara>
          </w:p>
          <w:p w14:paraId="1F969529">
            <w:pPr>
              <w:spacing w:line="460" w:lineRule="exact"/>
              <w:rPr>
                <w:rFonts w:cs="Times New Roman" w:eastAsiaTheme="minorEastAsia"/>
                <w:vertAlign w:val="subscript"/>
                <w:lang w:val="de-DE"/>
              </w:rPr>
            </w:pPr>
            <m:oMathPara>
              <m:oMath>
                <m:r>
                  <m:rPr/>
                  <w:rPr>
                    <w:rFonts w:ascii="Cambria Math" w:hAnsi="Cambria Math" w:cs="Times New Roman" w:eastAsiaTheme="minorEastAsia"/>
                    <w:vertAlign w:val="subscript"/>
                    <w:lang w:val="de-DE"/>
                  </w:rPr>
                  <m:t>γ</m:t>
                </m:r>
              </m:oMath>
            </m:oMathPara>
          </w:p>
          <w:p w14:paraId="06D8FE20">
            <w:pPr>
              <w:spacing w:line="460" w:lineRule="exact"/>
              <w:rPr>
                <w:rFonts w:cs="Times New Roman" w:eastAsiaTheme="minorEastAsia"/>
                <w:vertAlign w:val="subscript"/>
                <w:lang w:val="de-DE"/>
              </w:rPr>
            </w:pPr>
            <m:oMathPara>
              <m:oMath>
                <m:r>
                  <m:rPr/>
                  <w:rPr>
                    <w:rFonts w:ascii="Cambria Math" w:hAnsi="Cambria Math" w:cs="Times New Roman" w:eastAsiaTheme="minorEastAsia"/>
                    <w:vertAlign w:val="subscript"/>
                    <w:lang w:val="de-DE"/>
                  </w:rPr>
                  <m:t>c</m:t>
                </m:r>
              </m:oMath>
            </m:oMathPara>
          </w:p>
          <w:p w14:paraId="641F6213">
            <w:pPr>
              <w:spacing w:line="460" w:lineRule="exact"/>
              <w:rPr>
                <w:rFonts w:cs="Times New Roman" w:eastAsiaTheme="minorEastAsia"/>
                <w:i/>
                <w:vertAlign w:val="subscript"/>
                <w:lang w:val="de-DE"/>
              </w:rPr>
            </w:pPr>
            <m:oMathPara>
              <m:oMath>
                <m:r>
                  <m:rPr/>
                  <w:rPr>
                    <w:rFonts w:ascii="Cambria Math" w:hAnsi="Cambria Math" w:cs="Times New Roman" w:eastAsiaTheme="minorEastAsia"/>
                    <w:vertAlign w:val="subscript"/>
                    <w:lang w:val="de-DE"/>
                  </w:rPr>
                  <m:t>h</m:t>
                </m:r>
              </m:oMath>
            </m:oMathPara>
          </w:p>
          <w:p w14:paraId="23025FA0">
            <w:pPr>
              <w:spacing w:line="460" w:lineRule="exact"/>
              <w:rPr>
                <w:rFonts w:cs="Times New Roman" w:eastAsiaTheme="minorEastAsia"/>
                <w:vertAlign w:val="subscript"/>
                <w:lang w:val="de-DE"/>
              </w:rPr>
            </w:pPr>
            <m:oMathPara>
              <m:oMath>
                <m:r>
                  <m:rPr/>
                  <w:rPr>
                    <w:rFonts w:ascii="Cambria Math" w:hAnsi="Cambria Math" w:cs="Times New Roman" w:eastAsiaTheme="minorEastAsia"/>
                    <w:vertAlign w:val="subscript"/>
                    <w:lang w:val="de-DE"/>
                  </w:rPr>
                  <m:t>b</m:t>
                </m:r>
              </m:oMath>
            </m:oMathPara>
          </w:p>
          <w:p w14:paraId="0A5D5081">
            <w:pPr>
              <w:spacing w:line="460" w:lineRule="exact"/>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P</m:t>
                    </m:r>
                    <m:ctrlPr>
                      <w:rPr>
                        <w:rFonts w:ascii="Cambria Math" w:hAnsi="Cambria Math" w:cs="Times New Roman" w:eastAsiaTheme="minorEastAsia"/>
                        <w:i/>
                        <w:vertAlign w:val="subscript"/>
                        <w:lang w:val="de-DE"/>
                      </w:rPr>
                    </m:ctrlPr>
                  </m:sub>
                </m:sSub>
              </m:oMath>
            </m:oMathPara>
          </w:p>
          <w:p w14:paraId="32866830">
            <w:pPr>
              <w:spacing w:line="460" w:lineRule="exact"/>
              <w:rPr>
                <w:rFonts w:cs="Times New Roman" w:eastAsiaTheme="minorEastAsia"/>
                <w:vertAlign w:val="subscript"/>
                <w:lang w:val="de-DE"/>
              </w:rPr>
            </w:pPr>
            <m:oMathPara>
              <m:oMath>
                <m:r>
                  <m:rPr/>
                  <w:rPr>
                    <w:rFonts w:ascii="Cambria Math" w:hAnsi="Cambria Math" w:cs="Times New Roman" w:eastAsiaTheme="minorEastAsia"/>
                    <w:vertAlign w:val="subscript"/>
                    <w:lang w:val="de-DE"/>
                  </w:rPr>
                  <m:t>α</m:t>
                </m:r>
              </m:oMath>
            </m:oMathPara>
          </w:p>
          <w:p w14:paraId="50DA60C1">
            <w:pPr>
              <w:spacing w:line="460" w:lineRule="exact"/>
              <w:rPr>
                <w:rFonts w:cs="Times New Roman" w:eastAsiaTheme="minorEastAsia"/>
                <w:vertAlign w:val="subscript"/>
                <w:lang w:val="de-DE"/>
              </w:rPr>
            </w:pPr>
            <m:oMathPara>
              <m:oMath>
                <m:r>
                  <m:rPr/>
                  <w:rPr>
                    <w:rFonts w:ascii="Cambria Math" w:hAnsi="Cambria Math" w:cs="Times New Roman" w:eastAsiaTheme="minorEastAsia"/>
                    <w:vertAlign w:val="subscript"/>
                    <w:lang w:val="de-DE"/>
                  </w:rPr>
                  <m:t>θ</m:t>
                </m:r>
              </m:oMath>
            </m:oMathPara>
          </w:p>
          <w:p w14:paraId="22A66554">
            <w:pPr>
              <w:spacing w:line="460" w:lineRule="exact"/>
              <w:rPr>
                <w:rFonts w:cs="Times New Roman" w:eastAsiaTheme="minorEastAsia"/>
                <w:vertAlign w:val="subscript"/>
                <w:lang w:val="de-DE"/>
              </w:rPr>
            </w:pPr>
            <m:oMathPara>
              <m:oMath>
                <m:r>
                  <m:rPr/>
                  <w:rPr>
                    <w:rFonts w:ascii="Cambria Math" w:hAnsi="Cambria Math" w:cs="Times New Roman" w:eastAsiaTheme="minorEastAsia"/>
                    <w:vertAlign w:val="subscript"/>
                    <w:lang w:val="de-DE"/>
                  </w:rPr>
                  <m:t>φ</m:t>
                </m:r>
              </m:oMath>
            </m:oMathPara>
          </w:p>
          <w:p w14:paraId="648A0DDF">
            <w:pPr>
              <w:spacing w:line="530" w:lineRule="exact"/>
              <w:rPr>
                <w:rFonts w:ascii="Cambria Math" w:hAnsi="Cambria Math" w:cs="Times New Roman" w:eastAsiaTheme="minorEastAsia"/>
                <w:vertAlign w:val="subscript"/>
                <w:lang w:val="de-DE"/>
                <w:oMath/>
              </w:rPr>
            </w:pPr>
            <m:oMathPara>
              <m:oMath>
                <m:r>
                  <m:rPr/>
                  <w:rPr>
                    <w:rFonts w:ascii="Cambria Math" w:hAnsi="Cambria Math" w:cs="Times New Roman" w:eastAsiaTheme="minorEastAsia"/>
                    <w:vertAlign w:val="subscript"/>
                    <w:lang w:val="de-DE"/>
                  </w:rPr>
                  <m:t>δ</m:t>
                </m:r>
              </m:oMath>
            </m:oMathPara>
          </w:p>
        </w:tc>
        <w:tc>
          <w:tcPr>
            <w:tcW w:w="442" w:type="pct"/>
            <w:tcMar>
              <w:left w:w="28" w:type="dxa"/>
              <w:right w:w="0" w:type="dxa"/>
            </w:tcMar>
          </w:tcPr>
          <w:p w14:paraId="1F43135C">
            <w:pPr>
              <w:rPr>
                <w:rFonts w:cs="Times New Roman" w:eastAsiaTheme="minorEastAsia"/>
                <w:lang w:val="de-DE"/>
              </w:rPr>
            </w:pPr>
            <w:r>
              <w:rPr>
                <w:rFonts w:cs="Times New Roman" w:eastAsiaTheme="minorEastAsia"/>
                <w:lang w:val="de-DE"/>
              </w:rPr>
              <w:t>——</w:t>
            </w:r>
          </w:p>
          <w:p w14:paraId="6B4A60C0">
            <w:pPr>
              <w:rPr>
                <w:rFonts w:cs="Times New Roman" w:eastAsiaTheme="minorEastAsia"/>
                <w:lang w:val="de-DE"/>
              </w:rPr>
            </w:pPr>
            <w:r>
              <w:rPr>
                <w:rFonts w:cs="Times New Roman" w:eastAsiaTheme="minorEastAsia"/>
                <w:lang w:val="de-DE"/>
              </w:rPr>
              <w:t>——</w:t>
            </w:r>
          </w:p>
          <w:p w14:paraId="1F6E85A9">
            <w:pPr>
              <w:rPr>
                <w:rFonts w:cs="Times New Roman" w:eastAsiaTheme="minorEastAsia"/>
                <w:lang w:val="de-DE"/>
              </w:rPr>
            </w:pPr>
            <w:r>
              <w:rPr>
                <w:rFonts w:cs="Times New Roman" w:eastAsiaTheme="minorEastAsia"/>
                <w:lang w:val="de-DE"/>
              </w:rPr>
              <w:t>——</w:t>
            </w:r>
          </w:p>
          <w:p w14:paraId="20B9B694">
            <w:pPr>
              <w:rPr>
                <w:rFonts w:cs="Times New Roman" w:eastAsiaTheme="minorEastAsia"/>
                <w:lang w:val="de-DE"/>
              </w:rPr>
            </w:pPr>
            <w:r>
              <w:rPr>
                <w:rFonts w:cs="Times New Roman" w:eastAsiaTheme="minorEastAsia"/>
                <w:lang w:val="de-DE"/>
              </w:rPr>
              <w:t>——</w:t>
            </w:r>
          </w:p>
          <w:p w14:paraId="0F9E1220">
            <w:pPr>
              <w:rPr>
                <w:rFonts w:cs="Times New Roman" w:eastAsiaTheme="minorEastAsia"/>
                <w:lang w:val="de-DE"/>
              </w:rPr>
            </w:pPr>
            <w:r>
              <w:rPr>
                <w:rFonts w:cs="Times New Roman" w:eastAsiaTheme="minorEastAsia"/>
                <w:lang w:val="de-DE"/>
              </w:rPr>
              <w:t>——</w:t>
            </w:r>
          </w:p>
          <w:p w14:paraId="70E4F6FF">
            <w:pPr>
              <w:rPr>
                <w:rFonts w:cs="Times New Roman" w:eastAsiaTheme="minorEastAsia"/>
                <w:lang w:val="de-DE"/>
              </w:rPr>
            </w:pPr>
            <w:r>
              <w:rPr>
                <w:rFonts w:cs="Times New Roman" w:eastAsiaTheme="minorEastAsia"/>
                <w:lang w:val="de-DE"/>
              </w:rPr>
              <w:t>——</w:t>
            </w:r>
          </w:p>
          <w:p w14:paraId="4F17A34D">
            <w:pPr>
              <w:rPr>
                <w:rFonts w:cs="Times New Roman" w:eastAsiaTheme="minorEastAsia"/>
                <w:lang w:val="de-DE"/>
              </w:rPr>
            </w:pPr>
            <w:r>
              <w:rPr>
                <w:rFonts w:cs="Times New Roman" w:eastAsiaTheme="minorEastAsia"/>
                <w:lang w:val="de-DE"/>
              </w:rPr>
              <w:t>——</w:t>
            </w:r>
          </w:p>
          <w:p w14:paraId="1047FE74">
            <w:pPr>
              <w:rPr>
                <w:rFonts w:cs="Times New Roman" w:eastAsiaTheme="minorEastAsia"/>
                <w:lang w:val="de-DE"/>
              </w:rPr>
            </w:pPr>
            <w:r>
              <w:rPr>
                <w:rFonts w:cs="Times New Roman" w:eastAsiaTheme="minorEastAsia"/>
                <w:lang w:val="de-DE"/>
              </w:rPr>
              <w:t>——</w:t>
            </w:r>
          </w:p>
          <w:p w14:paraId="6A148210">
            <w:pPr>
              <w:rPr>
                <w:rFonts w:cs="Times New Roman" w:eastAsiaTheme="minorEastAsia"/>
                <w:lang w:val="de-DE"/>
              </w:rPr>
            </w:pPr>
            <w:r>
              <w:rPr>
                <w:rFonts w:cs="Times New Roman" w:eastAsiaTheme="minorEastAsia"/>
                <w:lang w:val="de-DE"/>
              </w:rPr>
              <w:t>——</w:t>
            </w:r>
          </w:p>
          <w:p w14:paraId="49C4CF78">
            <w:pPr>
              <w:rPr>
                <w:rFonts w:cs="Times New Roman" w:eastAsiaTheme="minorEastAsia"/>
                <w:lang w:val="de-DE"/>
              </w:rPr>
            </w:pPr>
            <w:r>
              <w:rPr>
                <w:rFonts w:cs="Times New Roman" w:eastAsiaTheme="minorEastAsia"/>
                <w:lang w:val="de-DE"/>
              </w:rPr>
              <w:t>——</w:t>
            </w:r>
          </w:p>
        </w:tc>
        <w:tc>
          <w:tcPr>
            <w:tcW w:w="3470" w:type="pct"/>
            <w:tcMar>
              <w:left w:w="0" w:type="dxa"/>
              <w:right w:w="0" w:type="dxa"/>
            </w:tcMar>
          </w:tcPr>
          <w:p w14:paraId="1E580DC1">
            <w:pPr>
              <w:rPr>
                <w:rFonts w:cs="Times New Roman" w:eastAsiaTheme="minorEastAsia"/>
              </w:rPr>
            </w:pPr>
            <w:r>
              <w:rPr>
                <w:rFonts w:cs="Times New Roman" w:eastAsiaTheme="minorEastAsia"/>
              </w:rPr>
              <w:t>有限土体的被动土压力标准值（kPa）；</w:t>
            </w:r>
          </w:p>
          <w:p w14:paraId="331472D1">
            <w:pPr>
              <w:rPr>
                <w:rFonts w:cs="Times New Roman" w:eastAsiaTheme="minorEastAsia"/>
              </w:rPr>
            </w:pPr>
            <w:r>
              <w:rPr>
                <w:rFonts w:cs="Times New Roman" w:eastAsiaTheme="minorEastAsia"/>
              </w:rPr>
              <w:t>有限土体的重度（kN/m）；</w:t>
            </w:r>
          </w:p>
          <w:p w14:paraId="5BC76082">
            <w:pPr>
              <w:rPr>
                <w:rFonts w:cs="Times New Roman" w:eastAsiaTheme="minorEastAsia"/>
              </w:rPr>
            </w:pPr>
            <w:r>
              <w:rPr>
                <w:rFonts w:cs="Times New Roman" w:eastAsiaTheme="minorEastAsia"/>
              </w:rPr>
              <w:t>有限土体黏聚力（kPa）；</w:t>
            </w:r>
          </w:p>
          <w:p w14:paraId="32857D44">
            <w:pPr>
              <w:rPr>
                <w:rFonts w:cs="Times New Roman" w:eastAsiaTheme="minorEastAsia"/>
              </w:rPr>
            </w:pPr>
            <w:r>
              <w:rPr>
                <w:rFonts w:cs="Times New Roman" w:eastAsiaTheme="minorEastAsia"/>
              </w:rPr>
              <w:t>有限土体的堆载高度（m）；</w:t>
            </w:r>
          </w:p>
          <w:p w14:paraId="55939584">
            <w:pPr>
              <w:rPr>
                <w:rFonts w:cs="Times New Roman" w:eastAsiaTheme="minorEastAsia"/>
              </w:rPr>
            </w:pPr>
            <w:r>
              <w:rPr>
                <w:rFonts w:cs="Times New Roman" w:eastAsiaTheme="minorEastAsia"/>
              </w:rPr>
              <w:t>有限土体的顶部宽度（m）；</w:t>
            </w:r>
          </w:p>
          <w:p w14:paraId="19DBD620">
            <w:pPr>
              <w:rPr>
                <w:rFonts w:cs="Times New Roman" w:eastAsiaTheme="minorEastAsia"/>
              </w:rPr>
            </w:pPr>
            <w:r>
              <w:rPr>
                <w:rFonts w:cs="Times New Roman" w:eastAsiaTheme="minorEastAsia"/>
              </w:rPr>
              <w:t>有限土体的被动土压力系数；</w:t>
            </w:r>
          </w:p>
          <w:p w14:paraId="21B2560E">
            <w:pPr>
              <w:rPr>
                <w:rFonts w:cs="Times New Roman" w:eastAsiaTheme="minorEastAsia"/>
              </w:rPr>
            </w:pPr>
            <w:r>
              <w:rPr>
                <w:rFonts w:cs="Times New Roman" w:eastAsiaTheme="minorEastAsia"/>
              </w:rPr>
              <w:t>有限土体与水平面的夹角（°）。</w:t>
            </w:r>
          </w:p>
          <w:p w14:paraId="519C150D">
            <w:pPr>
              <w:spacing w:line="460" w:lineRule="exact"/>
              <w:rPr>
                <w:rFonts w:cs="Times New Roman" w:eastAsiaTheme="minorEastAsia"/>
                <w:vertAlign w:val="subscript"/>
                <w:lang w:val="de-DE"/>
              </w:rPr>
            </w:pPr>
            <w:r>
              <w:rPr>
                <w:rFonts w:cs="Times New Roman" w:eastAsiaTheme="minorEastAsia"/>
              </w:rPr>
              <w:t>有限土体破裂面与水平面的夹角（°），一般取45°－</w:t>
            </w:r>
            <m:oMath>
              <m:r>
                <m:rPr/>
                <w:rPr>
                  <w:rFonts w:ascii="Cambria Math" w:hAnsi="Cambria Math" w:cs="Times New Roman" w:eastAsiaTheme="minorEastAsia"/>
                  <w:vertAlign w:val="subscript"/>
                  <w:lang w:val="de-DE"/>
                </w:rPr>
                <m:t>φ</m:t>
              </m:r>
            </m:oMath>
            <w:r>
              <w:rPr>
                <w:rFonts w:cs="Times New Roman" w:eastAsiaTheme="minorEastAsia"/>
              </w:rPr>
              <w:t>/2</w:t>
            </w:r>
          </w:p>
          <w:p w14:paraId="563FA406">
            <w:pPr>
              <w:rPr>
                <w:rFonts w:cs="Times New Roman" w:eastAsiaTheme="minorEastAsia"/>
              </w:rPr>
            </w:pPr>
            <w:r>
              <w:rPr>
                <w:rFonts w:cs="Times New Roman" w:eastAsiaTheme="minorEastAsia"/>
              </w:rPr>
              <w:t>有限土体的内摩擦角（°）</w:t>
            </w:r>
          </w:p>
          <w:p w14:paraId="6BE075E0">
            <w:pPr>
              <w:spacing w:line="460" w:lineRule="exact"/>
              <w:rPr>
                <w:rFonts w:cs="Times New Roman" w:eastAsiaTheme="minorEastAsia"/>
                <w:vertAlign w:val="subscript"/>
                <w:lang w:val="de-DE"/>
              </w:rPr>
            </w:pPr>
            <w:r>
              <w:rPr>
                <w:rFonts w:cs="Times New Roman" w:eastAsiaTheme="minorEastAsia"/>
              </w:rPr>
              <w:t>坑外岩土体对支护结构的摩擦角（°），宜根据试验确定。当无试验资料时，可取（0.4</w:t>
            </w:r>
            <w:r>
              <w:rPr>
                <w:rFonts w:cs="Times New Roman"/>
              </w:rPr>
              <w:t>～</w:t>
            </w:r>
            <w:r>
              <w:rPr>
                <w:rFonts w:cs="Times New Roman" w:eastAsiaTheme="minorEastAsia"/>
              </w:rPr>
              <w:t>0.7）</w:t>
            </w:r>
            <m:oMath>
              <m:sSup>
                <m:sSupPr>
                  <m:ctrlPr>
                    <w:rPr>
                      <w:rFonts w:ascii="Cambria Math" w:hAnsi="Cambria Math" w:cs="Times New Roman" w:eastAsiaTheme="minorEastAsia"/>
                      <w:i/>
                      <w:vertAlign w:val="subscript"/>
                      <w:lang w:val="de-DE"/>
                    </w:rPr>
                  </m:ctrlPr>
                </m:sSupPr>
                <m:e>
                  <m:r>
                    <m:rPr/>
                    <w:rPr>
                      <w:rFonts w:ascii="Cambria Math" w:hAnsi="Cambria Math" w:cs="Times New Roman" w:eastAsiaTheme="minorEastAsia"/>
                      <w:vertAlign w:val="subscript"/>
                      <w:lang w:val="de-DE"/>
                    </w:rPr>
                    <m:t>φ</m:t>
                  </m:r>
                  <m:ctrlPr>
                    <w:rPr>
                      <w:rFonts w:ascii="Cambria Math" w:hAnsi="Cambria Math" w:cs="Times New Roman" w:eastAsiaTheme="minorEastAsia"/>
                      <w:i/>
                      <w:vertAlign w:val="subscript"/>
                      <w:lang w:val="de-DE"/>
                    </w:rPr>
                  </m:ctrlPr>
                </m:e>
                <m:sup>
                  <m:r>
                    <m:rPr/>
                    <w:rPr>
                      <w:rFonts w:ascii="Cambria Math" w:hAnsi="Cambria Math" w:cs="Times New Roman" w:eastAsiaTheme="minorEastAsia"/>
                      <w:vertAlign w:val="subscript"/>
                      <w:lang w:val="de-DE"/>
                    </w:rPr>
                    <m:t>'</m:t>
                  </m:r>
                  <m:ctrlPr>
                    <w:rPr>
                      <w:rFonts w:ascii="Cambria Math" w:hAnsi="Cambria Math" w:cs="Times New Roman" w:eastAsiaTheme="minorEastAsia"/>
                      <w:i/>
                      <w:vertAlign w:val="subscript"/>
                      <w:lang w:val="de-DE"/>
                    </w:rPr>
                  </m:ctrlPr>
                </m:sup>
              </m:sSup>
            </m:oMath>
            <w:r>
              <w:rPr>
                <w:rFonts w:cs="Times New Roman" w:eastAsiaTheme="minorEastAsia"/>
              </w:rPr>
              <w:t>。</w:t>
            </w:r>
            <m:oMath>
              <m:sSup>
                <m:sSupPr>
                  <m:ctrlPr>
                    <w:rPr>
                      <w:rFonts w:ascii="Cambria Math" w:hAnsi="Cambria Math" w:cs="Times New Roman" w:eastAsiaTheme="minorEastAsia"/>
                      <w:i/>
                      <w:vertAlign w:val="subscript"/>
                      <w:lang w:val="de-DE"/>
                    </w:rPr>
                  </m:ctrlPr>
                </m:sSupPr>
                <m:e>
                  <m:r>
                    <m:rPr/>
                    <w:rPr>
                      <w:rFonts w:ascii="Cambria Math" w:hAnsi="Cambria Math" w:cs="Times New Roman" w:eastAsiaTheme="minorEastAsia"/>
                      <w:vertAlign w:val="subscript"/>
                      <w:lang w:val="de-DE"/>
                    </w:rPr>
                    <m:t>φ</m:t>
                  </m:r>
                  <m:ctrlPr>
                    <w:rPr>
                      <w:rFonts w:ascii="Cambria Math" w:hAnsi="Cambria Math" w:cs="Times New Roman" w:eastAsiaTheme="minorEastAsia"/>
                      <w:i/>
                      <w:vertAlign w:val="subscript"/>
                      <w:lang w:val="de-DE"/>
                    </w:rPr>
                  </m:ctrlPr>
                </m:e>
                <m:sup>
                  <m:r>
                    <m:rPr/>
                    <w:rPr>
                      <w:rFonts w:ascii="Cambria Math" w:hAnsi="Cambria Math" w:cs="Times New Roman" w:eastAsiaTheme="minorEastAsia"/>
                      <w:vertAlign w:val="subscript"/>
                      <w:lang w:val="de-DE"/>
                    </w:rPr>
                    <m:t>'</m:t>
                  </m:r>
                  <m:ctrlPr>
                    <w:rPr>
                      <w:rFonts w:ascii="Cambria Math" w:hAnsi="Cambria Math" w:cs="Times New Roman" w:eastAsiaTheme="minorEastAsia"/>
                      <w:i/>
                      <w:vertAlign w:val="subscript"/>
                      <w:lang w:val="de-DE"/>
                    </w:rPr>
                  </m:ctrlPr>
                </m:sup>
              </m:sSup>
            </m:oMath>
            <w:r>
              <w:rPr>
                <w:rFonts w:cs="Times New Roman" w:eastAsiaTheme="minorEastAsia"/>
              </w:rPr>
              <w:t>为坑外岩土体的内摩擦角）</w:t>
            </w:r>
          </w:p>
        </w:tc>
      </w:tr>
    </w:tbl>
    <w:p w14:paraId="20229517">
      <w:pPr>
        <w:rPr>
          <w:rFonts w:eastAsia="楷体" w:cs="Times New Roman"/>
          <w:spacing w:val="2"/>
          <w:u w:val="single"/>
        </w:rPr>
      </w:pPr>
      <w:r>
        <w:rPr>
          <w:rFonts w:eastAsia="楷体" w:cs="Times New Roman"/>
          <w:spacing w:val="2"/>
          <w:u w:val="single"/>
        </w:rPr>
        <w:t>【条文说明】支护结构前预留土台、回填土方、堆砌砂包等施加反压的方法是基坑施工或使用过程中处理支护结构变形过大或破坏失稳时常用的应对策略。对于支护结构前放坡临时土台的分析计算方法大致可分为四类：</w:t>
      </w:r>
      <w:r>
        <w:rPr>
          <w:rFonts w:ascii="Cambria Math" w:hAnsi="Cambria Math" w:eastAsia="楷体" w:cs="Cambria Math"/>
          <w:spacing w:val="2"/>
          <w:u w:val="single"/>
        </w:rPr>
        <w:t>①</w:t>
      </w:r>
      <w:bookmarkStart w:id="46" w:name="OLE_LINK5"/>
      <w:r>
        <w:rPr>
          <w:rFonts w:eastAsia="楷体" w:cs="Times New Roman"/>
          <w:spacing w:val="2"/>
          <w:u w:val="single"/>
        </w:rPr>
        <w:t>支护结构前附加荷载法</w:t>
      </w:r>
      <w:bookmarkEnd w:id="46"/>
      <w:r>
        <w:rPr>
          <w:rFonts w:eastAsia="楷体" w:cs="Times New Roman"/>
          <w:spacing w:val="2"/>
          <w:u w:val="single"/>
        </w:rPr>
        <w:t>；</w:t>
      </w:r>
      <w:r>
        <w:rPr>
          <w:rFonts w:ascii="Cambria Math" w:hAnsi="Cambria Math" w:eastAsia="楷体" w:cs="Cambria Math"/>
          <w:spacing w:val="2"/>
          <w:u w:val="single"/>
        </w:rPr>
        <w:t>②</w:t>
      </w:r>
      <w:r>
        <w:rPr>
          <w:rFonts w:eastAsia="楷体" w:cs="Times New Roman"/>
          <w:spacing w:val="2"/>
          <w:u w:val="single"/>
        </w:rPr>
        <w:t>Boussinesq附加应力近似法；</w:t>
      </w:r>
      <w:r>
        <w:rPr>
          <w:rFonts w:ascii="Cambria Math" w:hAnsi="Cambria Math" w:eastAsia="楷体" w:cs="Cambria Math"/>
          <w:spacing w:val="2"/>
          <w:u w:val="single"/>
        </w:rPr>
        <w:t>③</w:t>
      </w:r>
      <w:r>
        <w:rPr>
          <w:rFonts w:eastAsia="楷体" w:cs="Times New Roman"/>
          <w:spacing w:val="2"/>
          <w:u w:val="single"/>
        </w:rPr>
        <w:t>改进的弹性地基梁法；</w:t>
      </w:r>
      <w:r>
        <w:rPr>
          <w:rFonts w:ascii="Cambria Math" w:hAnsi="Cambria Math" w:eastAsia="楷体" w:cs="Cambria Math"/>
          <w:spacing w:val="2"/>
          <w:u w:val="single"/>
        </w:rPr>
        <w:t>④</w:t>
      </w:r>
      <w:r>
        <w:rPr>
          <w:rFonts w:eastAsia="楷体" w:cs="Times New Roman"/>
          <w:spacing w:val="2"/>
          <w:u w:val="single"/>
        </w:rPr>
        <w:t>整体有限元协同分析法。本计算公式是根据极限平衡理论推导出来的。</w:t>
      </w:r>
    </w:p>
    <w:p w14:paraId="3C2C418E">
      <w:pPr>
        <w:rPr>
          <w:rFonts w:cs="Times New Roman" w:eastAsiaTheme="minorEastAsia"/>
        </w:rPr>
      </w:pPr>
      <w:r>
        <w:rPr>
          <w:rFonts w:cs="Times New Roman" w:eastAsiaTheme="minorEastAsia"/>
          <w:b/>
        </w:rPr>
        <w:t>5.2.</w:t>
      </w:r>
      <w:r>
        <w:rPr>
          <w:rFonts w:hint="eastAsia" w:cs="Times New Roman" w:eastAsiaTheme="minorEastAsia"/>
          <w:b/>
        </w:rPr>
        <w:t>8</w:t>
      </w:r>
      <w:r>
        <w:rPr>
          <w:rFonts w:cs="Times New Roman" w:eastAsiaTheme="minorEastAsia"/>
          <w:b/>
          <w:bCs/>
        </w:rPr>
        <w:t xml:space="preserve"> </w:t>
      </w:r>
      <w:r>
        <w:rPr>
          <w:rFonts w:cs="Times New Roman" w:eastAsiaTheme="minorEastAsia"/>
        </w:rPr>
        <w:t>微型桩和钢板桩的受力变形验算应符合下列规定：</w:t>
      </w:r>
    </w:p>
    <w:p w14:paraId="6CEFFEB2">
      <w:pPr>
        <w:ind w:firstLine="360" w:firstLineChars="150"/>
        <w:rPr>
          <w:rFonts w:cs="Times New Roman" w:eastAsiaTheme="minorEastAsia"/>
          <w:b w:val="0"/>
          <w:bCs/>
        </w:rPr>
      </w:pPr>
      <w:bookmarkStart w:id="47" w:name="OLE_LINK26"/>
      <w:r>
        <w:rPr>
          <w:rFonts w:cs="Times New Roman" w:eastAsiaTheme="minorEastAsia"/>
          <w:b w:val="0"/>
          <w:bCs/>
        </w:rPr>
        <w:t>1  锚拉式钢板桩可将整个结构分解为钢板桩和锚拉结构分别进行分析；钢板桩宜采用平面杆系结构弹性支点法进行分析；作用在锚拉结构上的荷载应取钢板桩分析时得出的支点力；</w:t>
      </w:r>
    </w:p>
    <w:bookmarkEnd w:id="47"/>
    <w:p w14:paraId="4F639F32">
      <w:pPr>
        <w:ind w:firstLine="360" w:firstLineChars="150"/>
        <w:rPr>
          <w:rFonts w:cs="Times New Roman" w:eastAsiaTheme="minorEastAsia"/>
          <w:b w:val="0"/>
          <w:bCs/>
        </w:rPr>
      </w:pPr>
      <w:r>
        <w:rPr>
          <w:rFonts w:cs="Times New Roman" w:eastAsiaTheme="minorEastAsia"/>
          <w:b w:val="0"/>
          <w:bCs/>
        </w:rPr>
        <w:t>2  支撑式钢板桩可将整个结构分解为钢板桩、内支撑结构分别进行分析；钢板桩宜采用平面杆系结构弹性支点法进行分析；内支撑结构可按平面结构进行分析，钢板桩传至内支撑的荷载应取钢板桩分析时得出的支点力；对钢板桩和内支撑结构分别进行分析时，应考虑其相互之间的变形协调；</w:t>
      </w:r>
    </w:p>
    <w:p w14:paraId="4E0AE468">
      <w:pPr>
        <w:ind w:firstLine="360" w:firstLineChars="150"/>
        <w:rPr>
          <w:rFonts w:cs="Times New Roman" w:eastAsiaTheme="minorEastAsia"/>
          <w:b w:val="0"/>
          <w:bCs/>
        </w:rPr>
      </w:pPr>
      <w:r>
        <w:rPr>
          <w:rFonts w:cs="Times New Roman" w:eastAsiaTheme="minorEastAsia"/>
          <w:b w:val="0"/>
          <w:bCs/>
        </w:rPr>
        <w:t>3  悬臂式钢板桩、双排钢板宜采用平面杆系结构弹性支点法进行结构分析；</w:t>
      </w:r>
    </w:p>
    <w:p w14:paraId="62339860">
      <w:pPr>
        <w:ind w:firstLine="360" w:firstLineChars="150"/>
        <w:rPr>
          <w:rFonts w:cs="Times New Roman" w:eastAsiaTheme="minorEastAsia"/>
          <w:b w:val="0"/>
          <w:bCs/>
        </w:rPr>
      </w:pPr>
      <w:r>
        <w:rPr>
          <w:rFonts w:cs="Times New Roman" w:eastAsiaTheme="minorEastAsia"/>
          <w:b w:val="0"/>
          <w:bCs/>
        </w:rPr>
        <w:t>4  多排注浆钢管桩宜采用平面钢架计算、基于桩土相互作用弹塑性模型以及等效刚度法等相结合的多种方法进行验算；</w:t>
      </w:r>
    </w:p>
    <w:p w14:paraId="0CA1063A">
      <w:pPr>
        <w:ind w:firstLine="360" w:firstLineChars="150"/>
        <w:rPr>
          <w:rFonts w:cs="Times New Roman" w:eastAsiaTheme="minorEastAsia"/>
          <w:b w:val="0"/>
          <w:bCs/>
        </w:rPr>
      </w:pPr>
      <w:r>
        <w:rPr>
          <w:rFonts w:cs="Times New Roman" w:eastAsiaTheme="minorEastAsia"/>
          <w:b w:val="0"/>
          <w:bCs/>
        </w:rPr>
        <w:t>5  当有可靠经验时，可采用空间结构分析方法对</w:t>
      </w:r>
      <w:bookmarkStart w:id="48" w:name="OLE_LINK41"/>
      <w:r>
        <w:rPr>
          <w:rFonts w:cs="Times New Roman" w:eastAsiaTheme="minorEastAsia"/>
          <w:b w:val="0"/>
          <w:bCs/>
        </w:rPr>
        <w:t>钢板桩或微型桩</w:t>
      </w:r>
      <w:bookmarkEnd w:id="48"/>
      <w:r>
        <w:rPr>
          <w:rFonts w:cs="Times New Roman" w:eastAsiaTheme="minorEastAsia"/>
          <w:b w:val="0"/>
          <w:bCs/>
        </w:rPr>
        <w:t>进行整体分析或采用数值分析方法对其与土体进行整体分析。</w:t>
      </w:r>
    </w:p>
    <w:p w14:paraId="50C82E0A">
      <w:pPr>
        <w:rPr>
          <w:rFonts w:eastAsia="楷体" w:cs="Times New Roman"/>
          <w:u w:val="single"/>
        </w:rPr>
      </w:pPr>
      <w:r>
        <w:rPr>
          <w:rFonts w:eastAsia="楷体" w:cs="Times New Roman"/>
          <w:u w:val="single"/>
        </w:rPr>
        <w:t>【条文说明】本条第4款，多排注浆钢管桩的理论研究是落后于工程实践的，理论计算方法有很多，目前常采用的计算方法是通过设置不同的假定边界条件并进行不同程度的简化得出。主要计算方法包括平面钢架计算方法、基于桩土相互作用弹塑性p-y、t-z模型的计算方法以及数值仿真法，但是以上方法计算模型和计算量比较大，简便且易于操作的方法可采用基于刚度等效的承载力验算方法（图1），等效刚度是指结构等效前后刚度保持不变，使其在等效前后具有同等的抗弯性能。将多排注浆钢管桩等效为单排大直径桩，然后可采用目前市面上的计算软件(如理正岩土计算软件)进行反复试算，调整钢管桩截面型式及尺寸参数，最后得出满足具体工程要求的内力及变形计算结果。</w:t>
      </w:r>
    </w:p>
    <w:p w14:paraId="62A89EE3">
      <w:pPr>
        <w:rPr>
          <w:rFonts w:eastAsia="楷体" w:cs="Times New Roman"/>
          <w:u w:val="single"/>
        </w:rPr>
      </w:pPr>
      <w:r>
        <w:rPr>
          <w:rFonts w:eastAsia="楷体" w:cs="Times New Roman"/>
          <w:u w:val="single"/>
        </w:rPr>
        <w:t>如式（1）</w:t>
      </w:r>
      <w:r>
        <w:rPr>
          <w:rFonts w:cs="Times New Roman"/>
          <w:u w:val="single"/>
        </w:rPr>
        <w:t>～</w:t>
      </w:r>
      <w:r>
        <w:rPr>
          <w:rFonts w:eastAsia="楷体" w:cs="Times New Roman"/>
          <w:u w:val="single"/>
        </w:rPr>
        <w:t>（3）所示。</w:t>
      </w:r>
    </w:p>
    <w:p w14:paraId="4C157FEC">
      <w:pPr>
        <w:jc w:val="center"/>
        <w:rPr>
          <w:rFonts w:eastAsia="楷体" w:cs="Times New Roman"/>
          <w:u w:val="single"/>
        </w:rPr>
      </w:pPr>
      <w:r>
        <w:rPr>
          <w:rFonts w:cs="Times New Roman"/>
        </w:rPr>
        <w:drawing>
          <wp:inline distT="0" distB="0" distL="0" distR="0">
            <wp:extent cx="2495550" cy="1347470"/>
            <wp:effectExtent l="0" t="0" r="0" b="5080"/>
            <wp:docPr id="12239745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74511" name="图片 1"/>
                    <pic:cNvPicPr>
                      <a:picLocks noChangeAspect="1"/>
                    </pic:cNvPicPr>
                  </pic:nvPicPr>
                  <pic:blipFill>
                    <a:blip r:embed="rId9">
                      <a:extLst>
                        <a:ext uri="{28A0092B-C50C-407E-A947-70E740481C1C}">
                          <a14:useLocalDpi xmlns:a14="http://schemas.microsoft.com/office/drawing/2010/main" val="0"/>
                        </a:ext>
                      </a:extLst>
                    </a:blip>
                    <a:srcRect b="13622"/>
                    <a:stretch>
                      <a:fillRect/>
                    </a:stretch>
                  </pic:blipFill>
                  <pic:spPr>
                    <a:xfrm>
                      <a:off x="0" y="0"/>
                      <a:ext cx="2510087" cy="1355106"/>
                    </a:xfrm>
                    <a:prstGeom prst="rect">
                      <a:avLst/>
                    </a:prstGeom>
                    <a:ln>
                      <a:noFill/>
                    </a:ln>
                  </pic:spPr>
                </pic:pic>
              </a:graphicData>
            </a:graphic>
          </wp:inline>
        </w:drawing>
      </w:r>
    </w:p>
    <w:p w14:paraId="2D3BA4D1">
      <w:pPr>
        <w:jc w:val="center"/>
        <w:rPr>
          <w:rFonts w:eastAsia="楷体" w:cs="Times New Roman"/>
          <w:szCs w:val="21"/>
          <w:u w:val="single"/>
        </w:rPr>
      </w:pPr>
      <w:r>
        <w:rPr>
          <w:rFonts w:hint="eastAsia" w:eastAsia="楷体" w:cs="Times New Roman"/>
          <w:szCs w:val="21"/>
          <w:u w:val="single"/>
        </w:rPr>
        <w:t>（a）多排原始桩     （b）单排等效桩</w:t>
      </w:r>
    </w:p>
    <w:p w14:paraId="6FD94FB5">
      <w:pPr>
        <w:jc w:val="center"/>
        <w:rPr>
          <w:rFonts w:eastAsia="楷体" w:cs="Times New Roman"/>
          <w:u w:val="single"/>
        </w:rPr>
      </w:pPr>
      <w:r>
        <w:rPr>
          <w:rFonts w:eastAsia="楷体" w:cs="Times New Roman"/>
          <w:u w:val="single"/>
        </w:rPr>
        <w:t>图1  等刚度替换示意图</w:t>
      </w:r>
    </w:p>
    <w:p w14:paraId="0E2616EA">
      <w:pPr>
        <w:jc w:val="center"/>
        <w:rPr>
          <w:rFonts w:eastAsia="楷体" w:cs="Times New Roman"/>
          <w:u w:val="single"/>
        </w:rPr>
      </w:pPr>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E</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1</m:t>
            </m:r>
            <m:ctrlPr>
              <w:rPr>
                <w:rFonts w:ascii="Cambria Math" w:hAnsi="Cambria Math" w:cs="Times New Roman" w:eastAsiaTheme="minorEastAsia"/>
                <w:i/>
                <w:vertAlign w:val="subscript"/>
                <w:lang w:val="de-DE"/>
              </w:rPr>
            </m:ctrlPr>
          </m:sub>
        </m:sSub>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I</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1</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E</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2</m:t>
            </m:r>
            <m:ctrlPr>
              <w:rPr>
                <w:rFonts w:ascii="Cambria Math" w:hAnsi="Cambria Math" w:cs="Times New Roman" w:eastAsiaTheme="minorEastAsia"/>
                <w:i/>
                <w:vertAlign w:val="subscript"/>
                <w:lang w:val="de-DE"/>
              </w:rPr>
            </m:ctrlPr>
          </m:sub>
        </m:sSub>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I</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2</m:t>
            </m:r>
            <m:ctrlPr>
              <w:rPr>
                <w:rFonts w:ascii="Cambria Math" w:hAnsi="Cambria Math" w:cs="Times New Roman" w:eastAsiaTheme="minorEastAsia"/>
                <w:i/>
                <w:vertAlign w:val="subscript"/>
                <w:lang w:val="de-DE"/>
              </w:rPr>
            </m:ctrlPr>
          </m:sub>
        </m:sSub>
      </m:oMath>
      <w:r>
        <w:rPr>
          <w:rFonts w:hint="eastAsia" w:eastAsia="楷体" w:cs="Times New Roman"/>
          <w:u w:val="single"/>
        </w:rPr>
        <w:t xml:space="preserve">   式（1）</w:t>
      </w:r>
    </w:p>
    <w:p w14:paraId="54F2ADF8">
      <w:pPr>
        <w:jc w:val="center"/>
        <w:rPr>
          <w:rFonts w:eastAsia="楷体" w:cs="Times New Roman"/>
          <w:u w:val="single"/>
        </w:rPr>
      </w:pPr>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I</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2</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f>
          <m:fPr>
            <m:ctrlPr>
              <w:rPr>
                <w:rFonts w:ascii="Cambria Math" w:hAnsi="Cambria Math" w:cs="Times New Roman" w:eastAsiaTheme="minorEastAsia"/>
                <w:i/>
                <w:vertAlign w:val="subscript"/>
                <w:lang w:val="de-DE"/>
              </w:rPr>
            </m:ctrlPr>
          </m:fPr>
          <m:num>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E</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1</m:t>
                </m:r>
                <m:ctrlPr>
                  <w:rPr>
                    <w:rFonts w:ascii="Cambria Math" w:hAnsi="Cambria Math" w:cs="Times New Roman" w:eastAsiaTheme="minorEastAsia"/>
                    <w:i/>
                    <w:vertAlign w:val="subscript"/>
                    <w:lang w:val="de-DE"/>
                  </w:rPr>
                </m:ctrlPr>
              </m:sub>
            </m:sSub>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I</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1</m:t>
                </m:r>
                <m:ctrlPr>
                  <w:rPr>
                    <w:rFonts w:ascii="Cambria Math" w:hAnsi="Cambria Math" w:cs="Times New Roman" w:eastAsiaTheme="minorEastAsia"/>
                    <w:i/>
                    <w:vertAlign w:val="subscript"/>
                    <w:lang w:val="de-DE"/>
                  </w:rPr>
                </m:ctrlPr>
              </m:sub>
            </m:sSub>
            <m:ctrlPr>
              <w:rPr>
                <w:rFonts w:ascii="Cambria Math" w:hAnsi="Cambria Math" w:cs="Times New Roman" w:eastAsiaTheme="minorEastAsia"/>
                <w:i/>
                <w:vertAlign w:val="subscript"/>
                <w:lang w:val="de-DE"/>
              </w:rPr>
            </m:ctrlPr>
          </m:num>
          <m:den>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E</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2</m:t>
                </m:r>
                <m:ctrlPr>
                  <w:rPr>
                    <w:rFonts w:ascii="Cambria Math" w:hAnsi="Cambria Math" w:cs="Times New Roman" w:eastAsiaTheme="minorEastAsia"/>
                    <w:i/>
                    <w:vertAlign w:val="subscript"/>
                    <w:lang w:val="de-DE"/>
                  </w:rPr>
                </m:ctrlPr>
              </m:sub>
            </m:sSub>
            <m:ctrlPr>
              <w:rPr>
                <w:rFonts w:ascii="Cambria Math" w:hAnsi="Cambria Math" w:cs="Times New Roman" w:eastAsiaTheme="minorEastAsia"/>
                <w:i/>
                <w:vertAlign w:val="subscript"/>
                <w:lang w:val="de-DE"/>
              </w:rPr>
            </m:ctrlPr>
          </m:den>
        </m:f>
      </m:oMath>
      <w:r>
        <w:rPr>
          <w:rFonts w:hint="eastAsia" w:eastAsia="楷体" w:cs="Times New Roman"/>
          <w:u w:val="single"/>
        </w:rPr>
        <w:t xml:space="preserve">   式（2）</w:t>
      </w:r>
    </w:p>
    <w:p w14:paraId="0E7ECE41">
      <w:pPr>
        <w:jc w:val="center"/>
        <w:rPr>
          <w:rFonts w:eastAsia="楷体" w:cs="Times New Roman"/>
          <w:u w:val="single"/>
        </w:rPr>
      </w:pPr>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I</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1</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=n</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I</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0</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+k</m:t>
        </m:r>
        <m:sSup>
          <m:sSupPr>
            <m:ctrlPr>
              <w:rPr>
                <w:rFonts w:ascii="Cambria Math" w:hAnsi="Cambria Math" w:cs="Times New Roman" w:eastAsiaTheme="minorEastAsia"/>
                <w:i/>
                <w:vertAlign w:val="subscript"/>
                <w:lang w:val="de-DE"/>
              </w:rPr>
            </m:ctrlPr>
          </m:sSupPr>
          <m:e>
            <m:r>
              <m:rPr/>
              <w:rPr>
                <w:rFonts w:ascii="Cambria Math" w:hAnsi="Cambria Math" w:cs="Times New Roman" w:eastAsiaTheme="minorEastAsia"/>
                <w:vertAlign w:val="subscript"/>
                <w:lang w:val="de-DE"/>
              </w:rPr>
              <m:t>α</m:t>
            </m:r>
            <m:ctrlPr>
              <w:rPr>
                <w:rFonts w:ascii="Cambria Math" w:hAnsi="Cambria Math" w:cs="Times New Roman" w:eastAsiaTheme="minorEastAsia"/>
                <w:i/>
                <w:vertAlign w:val="subscript"/>
                <w:lang w:val="de-DE"/>
              </w:rPr>
            </m:ctrlPr>
          </m:e>
          <m:sup>
            <m:r>
              <m:rPr/>
              <w:rPr>
                <w:rFonts w:ascii="Cambria Math" w:hAnsi="Cambria Math" w:cs="Times New Roman" w:eastAsiaTheme="minorEastAsia"/>
                <w:vertAlign w:val="subscript"/>
                <w:lang w:val="de-DE"/>
              </w:rPr>
              <m:t>2</m:t>
            </m:r>
            <m:ctrlPr>
              <w:rPr>
                <w:rFonts w:ascii="Cambria Math" w:hAnsi="Cambria Math" w:cs="Times New Roman" w:eastAsiaTheme="minorEastAsia"/>
                <w:i/>
                <w:vertAlign w:val="subscript"/>
                <w:lang w:val="de-DE"/>
              </w:rPr>
            </m:ctrlPr>
          </m:sup>
        </m:sSup>
        <m:r>
          <m:rPr/>
          <w:rPr>
            <w:rFonts w:ascii="Cambria Math" w:hAnsi="Cambria Math" w:cs="Times New Roman" w:eastAsiaTheme="minorEastAsia"/>
            <w:vertAlign w:val="subscript"/>
            <w:lang w:val="de-DE"/>
          </w:rPr>
          <m:t>A</m:t>
        </m:r>
      </m:oMath>
      <w:r>
        <w:rPr>
          <w:rFonts w:hint="eastAsia" w:eastAsia="楷体" w:cs="Times New Roman"/>
          <w:u w:val="single"/>
        </w:rPr>
        <w:t xml:space="preserve">   式（3）</w:t>
      </w:r>
    </w:p>
    <w:p w14:paraId="6B47A185">
      <w:pPr>
        <w:ind w:firstLine="480" w:firstLineChars="200"/>
        <w:rPr>
          <w:rFonts w:eastAsia="楷体" w:cs="Times New Roman"/>
          <w:u w:val="single"/>
        </w:rPr>
      </w:pPr>
      <w:r>
        <w:rPr>
          <w:rFonts w:eastAsia="楷体" w:cs="Times New Roman"/>
          <w:u w:val="single"/>
        </w:rPr>
        <w:t>式中：</w:t>
      </w:r>
      <w:r>
        <w:rPr>
          <w:rFonts w:eastAsia="楷体" w:cs="Times New Roman"/>
          <w:i/>
          <w:iCs/>
          <w:u w:val="single"/>
        </w:rPr>
        <w:t>E</w:t>
      </w:r>
      <w:r>
        <w:rPr>
          <w:rFonts w:eastAsia="楷体" w:cs="Times New Roman"/>
          <w:u w:val="single"/>
          <w:vertAlign w:val="subscript"/>
        </w:rPr>
        <w:t>1</w:t>
      </w:r>
      <w:r>
        <w:rPr>
          <w:rFonts w:eastAsia="楷体" w:cs="Times New Roman"/>
          <w:i/>
          <w:iCs/>
          <w:u w:val="single"/>
        </w:rPr>
        <w:t>I</w:t>
      </w:r>
      <w:r>
        <w:rPr>
          <w:rFonts w:eastAsia="楷体" w:cs="Times New Roman"/>
          <w:u w:val="single"/>
          <w:vertAlign w:val="subscript"/>
        </w:rPr>
        <w:t>1</w:t>
      </w:r>
      <w:r>
        <w:rPr>
          <w:rFonts w:eastAsia="楷体" w:cs="Times New Roman"/>
          <w:u w:val="single"/>
        </w:rPr>
        <w:t>为原始钢管桩抗弯刚度/MN·m2；</w:t>
      </w:r>
      <w:r>
        <w:rPr>
          <w:rFonts w:eastAsia="楷体" w:cs="Times New Roman"/>
          <w:i/>
          <w:iCs/>
          <w:u w:val="single"/>
        </w:rPr>
        <w:t>E</w:t>
      </w:r>
      <w:r>
        <w:rPr>
          <w:rFonts w:eastAsia="楷体" w:cs="Times New Roman"/>
          <w:u w:val="single"/>
          <w:vertAlign w:val="subscript"/>
        </w:rPr>
        <w:t>2</w:t>
      </w:r>
      <w:r>
        <w:rPr>
          <w:rFonts w:eastAsia="楷体" w:cs="Times New Roman"/>
          <w:i/>
          <w:iCs/>
          <w:u w:val="single"/>
        </w:rPr>
        <w:t>I</w:t>
      </w:r>
      <w:r>
        <w:rPr>
          <w:rFonts w:eastAsia="楷体" w:cs="Times New Roman"/>
          <w:u w:val="single"/>
          <w:vertAlign w:val="subscript"/>
        </w:rPr>
        <w:t>2</w:t>
      </w:r>
      <w:r>
        <w:rPr>
          <w:rFonts w:eastAsia="楷体" w:cs="Times New Roman"/>
          <w:u w:val="single"/>
        </w:rPr>
        <w:t>为等效单桩抗弯刚度/MN·m2；α为排距/m；A为钢管桩截面面积/m</w:t>
      </w:r>
      <w:r>
        <w:rPr>
          <w:rFonts w:eastAsia="楷体" w:cs="Times New Roman"/>
          <w:u w:val="single"/>
          <w:vertAlign w:val="superscript"/>
        </w:rPr>
        <w:t>2</w:t>
      </w:r>
      <w:r>
        <w:rPr>
          <w:rFonts w:eastAsia="楷体" w:cs="Times New Roman"/>
          <w:u w:val="single"/>
        </w:rPr>
        <w:t>；</w:t>
      </w:r>
      <w:r>
        <w:rPr>
          <w:rFonts w:eastAsia="楷体" w:cs="Times New Roman"/>
          <w:i/>
          <w:iCs/>
          <w:u w:val="single"/>
        </w:rPr>
        <w:t>I</w:t>
      </w:r>
      <w:r>
        <w:rPr>
          <w:rFonts w:eastAsia="楷体" w:cs="Times New Roman"/>
          <w:u w:val="single"/>
          <w:vertAlign w:val="subscript"/>
        </w:rPr>
        <w:t>1</w:t>
      </w:r>
      <w:r>
        <w:rPr>
          <w:rFonts w:eastAsia="楷体" w:cs="Times New Roman"/>
          <w:u w:val="single"/>
        </w:rPr>
        <w:t>为原始钢管桩关于对称轴是χ的惯性矩/m</w:t>
      </w:r>
      <w:r>
        <w:rPr>
          <w:rFonts w:eastAsia="楷体" w:cs="Times New Roman"/>
          <w:u w:val="single"/>
          <w:vertAlign w:val="superscript"/>
        </w:rPr>
        <w:t>4</w:t>
      </w:r>
      <w:r>
        <w:rPr>
          <w:rFonts w:eastAsia="楷体" w:cs="Times New Roman"/>
          <w:u w:val="single"/>
        </w:rPr>
        <w:t>；</w:t>
      </w:r>
      <w:r>
        <w:rPr>
          <w:rFonts w:eastAsia="楷体" w:cs="Times New Roman"/>
          <w:i/>
          <w:iCs/>
        </w:rPr>
        <w:t>n</w:t>
      </w:r>
      <w:r>
        <w:rPr>
          <w:rFonts w:eastAsia="楷体" w:cs="Times New Roman"/>
          <w:u w:val="single"/>
        </w:rPr>
        <w:t>为原始钢管桩排数；</w:t>
      </w:r>
      <w:r>
        <w:rPr>
          <w:rFonts w:eastAsia="楷体" w:cs="Times New Roman"/>
          <w:i/>
          <w:iCs/>
          <w:u w:val="single"/>
        </w:rPr>
        <w:t>k</w:t>
      </w:r>
      <w:r>
        <w:rPr>
          <w:rFonts w:eastAsia="楷体" w:cs="Times New Roman"/>
          <w:u w:val="single"/>
        </w:rPr>
        <w:t>为惯性矩相关参数。</w:t>
      </w:r>
    </w:p>
    <w:p w14:paraId="09BCF248">
      <w:pPr>
        <w:ind w:firstLine="480" w:firstLineChars="200"/>
        <w:rPr>
          <w:rFonts w:eastAsia="楷体" w:cs="Times New Roman"/>
          <w:u w:val="single"/>
        </w:rPr>
      </w:pPr>
      <w:r>
        <w:rPr>
          <w:rFonts w:eastAsia="楷体" w:cs="Times New Roman"/>
          <w:u w:val="single"/>
        </w:rPr>
        <w:t>等效前后的钢管桩的作用范围不变，即支挡范围保持不变，如图2所示，</w:t>
      </w:r>
      <w:r>
        <w:rPr>
          <w:rFonts w:eastAsia="楷体" w:cs="Times New Roman"/>
          <w:i/>
          <w:iCs/>
          <w:u w:val="single"/>
        </w:rPr>
        <w:t>L</w:t>
      </w:r>
      <w:r>
        <w:rPr>
          <w:rFonts w:eastAsia="楷体" w:cs="Times New Roman"/>
          <w:u w:val="single"/>
          <w:vertAlign w:val="subscript"/>
        </w:rPr>
        <w:t>1</w:t>
      </w:r>
      <w:r>
        <w:rPr>
          <w:rFonts w:eastAsia="楷体" w:cs="Times New Roman"/>
          <w:u w:val="single"/>
        </w:rPr>
        <w:t>=</w:t>
      </w:r>
      <w:r>
        <w:rPr>
          <w:rFonts w:eastAsia="楷体" w:cs="Times New Roman"/>
          <w:i/>
          <w:iCs/>
          <w:u w:val="single"/>
        </w:rPr>
        <w:t>L</w:t>
      </w:r>
      <w:r>
        <w:rPr>
          <w:rFonts w:eastAsia="楷体" w:cs="Times New Roman"/>
          <w:u w:val="single"/>
          <w:vertAlign w:val="subscript"/>
        </w:rPr>
        <w:t>2</w:t>
      </w:r>
      <w:r>
        <w:rPr>
          <w:rFonts w:eastAsia="楷体" w:cs="Times New Roman"/>
          <w:u w:val="single"/>
        </w:rPr>
        <w:t>，其中</w:t>
      </w:r>
      <w:r>
        <w:rPr>
          <w:rFonts w:eastAsia="楷体" w:cs="Times New Roman"/>
          <w:i/>
          <w:iCs/>
          <w:u w:val="single"/>
        </w:rPr>
        <w:t>L</w:t>
      </w:r>
      <w:r>
        <w:rPr>
          <w:rFonts w:eastAsia="楷体" w:cs="Times New Roman"/>
          <w:u w:val="single"/>
          <w:vertAlign w:val="subscript"/>
        </w:rPr>
        <w:t>1</w:t>
      </w:r>
      <w:r>
        <w:rPr>
          <w:rFonts w:eastAsia="楷体" w:cs="Times New Roman"/>
          <w:u w:val="single"/>
        </w:rPr>
        <w:t>为原始钢管桩长度范围；</w:t>
      </w:r>
      <w:r>
        <w:rPr>
          <w:rFonts w:eastAsia="楷体" w:cs="Times New Roman"/>
          <w:i/>
          <w:iCs/>
        </w:rPr>
        <w:t>L</w:t>
      </w:r>
      <w:r>
        <w:rPr>
          <w:rFonts w:eastAsia="楷体" w:cs="Times New Roman"/>
          <w:u w:val="single"/>
          <w:vertAlign w:val="subscript"/>
        </w:rPr>
        <w:t>2</w:t>
      </w:r>
      <w:r>
        <w:rPr>
          <w:rFonts w:eastAsia="楷体" w:cs="Times New Roman"/>
          <w:u w:val="single"/>
        </w:rPr>
        <w:t>为等效桩长度范围。</w:t>
      </w:r>
    </w:p>
    <w:p w14:paraId="055F616B">
      <w:pPr>
        <w:ind w:firstLine="480" w:firstLineChars="200"/>
        <w:jc w:val="center"/>
        <w:rPr>
          <w:rFonts w:eastAsia="楷体" w:cs="Times New Roman"/>
          <w:u w:val="single"/>
        </w:rPr>
      </w:pPr>
      <w:r>
        <w:rPr>
          <w:rFonts w:cs="Times New Roman"/>
        </w:rPr>
        <w:drawing>
          <wp:inline distT="0" distB="0" distL="0" distR="0">
            <wp:extent cx="1773555" cy="1702435"/>
            <wp:effectExtent l="0" t="0" r="0" b="0"/>
            <wp:docPr id="1557107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07957"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784447" cy="1713069"/>
                    </a:xfrm>
                    <a:prstGeom prst="rect">
                      <a:avLst/>
                    </a:prstGeom>
                  </pic:spPr>
                </pic:pic>
              </a:graphicData>
            </a:graphic>
          </wp:inline>
        </w:drawing>
      </w:r>
    </w:p>
    <w:p w14:paraId="48281CE8">
      <w:pPr>
        <w:ind w:firstLine="480" w:firstLineChars="200"/>
        <w:jc w:val="center"/>
        <w:rPr>
          <w:rFonts w:eastAsia="楷体" w:cs="Times New Roman"/>
          <w:u w:val="single"/>
        </w:rPr>
      </w:pPr>
      <w:r>
        <w:rPr>
          <w:rFonts w:eastAsia="楷体" w:cs="Times New Roman"/>
          <w:u w:val="single"/>
        </w:rPr>
        <w:t>图2  等效后钢管桩示意图</w:t>
      </w:r>
    </w:p>
    <w:p w14:paraId="15E13DCD">
      <w:pPr>
        <w:ind w:firstLine="480" w:firstLineChars="200"/>
        <w:rPr>
          <w:rFonts w:cs="Times New Roman" w:eastAsiaTheme="minorEastAsia"/>
          <w:b/>
        </w:rPr>
      </w:pPr>
      <w:r>
        <w:rPr>
          <w:rFonts w:eastAsia="楷体" w:cs="Times New Roman"/>
          <w:u w:val="single"/>
        </w:rPr>
        <w:t>但是以上方法存在一些缺陷，比如设置的边界条件偏于理想工况，与工程实际差异较大；未考虑桩间土的约束及荷载传递规律，当地层变化较大时，计算结果可能误差较大。所以应结合当地经验通过多种计算理论相互复核验算。</w:t>
      </w:r>
    </w:p>
    <w:p w14:paraId="688F7138">
      <w:pPr>
        <w:rPr>
          <w:rFonts w:cs="Times New Roman" w:eastAsiaTheme="minorEastAsia"/>
        </w:rPr>
      </w:pPr>
      <w:r>
        <w:rPr>
          <w:rFonts w:cs="Times New Roman" w:eastAsiaTheme="minorEastAsia"/>
          <w:b/>
        </w:rPr>
        <w:t>5.2.</w:t>
      </w:r>
      <w:r>
        <w:rPr>
          <w:rFonts w:hint="eastAsia" w:cs="Times New Roman" w:eastAsiaTheme="minorEastAsia"/>
          <w:b/>
        </w:rPr>
        <w:t>9</w:t>
      </w:r>
      <w:r>
        <w:rPr>
          <w:rFonts w:cs="Times New Roman" w:eastAsiaTheme="minorEastAsia"/>
        </w:rPr>
        <w:t xml:space="preserve"> 复合土钉墙整体稳定性分析（图5.2.</w:t>
      </w:r>
      <w:r>
        <w:rPr>
          <w:rFonts w:hint="eastAsia" w:cs="Times New Roman" w:eastAsiaTheme="minorEastAsia"/>
        </w:rPr>
        <w:t>9</w:t>
      </w:r>
      <w:r>
        <w:rPr>
          <w:rFonts w:cs="Times New Roman" w:eastAsiaTheme="minorEastAsia"/>
        </w:rPr>
        <w:t>）可采用简化圆弧滑移面条分法进行验算，并符合下列规定：</w:t>
      </w:r>
    </w:p>
    <w:p w14:paraId="1088F9FC">
      <w:pPr>
        <w:ind w:firstLine="480" w:firstLineChars="200"/>
        <w:rPr>
          <w:rFonts w:cs="Times New Roman" w:eastAsiaTheme="minorEastAsia"/>
          <w:b w:val="0"/>
          <w:bCs w:val="0"/>
        </w:rPr>
      </w:pPr>
      <w:r>
        <w:rPr>
          <w:rFonts w:cs="Times New Roman" w:eastAsiaTheme="minorEastAsia"/>
          <w:b w:val="0"/>
          <w:bCs w:val="0"/>
        </w:rPr>
        <w:t>1  最危险滑裂面应通过试算搜索求得，验算时应考虑开挖过程中各工况，宜按下列公式进行验算：</w:t>
      </w:r>
    </w:p>
    <w:p w14:paraId="74A39A0D">
      <w:pPr>
        <w:jc w:val="center"/>
        <w:rPr>
          <w:rFonts w:cs="Times New Roman" w:eastAsiaTheme="minorEastAsia"/>
        </w:rPr>
      </w:pPr>
      <w:r>
        <w:rPr>
          <w:rFonts w:cs="Times New Roman"/>
        </w:rPr>
        <w:drawing>
          <wp:inline distT="0" distB="0" distL="0" distR="0">
            <wp:extent cx="3034030" cy="1907540"/>
            <wp:effectExtent l="0" t="0" r="0" b="0"/>
            <wp:docPr id="9880219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21931"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66137" cy="1928056"/>
                    </a:xfrm>
                    <a:prstGeom prst="rect">
                      <a:avLst/>
                    </a:prstGeom>
                  </pic:spPr>
                </pic:pic>
              </a:graphicData>
            </a:graphic>
          </wp:inline>
        </w:drawing>
      </w:r>
    </w:p>
    <w:p w14:paraId="1D458884">
      <w:pPr>
        <w:jc w:val="center"/>
        <w:rPr>
          <w:rFonts w:cs="Times New Roman" w:eastAsiaTheme="minorEastAsia"/>
        </w:rPr>
      </w:pPr>
      <w:r>
        <w:rPr>
          <w:rFonts w:cs="Times New Roman" w:eastAsiaTheme="minorEastAsia"/>
        </w:rPr>
        <w:t>图5.2.</w:t>
      </w:r>
      <w:r>
        <w:rPr>
          <w:rFonts w:hint="eastAsia" w:cs="Times New Roman" w:eastAsiaTheme="minorEastAsia"/>
        </w:rPr>
        <w:t>9</w:t>
      </w:r>
      <w:r>
        <w:rPr>
          <w:rFonts w:cs="Times New Roman" w:eastAsiaTheme="minorEastAsia"/>
        </w:rPr>
        <w:t xml:space="preserve">  复合土钉墙稳定性分析计算</w:t>
      </w:r>
    </w:p>
    <w:p w14:paraId="0D556843">
      <w:pPr>
        <w:jc w:val="center"/>
        <w:rPr>
          <w:rFonts w:cs="Times New Roman" w:eastAsiaTheme="minorEastAsia"/>
          <w:sz w:val="22"/>
          <w:szCs w:val="22"/>
        </w:rPr>
      </w:pPr>
      <w:r>
        <w:rPr>
          <w:rFonts w:cs="Times New Roman" w:eastAsiaTheme="minorEastAsia"/>
          <w:sz w:val="22"/>
          <w:szCs w:val="22"/>
        </w:rPr>
        <w:t>1-土钉；2-预应力锚杆；3-截水帷幕；4-微型桩；</w:t>
      </w:r>
    </w:p>
    <w:p w14:paraId="2166C1AC">
      <w:pPr>
        <w:jc w:val="center"/>
        <w:rPr>
          <w:rFonts w:cs="Times New Roman" w:eastAsiaTheme="minorEastAsia"/>
          <w:sz w:val="22"/>
          <w:szCs w:val="22"/>
        </w:rPr>
      </w:pPr>
      <w:r>
        <w:rPr>
          <w:rFonts w:cs="Times New Roman" w:eastAsiaTheme="minorEastAsia"/>
          <w:i/>
          <w:iCs/>
          <w:sz w:val="22"/>
          <w:szCs w:val="22"/>
        </w:rPr>
        <w:t>q</w:t>
      </w:r>
      <w:r>
        <w:rPr>
          <w:rFonts w:cs="Times New Roman" w:eastAsiaTheme="minorEastAsia"/>
          <w:sz w:val="22"/>
          <w:szCs w:val="22"/>
        </w:rPr>
        <w:t>-地面附加分布荷载；</w:t>
      </w:r>
      <w:r>
        <w:rPr>
          <w:rFonts w:cs="Times New Roman" w:eastAsiaTheme="minorEastAsia"/>
          <w:i/>
          <w:iCs/>
          <w:sz w:val="22"/>
          <w:szCs w:val="22"/>
        </w:rPr>
        <w:t>R</w:t>
      </w:r>
      <w:r>
        <w:rPr>
          <w:rFonts w:cs="Times New Roman" w:eastAsiaTheme="minorEastAsia"/>
          <w:sz w:val="22"/>
          <w:szCs w:val="22"/>
        </w:rPr>
        <w:t>-假定圆弧滑移面半径；</w:t>
      </w:r>
      <w:r>
        <w:rPr>
          <w:rFonts w:cs="Times New Roman" w:eastAsiaTheme="minorEastAsia"/>
          <w:i/>
          <w:iCs/>
          <w:sz w:val="22"/>
          <w:szCs w:val="22"/>
        </w:rPr>
        <w:t>b</w:t>
      </w:r>
      <w:r>
        <w:rPr>
          <w:rFonts w:cs="Times New Roman" w:eastAsiaTheme="minorEastAsia"/>
          <w:sz w:val="22"/>
          <w:szCs w:val="22"/>
          <w:vertAlign w:val="subscript"/>
        </w:rPr>
        <w:t>i</w:t>
      </w:r>
      <w:r>
        <w:rPr>
          <w:rFonts w:cs="Times New Roman" w:eastAsiaTheme="minorEastAsia"/>
          <w:sz w:val="22"/>
          <w:szCs w:val="22"/>
        </w:rPr>
        <w:t>-第i个土条的宽度</w:t>
      </w:r>
    </w:p>
    <w:tbl>
      <w:tblPr>
        <w:tblStyle w:val="1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91"/>
        <w:gridCol w:w="1970"/>
      </w:tblGrid>
      <w:tr w14:paraId="44E13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3913" w:type="pct"/>
            <w:vAlign w:val="center"/>
          </w:tcPr>
          <w:p w14:paraId="0F1D82D6">
            <w:pPr>
              <w:jc w:val="right"/>
              <w:rPr>
                <w:rFonts w:cs="Times New Roman" w:eastAsiaTheme="minorEastAsia"/>
              </w:rPr>
            </w:pPr>
            <m:oMathPara>
              <m:oMathParaPr>
                <m:jc m:val="center"/>
              </m:oMathParaPr>
              <m:oMath>
                <m:sSub>
                  <w:bookmarkStart w:id="49" w:name="OLE_LINK37"/>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s0</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η</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1</m:t>
                    </m:r>
                    <m:ctrlPr>
                      <w:rPr>
                        <w:rFonts w:ascii="Cambria Math" w:hAnsi="Cambria Math" w:cs="Times New Roman" w:eastAsiaTheme="minorEastAsia"/>
                        <w:i/>
                        <w:vertAlign w:val="subscript"/>
                        <w:lang w:val="de-DE"/>
                      </w:rPr>
                    </m:ctrlPr>
                  </m:sub>
                </m:sSub>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s1</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η</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2</m:t>
                    </m:r>
                    <m:ctrlPr>
                      <w:rPr>
                        <w:rFonts w:ascii="Cambria Math" w:hAnsi="Cambria Math" w:cs="Times New Roman" w:eastAsiaTheme="minorEastAsia"/>
                        <w:i/>
                        <w:vertAlign w:val="subscript"/>
                        <w:lang w:val="de-DE"/>
                      </w:rPr>
                    </m:ctrlPr>
                  </m:sub>
                </m:sSub>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s2</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η</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3</m:t>
                    </m:r>
                    <m:ctrlPr>
                      <w:rPr>
                        <w:rFonts w:ascii="Cambria Math" w:hAnsi="Cambria Math" w:cs="Times New Roman" w:eastAsiaTheme="minorEastAsia"/>
                        <w:i/>
                        <w:vertAlign w:val="subscript"/>
                        <w:lang w:val="de-DE"/>
                      </w:rPr>
                    </m:ctrlPr>
                  </m:sub>
                </m:sSub>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s3</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η</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4</m:t>
                    </m:r>
                    <m:ctrlPr>
                      <w:rPr>
                        <w:rFonts w:ascii="Cambria Math" w:hAnsi="Cambria Math" w:cs="Times New Roman" w:eastAsiaTheme="minorEastAsia"/>
                        <w:i/>
                        <w:vertAlign w:val="subscript"/>
                        <w:lang w:val="de-DE"/>
                      </w:rPr>
                    </m:ctrlPr>
                  </m:sub>
                </m:sSub>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s4</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s</m:t>
                    </m:r>
                    <w:bookmarkEnd w:id="49"/>
                    <m:ctrlPr>
                      <w:rPr>
                        <w:rFonts w:ascii="Cambria Math" w:hAnsi="Cambria Math" w:cs="Times New Roman" w:eastAsiaTheme="minorEastAsia"/>
                        <w:i/>
                        <w:vertAlign w:val="subscript"/>
                        <w:lang w:val="de-DE"/>
                      </w:rPr>
                    </m:ctrlPr>
                  </m:sub>
                </m:sSub>
              </m:oMath>
            </m:oMathPara>
          </w:p>
        </w:tc>
        <w:tc>
          <w:tcPr>
            <w:tcW w:w="1087" w:type="pct"/>
            <w:vAlign w:val="center"/>
          </w:tcPr>
          <w:p w14:paraId="7A310030">
            <w:pPr>
              <w:jc w:val="center"/>
              <w:rPr>
                <w:rFonts w:cs="Times New Roman" w:eastAsiaTheme="minorEastAsia"/>
              </w:rPr>
            </w:pPr>
            <w:r>
              <w:rPr>
                <w:rFonts w:cs="Times New Roman" w:eastAsiaTheme="minorEastAsia"/>
              </w:rPr>
              <w:t>（5.2.</w:t>
            </w:r>
            <w:r>
              <w:rPr>
                <w:rFonts w:hint="eastAsia" w:cs="Times New Roman" w:eastAsiaTheme="minorEastAsia"/>
              </w:rPr>
              <w:t>9</w:t>
            </w:r>
            <w:r>
              <w:rPr>
                <w:rFonts w:cs="Times New Roman" w:eastAsiaTheme="minorEastAsia"/>
              </w:rPr>
              <w:t>-1）</w:t>
            </w:r>
          </w:p>
        </w:tc>
      </w:tr>
      <w:tr w14:paraId="06328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3913" w:type="pct"/>
            <w:vAlign w:val="center"/>
          </w:tcPr>
          <w:p w14:paraId="5E9D13A7">
            <w:pPr>
              <w:jc w:val="right"/>
              <w:rPr>
                <w:rFonts w:cs="Times New Roman"/>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s0</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f>
                  <m:fPr>
                    <m:ctrlPr>
                      <w:rPr>
                        <w:rFonts w:ascii="Cambria Math" w:hAnsi="Cambria Math" w:cs="Times New Roman" w:eastAsiaTheme="minorEastAsia"/>
                        <w:i/>
                        <w:vertAlign w:val="subscript"/>
                        <w:lang w:val="de-DE"/>
                      </w:rPr>
                    </m:ctrlPr>
                  </m:fPr>
                  <m:num>
                    <m:nary>
                      <m:naryPr>
                        <m:chr m:val="∑"/>
                        <m:limLoc m:val="undOvr"/>
                        <m:subHide m:val="1"/>
                        <m:supHide m:val="1"/>
                        <m:ctrlPr>
                          <w:rPr>
                            <w:rFonts w:ascii="Cambria Math" w:hAnsi="Cambria Math" w:cs="Times New Roman" w:eastAsiaTheme="minorEastAsia"/>
                            <w:i/>
                            <w:vertAlign w:val="subscript"/>
                            <w:lang w:val="de-DE"/>
                          </w:rPr>
                        </m:ctrlPr>
                      </m:naryPr>
                      <m:sub>
                        <m:ctrlPr>
                          <w:rPr>
                            <w:rFonts w:ascii="Cambria Math" w:hAnsi="Cambria Math" w:cs="Times New Roman" w:eastAsiaTheme="minorEastAsia"/>
                            <w:i/>
                            <w:vertAlign w:val="subscript"/>
                            <w:lang w:val="de-DE"/>
                          </w:rPr>
                        </m:ctrlPr>
                      </m:sub>
                      <m:sup>
                        <m:ctrlPr>
                          <w:rPr>
                            <w:rFonts w:ascii="Cambria Math" w:hAnsi="Cambria Math" w:cs="Times New Roman" w:eastAsiaTheme="minorEastAsia"/>
                            <w:i/>
                            <w:vertAlign w:val="subscript"/>
                            <w:lang w:val="de-DE"/>
                          </w:rPr>
                        </m:ctrlPr>
                      </m:sup>
                      <m:e>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c</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i</m:t>
                            </m:r>
                            <m:ctrlPr>
                              <w:rPr>
                                <w:rFonts w:ascii="Cambria Math" w:hAnsi="Cambria Math" w:cs="Times New Roman" w:eastAsiaTheme="minorEastAsia"/>
                                <w:i/>
                                <w:vertAlign w:val="subscript"/>
                                <w:lang w:val="de-DE"/>
                              </w:rPr>
                            </m:ctrlPr>
                          </m:sub>
                        </m:sSub>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L</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i</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nary>
                          <m:naryPr>
                            <m:chr m:val="∑"/>
                            <m:limLoc m:val="undOvr"/>
                            <m:subHide m:val="1"/>
                            <m:supHide m:val="1"/>
                            <m:ctrlPr>
                              <w:rPr>
                                <w:rFonts w:ascii="Cambria Math" w:hAnsi="Cambria Math" w:cs="Times New Roman" w:eastAsiaTheme="minorEastAsia"/>
                                <w:i/>
                                <w:vertAlign w:val="subscript"/>
                                <w:lang w:val="de-DE"/>
                              </w:rPr>
                            </m:ctrlPr>
                          </m:naryPr>
                          <m:sub>
                            <m:ctrlPr>
                              <w:rPr>
                                <w:rFonts w:ascii="Cambria Math" w:hAnsi="Cambria Math" w:cs="Times New Roman" w:eastAsiaTheme="minorEastAsia"/>
                                <w:i/>
                                <w:vertAlign w:val="subscript"/>
                                <w:lang w:val="de-DE"/>
                              </w:rPr>
                            </m:ctrlPr>
                          </m:sub>
                          <m:sup>
                            <m:ctrlPr>
                              <w:rPr>
                                <w:rFonts w:ascii="Cambria Math" w:hAnsi="Cambria Math" w:cs="Times New Roman" w:eastAsiaTheme="minorEastAsia"/>
                                <w:i/>
                                <w:vertAlign w:val="subscript"/>
                                <w:lang w:val="de-DE"/>
                              </w:rPr>
                            </m:ctrlPr>
                          </m:sup>
                          <m:e>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W</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i</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cos</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θ</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i</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tan</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φ</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i</m:t>
                                </m:r>
                                <m:ctrlPr>
                                  <w:rPr>
                                    <w:rFonts w:ascii="Cambria Math" w:hAnsi="Cambria Math" w:cs="Times New Roman" w:eastAsiaTheme="minorEastAsia"/>
                                    <w:i/>
                                    <w:vertAlign w:val="subscript"/>
                                    <w:lang w:val="de-DE"/>
                                  </w:rPr>
                                </m:ctrlPr>
                              </m:sub>
                            </m:sSub>
                            <m:ctrlPr>
                              <w:rPr>
                                <w:rFonts w:ascii="Cambria Math" w:hAnsi="Cambria Math" w:cs="Times New Roman" w:eastAsiaTheme="minorEastAsia"/>
                                <w:i/>
                                <w:vertAlign w:val="subscript"/>
                                <w:lang w:val="de-DE"/>
                              </w:rPr>
                            </m:ctrlPr>
                          </m:e>
                        </m:nary>
                        <m:ctrlPr>
                          <w:rPr>
                            <w:rFonts w:ascii="Cambria Math" w:hAnsi="Cambria Math" w:cs="Times New Roman" w:eastAsiaTheme="minorEastAsia"/>
                            <w:i/>
                            <w:vertAlign w:val="subscript"/>
                            <w:lang w:val="de-DE"/>
                          </w:rPr>
                        </m:ctrlPr>
                      </m:e>
                    </m:nary>
                    <m:ctrlPr>
                      <w:rPr>
                        <w:rFonts w:ascii="Cambria Math" w:hAnsi="Cambria Math" w:cs="Times New Roman" w:eastAsiaTheme="minorEastAsia"/>
                        <w:i/>
                        <w:vertAlign w:val="subscript"/>
                        <w:lang w:val="de-DE"/>
                      </w:rPr>
                    </m:ctrlPr>
                  </m:num>
                  <m:den>
                    <m:nary>
                      <m:naryPr>
                        <m:chr m:val="∑"/>
                        <m:limLoc m:val="undOvr"/>
                        <m:subHide m:val="1"/>
                        <m:supHide m:val="1"/>
                        <m:ctrlPr>
                          <w:rPr>
                            <w:rFonts w:ascii="Cambria Math" w:hAnsi="Cambria Math" w:cs="Times New Roman" w:eastAsiaTheme="minorEastAsia"/>
                            <w:i/>
                            <w:vertAlign w:val="subscript"/>
                            <w:lang w:val="de-DE"/>
                          </w:rPr>
                        </m:ctrlPr>
                      </m:naryPr>
                      <m:sub>
                        <m:ctrlPr>
                          <w:rPr>
                            <w:rFonts w:ascii="Cambria Math" w:hAnsi="Cambria Math" w:cs="Times New Roman" w:eastAsiaTheme="minorEastAsia"/>
                            <w:i/>
                            <w:vertAlign w:val="subscript"/>
                            <w:lang w:val="de-DE"/>
                          </w:rPr>
                        </m:ctrlPr>
                      </m:sub>
                      <m:sup>
                        <m:ctrlPr>
                          <w:rPr>
                            <w:rFonts w:ascii="Cambria Math" w:hAnsi="Cambria Math" w:cs="Times New Roman" w:eastAsiaTheme="minorEastAsia"/>
                            <w:i/>
                            <w:vertAlign w:val="subscript"/>
                            <w:lang w:val="de-DE"/>
                          </w:rPr>
                        </m:ctrlPr>
                      </m:sup>
                      <m:e>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W</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i</m:t>
                            </m:r>
                            <m:ctrlPr>
                              <w:rPr>
                                <w:rFonts w:ascii="Cambria Math" w:hAnsi="Cambria Math" w:cs="Times New Roman" w:eastAsiaTheme="minorEastAsia"/>
                                <w:i/>
                                <w:vertAlign w:val="subscript"/>
                                <w:lang w:val="de-DE"/>
                              </w:rPr>
                            </m:ctrlPr>
                          </m:sub>
                        </m:sSub>
                        <m:ctrlPr>
                          <w:rPr>
                            <w:rFonts w:ascii="Cambria Math" w:hAnsi="Cambria Math" w:cs="Times New Roman" w:eastAsiaTheme="minorEastAsia"/>
                            <w:i/>
                            <w:vertAlign w:val="subscript"/>
                            <w:lang w:val="de-DE"/>
                          </w:rPr>
                        </m:ctrlPr>
                      </m:e>
                    </m:nary>
                    <m:r>
                      <m:rPr/>
                      <w:rPr>
                        <w:rFonts w:ascii="Cambria Math" w:hAnsi="Cambria Math" w:cs="Times New Roman" w:eastAsiaTheme="minorEastAsia"/>
                        <w:vertAlign w:val="subscript"/>
                        <w:lang w:val="de-DE"/>
                      </w:rPr>
                      <m:t>sin</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θ</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i</m:t>
                        </m:r>
                        <m:ctrlPr>
                          <w:rPr>
                            <w:rFonts w:ascii="Cambria Math" w:hAnsi="Cambria Math" w:cs="Times New Roman" w:eastAsiaTheme="minorEastAsia"/>
                            <w:i/>
                            <w:vertAlign w:val="subscript"/>
                            <w:lang w:val="de-DE"/>
                          </w:rPr>
                        </m:ctrlPr>
                      </m:sub>
                    </m:sSub>
                    <m:ctrlPr>
                      <w:rPr>
                        <w:rFonts w:ascii="Cambria Math" w:hAnsi="Cambria Math" w:cs="Times New Roman" w:eastAsiaTheme="minorEastAsia"/>
                        <w:i/>
                        <w:vertAlign w:val="subscript"/>
                        <w:lang w:val="de-DE"/>
                      </w:rPr>
                    </m:ctrlPr>
                  </m:den>
                </m:f>
              </m:oMath>
            </m:oMathPara>
          </w:p>
        </w:tc>
        <w:tc>
          <w:tcPr>
            <w:tcW w:w="1087" w:type="pct"/>
            <w:vAlign w:val="center"/>
          </w:tcPr>
          <w:p w14:paraId="4B07D2E5">
            <w:pPr>
              <w:jc w:val="center"/>
              <w:rPr>
                <w:rFonts w:cs="Times New Roman" w:eastAsiaTheme="minorEastAsia"/>
              </w:rPr>
            </w:pPr>
            <w:r>
              <w:rPr>
                <w:rFonts w:cs="Times New Roman" w:eastAsiaTheme="minorEastAsia"/>
              </w:rPr>
              <w:t>（5.2.</w:t>
            </w:r>
            <w:r>
              <w:rPr>
                <w:rFonts w:hint="eastAsia" w:cs="Times New Roman" w:eastAsiaTheme="minorEastAsia"/>
              </w:rPr>
              <w:t>9</w:t>
            </w:r>
            <w:r>
              <w:rPr>
                <w:rFonts w:cs="Times New Roman" w:eastAsiaTheme="minorEastAsia"/>
              </w:rPr>
              <w:t>-2）</w:t>
            </w:r>
          </w:p>
        </w:tc>
      </w:tr>
      <w:tr w14:paraId="49574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3913" w:type="pct"/>
            <w:vAlign w:val="center"/>
          </w:tcPr>
          <w:p w14:paraId="45348AAC">
            <w:pPr>
              <w:jc w:val="right"/>
              <w:rPr>
                <w:rFonts w:cs="Times New Roman"/>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s1</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f>
                  <m:fPr>
                    <m:ctrlPr>
                      <w:rPr>
                        <w:rFonts w:ascii="Cambria Math" w:hAnsi="Cambria Math" w:cs="Times New Roman" w:eastAsiaTheme="minorEastAsia"/>
                        <w:i/>
                        <w:vertAlign w:val="subscript"/>
                        <w:lang w:val="de-DE"/>
                      </w:rPr>
                    </m:ctrlPr>
                  </m:fPr>
                  <m:num>
                    <m:nary>
                      <m:naryPr>
                        <m:chr m:val="∑"/>
                        <m:limLoc m:val="undOvr"/>
                        <m:subHide m:val="1"/>
                        <m:supHide m:val="1"/>
                        <m:ctrlPr>
                          <w:rPr>
                            <w:rFonts w:ascii="Cambria Math" w:hAnsi="Cambria Math" w:cs="Times New Roman" w:eastAsiaTheme="minorEastAsia"/>
                            <w:i/>
                            <w:vertAlign w:val="subscript"/>
                            <w:lang w:val="de-DE"/>
                          </w:rPr>
                        </m:ctrlPr>
                      </m:naryPr>
                      <m:sub>
                        <m:ctrlPr>
                          <w:rPr>
                            <w:rFonts w:ascii="Cambria Math" w:hAnsi="Cambria Math" w:cs="Times New Roman" w:eastAsiaTheme="minorEastAsia"/>
                            <w:i/>
                            <w:vertAlign w:val="subscript"/>
                            <w:lang w:val="de-DE"/>
                          </w:rPr>
                        </m:ctrlPr>
                      </m:sub>
                      <m:sup>
                        <m:ctrlPr>
                          <w:rPr>
                            <w:rFonts w:ascii="Cambria Math" w:hAnsi="Cambria Math" w:cs="Times New Roman" w:eastAsiaTheme="minorEastAsia"/>
                            <w:i/>
                            <w:vertAlign w:val="subscript"/>
                            <w:lang w:val="de-DE"/>
                          </w:rPr>
                        </m:ctrlPr>
                      </m:sup>
                      <m:e>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N</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uj</m:t>
                            </m:r>
                            <m:ctrlPr>
                              <w:rPr>
                                <w:rFonts w:ascii="Cambria Math" w:hAnsi="Cambria Math" w:cs="Times New Roman" w:eastAsiaTheme="minorEastAsia"/>
                                <w:i/>
                                <w:vertAlign w:val="subscript"/>
                                <w:lang w:val="de-DE"/>
                              </w:rPr>
                            </m:ctrlPr>
                          </m:sub>
                        </m:sSub>
                        <m:func>
                          <m:funcPr>
                            <m:ctrlPr>
                              <w:rPr>
                                <w:rFonts w:ascii="Cambria Math" w:hAnsi="Cambria Math" w:cs="Times New Roman" w:eastAsiaTheme="minorEastAsia"/>
                                <w:vertAlign w:val="subscript"/>
                                <w:lang w:val="de-DE"/>
                              </w:rPr>
                            </m:ctrlPr>
                          </m:funcPr>
                          <m:fName>
                            <m:r>
                              <m:rPr>
                                <m:sty m:val="p"/>
                              </m:rPr>
                              <w:rPr>
                                <w:rFonts w:ascii="Cambria Math" w:hAnsi="Cambria Math" w:cs="Times New Roman" w:eastAsiaTheme="minorEastAsia"/>
                                <w:vertAlign w:val="subscript"/>
                                <w:lang w:val="de-DE"/>
                              </w:rPr>
                              <m:t>cos</m:t>
                            </m:r>
                            <m:ctrlPr>
                              <w:rPr>
                                <w:rFonts w:ascii="Cambria Math" w:hAnsi="Cambria Math" w:cs="Times New Roman" w:eastAsiaTheme="minorEastAsia"/>
                                <w:vertAlign w:val="subscript"/>
                                <w:lang w:val="de-DE"/>
                              </w:rPr>
                            </m:ctrlPr>
                          </m:fName>
                          <m:e>
                            <m:d>
                              <m:dPr>
                                <m:ctrlPr>
                                  <w:rPr>
                                    <w:rFonts w:ascii="Cambria Math" w:hAnsi="Cambria Math" w:cs="Times New Roman" w:eastAsiaTheme="minorEastAsia"/>
                                    <w:i/>
                                    <w:vertAlign w:val="subscript"/>
                                    <w:lang w:val="de-DE"/>
                                  </w:rPr>
                                </m:ctrlPr>
                              </m:dPr>
                              <m:e>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θ</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j</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α</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j</m:t>
                                    </m:r>
                                    <m:ctrlPr>
                                      <w:rPr>
                                        <w:rFonts w:ascii="Cambria Math" w:hAnsi="Cambria Math" w:cs="Times New Roman" w:eastAsiaTheme="minorEastAsia"/>
                                        <w:i/>
                                        <w:vertAlign w:val="subscript"/>
                                        <w:lang w:val="de-DE"/>
                                      </w:rPr>
                                    </m:ctrlPr>
                                  </m:sub>
                                </m:sSub>
                                <m:ctrlPr>
                                  <w:rPr>
                                    <w:rFonts w:ascii="Cambria Math" w:hAnsi="Cambria Math" w:cs="Times New Roman" w:eastAsiaTheme="minorEastAsia"/>
                                    <w:i/>
                                    <w:vertAlign w:val="subscript"/>
                                    <w:lang w:val="de-DE"/>
                                  </w:rPr>
                                </m:ctrlPr>
                              </m:e>
                            </m:d>
                            <m:ctrlPr>
                              <w:rPr>
                                <w:rFonts w:ascii="Cambria Math" w:hAnsi="Cambria Math" w:cs="Times New Roman" w:eastAsiaTheme="minorEastAsia"/>
                                <w:vertAlign w:val="subscript"/>
                                <w:lang w:val="de-DE"/>
                              </w:rPr>
                            </m:ctrlPr>
                          </m:e>
                        </m:func>
                        <m:r>
                          <m:rPr/>
                          <w:rPr>
                            <w:rFonts w:ascii="Cambria Math" w:hAnsi="Cambria Math" w:cs="Times New Roman" w:eastAsiaTheme="minorEastAsia"/>
                            <w:vertAlign w:val="subscript"/>
                            <w:lang w:val="de-DE"/>
                          </w:rPr>
                          <m:t>+</m:t>
                        </m:r>
                        <m:nary>
                          <m:naryPr>
                            <m:chr m:val="∑"/>
                            <m:limLoc m:val="undOvr"/>
                            <m:subHide m:val="1"/>
                            <m:supHide m:val="1"/>
                            <m:ctrlPr>
                              <w:rPr>
                                <w:rFonts w:ascii="Cambria Math" w:hAnsi="Cambria Math" w:cs="Times New Roman" w:eastAsiaTheme="minorEastAsia"/>
                                <w:i/>
                                <w:vertAlign w:val="subscript"/>
                                <w:lang w:val="de-DE"/>
                              </w:rPr>
                            </m:ctrlPr>
                          </m:naryPr>
                          <m:sub>
                            <m:ctrlPr>
                              <w:rPr>
                                <w:rFonts w:ascii="Cambria Math" w:hAnsi="Cambria Math" w:cs="Times New Roman" w:eastAsiaTheme="minorEastAsia"/>
                                <w:i/>
                                <w:vertAlign w:val="subscript"/>
                                <w:lang w:val="de-DE"/>
                              </w:rPr>
                            </m:ctrlPr>
                          </m:sub>
                          <m:sup>
                            <m:ctrlPr>
                              <w:rPr>
                                <w:rFonts w:ascii="Cambria Math" w:hAnsi="Cambria Math" w:cs="Times New Roman" w:eastAsiaTheme="minorEastAsia"/>
                                <w:i/>
                                <w:vertAlign w:val="subscript"/>
                                <w:lang w:val="de-DE"/>
                              </w:rPr>
                            </m:ctrlPr>
                          </m:sup>
                          <m:e>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N</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uj</m:t>
                                </m:r>
                                <m:ctrlPr>
                                  <w:rPr>
                                    <w:rFonts w:ascii="Cambria Math" w:hAnsi="Cambria Math" w:cs="Times New Roman" w:eastAsiaTheme="minorEastAsia"/>
                                    <w:i/>
                                    <w:vertAlign w:val="subscript"/>
                                    <w:lang w:val="de-DE"/>
                                  </w:rPr>
                                </m:ctrlPr>
                              </m:sub>
                            </m:sSub>
                            <m:r>
                              <m:rPr>
                                <m:sty m:val="p"/>
                              </m:rPr>
                              <w:rPr>
                                <w:rFonts w:ascii="Cambria Math" w:hAnsi="Cambria Math" w:cs="Times New Roman" w:eastAsiaTheme="minorEastAsia"/>
                                <w:vertAlign w:val="subscript"/>
                                <w:lang w:val="de-DE"/>
                              </w:rPr>
                              <m:t>sin⁡</m:t>
                            </m:r>
                            <m:r>
                              <m:rPr/>
                              <w:rPr>
                                <w:rFonts w:ascii="Cambria Math" w:hAnsi="Cambria Math" w:cs="Times New Roman" w:eastAsiaTheme="minorEastAsia"/>
                                <w:vertAlign w:val="subscript"/>
                                <w:lang w:val="de-DE"/>
                              </w:rPr>
                              <m:t>(</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θ</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j</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w:bookmarkStart w:id="50" w:name="OLE_LINK29"/>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α</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j</m:t>
                                </m:r>
                                <w:bookmarkEnd w:id="50"/>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)tan</m:t>
                            </m:r>
                            <m:sSub>
                              <w:bookmarkStart w:id="51" w:name="OLE_LINK32"/>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φ</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i</m:t>
                                </m:r>
                                <w:bookmarkEnd w:id="51"/>
                                <m:ctrlPr>
                                  <w:rPr>
                                    <w:rFonts w:ascii="Cambria Math" w:hAnsi="Cambria Math" w:cs="Times New Roman" w:eastAsiaTheme="minorEastAsia"/>
                                    <w:i/>
                                    <w:vertAlign w:val="subscript"/>
                                    <w:lang w:val="de-DE"/>
                                  </w:rPr>
                                </m:ctrlPr>
                              </m:sub>
                            </m:sSub>
                            <m:ctrlPr>
                              <w:rPr>
                                <w:rFonts w:ascii="Cambria Math" w:hAnsi="Cambria Math" w:cs="Times New Roman" w:eastAsiaTheme="minorEastAsia"/>
                                <w:i/>
                                <w:vertAlign w:val="subscript"/>
                                <w:lang w:val="de-DE"/>
                              </w:rPr>
                            </m:ctrlPr>
                          </m:e>
                        </m:nary>
                        <m:ctrlPr>
                          <w:rPr>
                            <w:rFonts w:ascii="Cambria Math" w:hAnsi="Cambria Math" w:cs="Times New Roman" w:eastAsiaTheme="minorEastAsia"/>
                            <w:i/>
                            <w:vertAlign w:val="subscript"/>
                            <w:lang w:val="de-DE"/>
                          </w:rPr>
                        </m:ctrlPr>
                      </m:e>
                    </m:nary>
                    <m:ctrlPr>
                      <w:rPr>
                        <w:rFonts w:ascii="Cambria Math" w:hAnsi="Cambria Math" w:cs="Times New Roman" w:eastAsiaTheme="minorEastAsia"/>
                        <w:i/>
                        <w:vertAlign w:val="subscript"/>
                        <w:lang w:val="de-DE"/>
                      </w:rPr>
                    </m:ctrlPr>
                  </m:num>
                  <m:den>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s</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xj</m:t>
                        </m:r>
                        <m:ctrlPr>
                          <w:rPr>
                            <w:rFonts w:ascii="Cambria Math" w:hAnsi="Cambria Math" w:cs="Times New Roman" w:eastAsiaTheme="minorEastAsia"/>
                            <w:i/>
                            <w:vertAlign w:val="subscript"/>
                            <w:lang w:val="de-DE"/>
                          </w:rPr>
                        </m:ctrlPr>
                      </m:sub>
                    </m:sSub>
                    <m:nary>
                      <m:naryPr>
                        <m:chr m:val="∑"/>
                        <m:limLoc m:val="undOvr"/>
                        <m:subHide m:val="1"/>
                        <m:supHide m:val="1"/>
                        <m:ctrlPr>
                          <w:rPr>
                            <w:rFonts w:ascii="Cambria Math" w:hAnsi="Cambria Math" w:cs="Times New Roman" w:eastAsiaTheme="minorEastAsia"/>
                            <w:i/>
                            <w:vertAlign w:val="subscript"/>
                            <w:lang w:val="de-DE"/>
                          </w:rPr>
                        </m:ctrlPr>
                      </m:naryPr>
                      <m:sub>
                        <m:ctrlPr>
                          <w:rPr>
                            <w:rFonts w:ascii="Cambria Math" w:hAnsi="Cambria Math" w:cs="Times New Roman" w:eastAsiaTheme="minorEastAsia"/>
                            <w:i/>
                            <w:vertAlign w:val="subscript"/>
                            <w:lang w:val="de-DE"/>
                          </w:rPr>
                        </m:ctrlPr>
                      </m:sub>
                      <m:sup>
                        <m:ctrlPr>
                          <w:rPr>
                            <w:rFonts w:ascii="Cambria Math" w:hAnsi="Cambria Math" w:cs="Times New Roman" w:eastAsiaTheme="minorEastAsia"/>
                            <w:i/>
                            <w:vertAlign w:val="subscript"/>
                            <w:lang w:val="de-DE"/>
                          </w:rPr>
                        </m:ctrlPr>
                      </m:sup>
                      <m:e>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W</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i</m:t>
                            </m:r>
                            <m:ctrlPr>
                              <w:rPr>
                                <w:rFonts w:ascii="Cambria Math" w:hAnsi="Cambria Math" w:cs="Times New Roman" w:eastAsiaTheme="minorEastAsia"/>
                                <w:i/>
                                <w:vertAlign w:val="subscript"/>
                                <w:lang w:val="de-DE"/>
                              </w:rPr>
                            </m:ctrlPr>
                          </m:sub>
                        </m:sSub>
                        <m:ctrlPr>
                          <w:rPr>
                            <w:rFonts w:ascii="Cambria Math" w:hAnsi="Cambria Math" w:cs="Times New Roman" w:eastAsiaTheme="minorEastAsia"/>
                            <w:i/>
                            <w:vertAlign w:val="subscript"/>
                            <w:lang w:val="de-DE"/>
                          </w:rPr>
                        </m:ctrlPr>
                      </m:e>
                    </m:nary>
                    <m:r>
                      <m:rPr/>
                      <w:rPr>
                        <w:rFonts w:ascii="Cambria Math" w:hAnsi="Cambria Math" w:cs="Times New Roman" w:eastAsiaTheme="minorEastAsia"/>
                        <w:vertAlign w:val="subscript"/>
                        <w:lang w:val="de-DE"/>
                      </w:rPr>
                      <m:t>sin</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θ</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i</m:t>
                        </m:r>
                        <m:ctrlPr>
                          <w:rPr>
                            <w:rFonts w:ascii="Cambria Math" w:hAnsi="Cambria Math" w:cs="Times New Roman" w:eastAsiaTheme="minorEastAsia"/>
                            <w:i/>
                            <w:vertAlign w:val="subscript"/>
                            <w:lang w:val="de-DE"/>
                          </w:rPr>
                        </m:ctrlPr>
                      </m:sub>
                    </m:sSub>
                    <m:ctrlPr>
                      <w:rPr>
                        <w:rFonts w:ascii="Cambria Math" w:hAnsi="Cambria Math" w:cs="Times New Roman" w:eastAsiaTheme="minorEastAsia"/>
                        <w:i/>
                        <w:vertAlign w:val="subscript"/>
                        <w:lang w:val="de-DE"/>
                      </w:rPr>
                    </m:ctrlPr>
                  </m:den>
                </m:f>
              </m:oMath>
            </m:oMathPara>
          </w:p>
        </w:tc>
        <w:tc>
          <w:tcPr>
            <w:tcW w:w="1087" w:type="pct"/>
            <w:vAlign w:val="center"/>
          </w:tcPr>
          <w:p w14:paraId="0BB8BDD5">
            <w:pPr>
              <w:jc w:val="center"/>
              <w:rPr>
                <w:rFonts w:cs="Times New Roman" w:eastAsiaTheme="minorEastAsia"/>
              </w:rPr>
            </w:pPr>
            <w:r>
              <w:rPr>
                <w:rFonts w:cs="Times New Roman" w:eastAsiaTheme="minorEastAsia"/>
              </w:rPr>
              <w:t>（5.2.</w:t>
            </w:r>
            <w:r>
              <w:rPr>
                <w:rFonts w:hint="eastAsia" w:cs="Times New Roman" w:eastAsiaTheme="minorEastAsia"/>
              </w:rPr>
              <w:t>9</w:t>
            </w:r>
            <w:r>
              <w:rPr>
                <w:rFonts w:cs="Times New Roman" w:eastAsiaTheme="minorEastAsia"/>
              </w:rPr>
              <w:t>-3）</w:t>
            </w:r>
          </w:p>
        </w:tc>
      </w:tr>
      <w:tr w14:paraId="567CE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3913" w:type="pct"/>
            <w:vAlign w:val="center"/>
          </w:tcPr>
          <w:p w14:paraId="1D88DAE5">
            <w:pPr>
              <w:jc w:val="right"/>
              <w:rPr>
                <w:rFonts w:cs="Times New Roman"/>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s2</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f>
                  <m:fPr>
                    <m:ctrlPr>
                      <w:rPr>
                        <w:rFonts w:ascii="Cambria Math" w:hAnsi="Cambria Math" w:cs="Times New Roman" w:eastAsiaTheme="minorEastAsia"/>
                        <w:i/>
                        <w:vertAlign w:val="subscript"/>
                        <w:lang w:val="de-DE"/>
                      </w:rPr>
                    </m:ctrlPr>
                  </m:fPr>
                  <m:num>
                    <m:nary>
                      <m:naryPr>
                        <m:chr m:val="∑"/>
                        <m:limLoc m:val="undOvr"/>
                        <m:subHide m:val="1"/>
                        <m:supHide m:val="1"/>
                        <m:ctrlPr>
                          <w:rPr>
                            <w:rFonts w:ascii="Cambria Math" w:hAnsi="Cambria Math" w:cs="Times New Roman" w:eastAsiaTheme="minorEastAsia"/>
                            <w:i/>
                            <w:vertAlign w:val="subscript"/>
                            <w:lang w:val="de-DE"/>
                          </w:rPr>
                        </m:ctrlPr>
                      </m:naryPr>
                      <m:sub>
                        <m:ctrlPr>
                          <w:rPr>
                            <w:rFonts w:ascii="Cambria Math" w:hAnsi="Cambria Math" w:cs="Times New Roman" w:eastAsiaTheme="minorEastAsia"/>
                            <w:i/>
                            <w:vertAlign w:val="subscript"/>
                            <w:lang w:val="de-DE"/>
                          </w:rPr>
                        </m:ctrlPr>
                      </m:sub>
                      <m:sup>
                        <m:ctrlPr>
                          <w:rPr>
                            <w:rFonts w:ascii="Cambria Math" w:hAnsi="Cambria Math" w:cs="Times New Roman" w:eastAsiaTheme="minorEastAsia"/>
                            <w:i/>
                            <w:vertAlign w:val="subscript"/>
                            <w:lang w:val="de-DE"/>
                          </w:rPr>
                        </m:ctrlPr>
                      </m:sup>
                      <m:e>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P</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uj</m:t>
                            </m:r>
                            <m:ctrlPr>
                              <w:rPr>
                                <w:rFonts w:ascii="Cambria Math" w:hAnsi="Cambria Math" w:cs="Times New Roman" w:eastAsiaTheme="minorEastAsia"/>
                                <w:i/>
                                <w:vertAlign w:val="subscript"/>
                                <w:lang w:val="de-DE"/>
                              </w:rPr>
                            </m:ctrlPr>
                          </m:sub>
                        </m:sSub>
                        <m:func>
                          <m:funcPr>
                            <m:ctrlPr>
                              <w:rPr>
                                <w:rFonts w:ascii="Cambria Math" w:hAnsi="Cambria Math" w:cs="Times New Roman" w:eastAsiaTheme="minorEastAsia"/>
                                <w:vertAlign w:val="subscript"/>
                                <w:lang w:val="de-DE"/>
                              </w:rPr>
                            </m:ctrlPr>
                          </m:funcPr>
                          <m:fName>
                            <m:r>
                              <m:rPr>
                                <m:sty m:val="p"/>
                              </m:rPr>
                              <w:rPr>
                                <w:rFonts w:ascii="Cambria Math" w:hAnsi="Cambria Math" w:cs="Times New Roman" w:eastAsiaTheme="minorEastAsia"/>
                                <w:vertAlign w:val="subscript"/>
                                <w:lang w:val="de-DE"/>
                              </w:rPr>
                              <m:t>cos</m:t>
                            </m:r>
                            <m:ctrlPr>
                              <w:rPr>
                                <w:rFonts w:ascii="Cambria Math" w:hAnsi="Cambria Math" w:cs="Times New Roman" w:eastAsiaTheme="minorEastAsia"/>
                                <w:vertAlign w:val="subscript"/>
                                <w:lang w:val="de-DE"/>
                              </w:rPr>
                            </m:ctrlPr>
                          </m:fName>
                          <m:e>
                            <m:d>
                              <m:dPr>
                                <m:ctrlPr>
                                  <w:rPr>
                                    <w:rFonts w:ascii="Cambria Math" w:hAnsi="Cambria Math" w:cs="Times New Roman" w:eastAsiaTheme="minorEastAsia"/>
                                    <w:i/>
                                    <w:vertAlign w:val="subscript"/>
                                    <w:lang w:val="de-DE"/>
                                  </w:rPr>
                                </m:ctrlPr>
                              </m:dPr>
                              <m:e>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θ</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j</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α</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mj</m:t>
                                    </m:r>
                                    <m:ctrlPr>
                                      <w:rPr>
                                        <w:rFonts w:ascii="Cambria Math" w:hAnsi="Cambria Math" w:cs="Times New Roman" w:eastAsiaTheme="minorEastAsia"/>
                                        <w:i/>
                                        <w:vertAlign w:val="subscript"/>
                                        <w:lang w:val="de-DE"/>
                                      </w:rPr>
                                    </m:ctrlPr>
                                  </m:sub>
                                </m:sSub>
                                <m:ctrlPr>
                                  <w:rPr>
                                    <w:rFonts w:ascii="Cambria Math" w:hAnsi="Cambria Math" w:cs="Times New Roman" w:eastAsiaTheme="minorEastAsia"/>
                                    <w:i/>
                                    <w:vertAlign w:val="subscript"/>
                                    <w:lang w:val="de-DE"/>
                                  </w:rPr>
                                </m:ctrlPr>
                              </m:e>
                            </m:d>
                            <m:ctrlPr>
                              <w:rPr>
                                <w:rFonts w:ascii="Cambria Math" w:hAnsi="Cambria Math" w:cs="Times New Roman" w:eastAsiaTheme="minorEastAsia"/>
                                <w:vertAlign w:val="subscript"/>
                                <w:lang w:val="de-DE"/>
                              </w:rPr>
                            </m:ctrlPr>
                          </m:e>
                        </m:func>
                        <m:r>
                          <m:rPr/>
                          <w:rPr>
                            <w:rFonts w:ascii="Cambria Math" w:hAnsi="Cambria Math" w:cs="Times New Roman" w:eastAsiaTheme="minorEastAsia"/>
                            <w:vertAlign w:val="subscript"/>
                            <w:lang w:val="de-DE"/>
                          </w:rPr>
                          <m:t>+</m:t>
                        </m:r>
                        <m:nary>
                          <m:naryPr>
                            <m:chr m:val="∑"/>
                            <m:limLoc m:val="undOvr"/>
                            <m:subHide m:val="1"/>
                            <m:supHide m:val="1"/>
                            <m:ctrlPr>
                              <w:rPr>
                                <w:rFonts w:ascii="Cambria Math" w:hAnsi="Cambria Math" w:cs="Times New Roman" w:eastAsiaTheme="minorEastAsia"/>
                                <w:i/>
                                <w:vertAlign w:val="subscript"/>
                                <w:lang w:val="de-DE"/>
                              </w:rPr>
                            </m:ctrlPr>
                          </m:naryPr>
                          <m:sub>
                            <m:ctrlPr>
                              <w:rPr>
                                <w:rFonts w:ascii="Cambria Math" w:hAnsi="Cambria Math" w:cs="Times New Roman" w:eastAsiaTheme="minorEastAsia"/>
                                <w:i/>
                                <w:vertAlign w:val="subscript"/>
                                <w:lang w:val="de-DE"/>
                              </w:rPr>
                            </m:ctrlPr>
                          </m:sub>
                          <m:sup>
                            <m:ctrlPr>
                              <w:rPr>
                                <w:rFonts w:ascii="Cambria Math" w:hAnsi="Cambria Math" w:cs="Times New Roman" w:eastAsiaTheme="minorEastAsia"/>
                                <w:i/>
                                <w:vertAlign w:val="subscript"/>
                                <w:lang w:val="de-DE"/>
                              </w:rPr>
                            </m:ctrlPr>
                          </m:sup>
                          <m:e>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P</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uj</m:t>
                                </m:r>
                                <m:ctrlPr>
                                  <w:rPr>
                                    <w:rFonts w:ascii="Cambria Math" w:hAnsi="Cambria Math" w:cs="Times New Roman" w:eastAsiaTheme="minorEastAsia"/>
                                    <w:i/>
                                    <w:vertAlign w:val="subscript"/>
                                    <w:lang w:val="de-DE"/>
                                  </w:rPr>
                                </m:ctrlPr>
                              </m:sub>
                            </m:sSub>
                            <m:r>
                              <m:rPr>
                                <m:sty m:val="p"/>
                              </m:rPr>
                              <w:rPr>
                                <w:rFonts w:ascii="Cambria Math" w:hAnsi="Cambria Math" w:cs="Times New Roman" w:eastAsiaTheme="minorEastAsia"/>
                                <w:vertAlign w:val="subscript"/>
                                <w:lang w:val="de-DE"/>
                              </w:rPr>
                              <m:t>sin⁡</m:t>
                            </m:r>
                            <m:r>
                              <m:rPr/>
                              <w:rPr>
                                <w:rFonts w:ascii="Cambria Math" w:hAnsi="Cambria Math" w:cs="Times New Roman" w:eastAsiaTheme="minorEastAsia"/>
                                <w:vertAlign w:val="subscript"/>
                                <w:lang w:val="de-DE"/>
                              </w:rPr>
                              <m:t>(</m:t>
                            </m:r>
                            <m:sSub>
                              <w:bookmarkStart w:id="52" w:name="OLE_LINK31"/>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θ</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j</m:t>
                                </m:r>
                                <w:bookmarkEnd w:id="52"/>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α</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mj</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)tan</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φ</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i</m:t>
                                </m:r>
                                <m:ctrlPr>
                                  <w:rPr>
                                    <w:rFonts w:ascii="Cambria Math" w:hAnsi="Cambria Math" w:cs="Times New Roman" w:eastAsiaTheme="minorEastAsia"/>
                                    <w:i/>
                                    <w:vertAlign w:val="subscript"/>
                                    <w:lang w:val="de-DE"/>
                                  </w:rPr>
                                </m:ctrlPr>
                              </m:sub>
                            </m:sSub>
                            <m:ctrlPr>
                              <w:rPr>
                                <w:rFonts w:ascii="Cambria Math" w:hAnsi="Cambria Math" w:cs="Times New Roman" w:eastAsiaTheme="minorEastAsia"/>
                                <w:i/>
                                <w:vertAlign w:val="subscript"/>
                                <w:lang w:val="de-DE"/>
                              </w:rPr>
                            </m:ctrlPr>
                          </m:e>
                        </m:nary>
                        <m:ctrlPr>
                          <w:rPr>
                            <w:rFonts w:ascii="Cambria Math" w:hAnsi="Cambria Math" w:cs="Times New Roman" w:eastAsiaTheme="minorEastAsia"/>
                            <w:i/>
                            <w:vertAlign w:val="subscript"/>
                            <w:lang w:val="de-DE"/>
                          </w:rPr>
                        </m:ctrlPr>
                      </m:e>
                    </m:nary>
                    <m:ctrlPr>
                      <w:rPr>
                        <w:rFonts w:ascii="Cambria Math" w:hAnsi="Cambria Math" w:cs="Times New Roman" w:eastAsiaTheme="minorEastAsia"/>
                        <w:i/>
                        <w:vertAlign w:val="subscript"/>
                        <w:lang w:val="de-DE"/>
                      </w:rPr>
                    </m:ctrlPr>
                  </m:num>
                  <m:den>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s</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2xj</m:t>
                        </m:r>
                        <m:ctrlPr>
                          <w:rPr>
                            <w:rFonts w:ascii="Cambria Math" w:hAnsi="Cambria Math" w:cs="Times New Roman" w:eastAsiaTheme="minorEastAsia"/>
                            <w:i/>
                            <w:vertAlign w:val="subscript"/>
                            <w:lang w:val="de-DE"/>
                          </w:rPr>
                        </m:ctrlPr>
                      </m:sub>
                    </m:sSub>
                    <m:nary>
                      <m:naryPr>
                        <m:chr m:val="∑"/>
                        <m:limLoc m:val="undOvr"/>
                        <m:subHide m:val="1"/>
                        <m:supHide m:val="1"/>
                        <m:ctrlPr>
                          <w:rPr>
                            <w:rFonts w:ascii="Cambria Math" w:hAnsi="Cambria Math" w:cs="Times New Roman" w:eastAsiaTheme="minorEastAsia"/>
                            <w:i/>
                            <w:vertAlign w:val="subscript"/>
                            <w:lang w:val="de-DE"/>
                          </w:rPr>
                        </m:ctrlPr>
                      </m:naryPr>
                      <m:sub>
                        <m:ctrlPr>
                          <w:rPr>
                            <w:rFonts w:ascii="Cambria Math" w:hAnsi="Cambria Math" w:cs="Times New Roman" w:eastAsiaTheme="minorEastAsia"/>
                            <w:i/>
                            <w:vertAlign w:val="subscript"/>
                            <w:lang w:val="de-DE"/>
                          </w:rPr>
                        </m:ctrlPr>
                      </m:sub>
                      <m:sup>
                        <m:ctrlPr>
                          <w:rPr>
                            <w:rFonts w:ascii="Cambria Math" w:hAnsi="Cambria Math" w:cs="Times New Roman" w:eastAsiaTheme="minorEastAsia"/>
                            <w:i/>
                            <w:vertAlign w:val="subscript"/>
                            <w:lang w:val="de-DE"/>
                          </w:rPr>
                        </m:ctrlPr>
                      </m:sup>
                      <m:e>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W</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i</m:t>
                            </m:r>
                            <m:ctrlPr>
                              <w:rPr>
                                <w:rFonts w:ascii="Cambria Math" w:hAnsi="Cambria Math" w:cs="Times New Roman" w:eastAsiaTheme="minorEastAsia"/>
                                <w:i/>
                                <w:vertAlign w:val="subscript"/>
                                <w:lang w:val="de-DE"/>
                              </w:rPr>
                            </m:ctrlPr>
                          </m:sub>
                        </m:sSub>
                        <m:ctrlPr>
                          <w:rPr>
                            <w:rFonts w:ascii="Cambria Math" w:hAnsi="Cambria Math" w:cs="Times New Roman" w:eastAsiaTheme="minorEastAsia"/>
                            <w:i/>
                            <w:vertAlign w:val="subscript"/>
                            <w:lang w:val="de-DE"/>
                          </w:rPr>
                        </m:ctrlPr>
                      </m:e>
                    </m:nary>
                    <m:r>
                      <m:rPr/>
                      <w:rPr>
                        <w:rFonts w:ascii="Cambria Math" w:hAnsi="Cambria Math" w:cs="Times New Roman" w:eastAsiaTheme="minorEastAsia"/>
                        <w:vertAlign w:val="subscript"/>
                        <w:lang w:val="de-DE"/>
                      </w:rPr>
                      <m:t>sin</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θ</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i</m:t>
                        </m:r>
                        <m:ctrlPr>
                          <w:rPr>
                            <w:rFonts w:ascii="Cambria Math" w:hAnsi="Cambria Math" w:cs="Times New Roman" w:eastAsiaTheme="minorEastAsia"/>
                            <w:i/>
                            <w:vertAlign w:val="subscript"/>
                            <w:lang w:val="de-DE"/>
                          </w:rPr>
                        </m:ctrlPr>
                      </m:sub>
                    </m:sSub>
                    <m:ctrlPr>
                      <w:rPr>
                        <w:rFonts w:ascii="Cambria Math" w:hAnsi="Cambria Math" w:cs="Times New Roman" w:eastAsiaTheme="minorEastAsia"/>
                        <w:i/>
                        <w:vertAlign w:val="subscript"/>
                        <w:lang w:val="de-DE"/>
                      </w:rPr>
                    </m:ctrlPr>
                  </m:den>
                </m:f>
              </m:oMath>
            </m:oMathPara>
          </w:p>
        </w:tc>
        <w:tc>
          <w:tcPr>
            <w:tcW w:w="1087" w:type="pct"/>
            <w:vAlign w:val="center"/>
          </w:tcPr>
          <w:p w14:paraId="26423F23">
            <w:pPr>
              <w:jc w:val="center"/>
              <w:rPr>
                <w:rFonts w:cs="Times New Roman" w:eastAsiaTheme="minorEastAsia"/>
              </w:rPr>
            </w:pPr>
            <w:r>
              <w:rPr>
                <w:rFonts w:cs="Times New Roman" w:eastAsiaTheme="minorEastAsia"/>
              </w:rPr>
              <w:t>（5.2.</w:t>
            </w:r>
            <w:r>
              <w:rPr>
                <w:rFonts w:hint="eastAsia" w:cs="Times New Roman" w:eastAsiaTheme="minorEastAsia"/>
              </w:rPr>
              <w:t>9</w:t>
            </w:r>
            <w:r>
              <w:rPr>
                <w:rFonts w:cs="Times New Roman" w:eastAsiaTheme="minorEastAsia"/>
              </w:rPr>
              <w:t>-4）</w:t>
            </w:r>
          </w:p>
        </w:tc>
      </w:tr>
      <w:tr w14:paraId="5423C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3913" w:type="pct"/>
            <w:vAlign w:val="center"/>
          </w:tcPr>
          <w:p w14:paraId="0AAF9725">
            <w:pPr>
              <w:jc w:val="right"/>
              <w:rPr>
                <w:rFonts w:cs="Times New Roman"/>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s3</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f>
                  <m:fPr>
                    <m:ctrlPr>
                      <w:rPr>
                        <w:rFonts w:ascii="Cambria Math" w:hAnsi="Cambria Math" w:cs="Times New Roman" w:eastAsiaTheme="minorEastAsia"/>
                        <w:i/>
                        <w:vertAlign w:val="subscript"/>
                        <w:lang w:val="de-DE"/>
                      </w:rPr>
                    </m:ctrlPr>
                  </m:fPr>
                  <m:num>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τ</m:t>
                        </m:r>
                        <m:ctrlPr>
                          <w:rPr>
                            <w:rFonts w:ascii="Cambria Math" w:hAnsi="Cambria Math" w:cs="Times New Roman" w:eastAsiaTheme="minorEastAsia"/>
                            <w:i/>
                            <w:vertAlign w:val="subscript"/>
                            <w:lang w:val="de-DE"/>
                          </w:rPr>
                        </m:ctrlPr>
                      </m:e>
                      <m:sub>
                        <m:r>
                          <m:rPr/>
                          <w:rPr>
                            <w:rFonts w:hint="eastAsia" w:ascii="Cambria Math" w:hAnsi="Cambria Math" w:cs="Times New Roman" w:eastAsiaTheme="minorEastAsia"/>
                            <w:vertAlign w:val="subscript"/>
                            <w:lang w:val="de-DE"/>
                          </w:rPr>
                          <m:t>q</m:t>
                        </m:r>
                        <m:ctrlPr>
                          <w:rPr>
                            <w:rFonts w:ascii="Cambria Math" w:hAnsi="Cambria Math" w:cs="Times New Roman" w:eastAsiaTheme="minorEastAsia"/>
                            <w:i/>
                            <w:vertAlign w:val="subscript"/>
                            <w:lang w:val="de-DE"/>
                          </w:rPr>
                        </m:ctrlPr>
                      </m:sub>
                    </m:sSub>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A</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3</m:t>
                        </m:r>
                        <m:ctrlPr>
                          <w:rPr>
                            <w:rFonts w:ascii="Cambria Math" w:hAnsi="Cambria Math" w:cs="Times New Roman" w:eastAsiaTheme="minorEastAsia"/>
                            <w:i/>
                            <w:vertAlign w:val="subscript"/>
                            <w:lang w:val="de-DE"/>
                          </w:rPr>
                        </m:ctrlPr>
                      </m:sub>
                    </m:sSub>
                    <m:ctrlPr>
                      <w:rPr>
                        <w:rFonts w:ascii="Cambria Math" w:hAnsi="Cambria Math" w:cs="Times New Roman" w:eastAsiaTheme="minorEastAsia"/>
                        <w:i/>
                        <w:vertAlign w:val="subscript"/>
                        <w:lang w:val="de-DE"/>
                      </w:rPr>
                    </m:ctrlPr>
                  </m:num>
                  <m:den>
                    <m:nary>
                      <m:naryPr>
                        <m:chr m:val="∑"/>
                        <m:limLoc m:val="undOvr"/>
                        <m:subHide m:val="1"/>
                        <m:supHide m:val="1"/>
                        <m:ctrlPr>
                          <w:rPr>
                            <w:rFonts w:ascii="Cambria Math" w:hAnsi="Cambria Math" w:cs="Times New Roman" w:eastAsiaTheme="minorEastAsia"/>
                            <w:i/>
                            <w:vertAlign w:val="subscript"/>
                            <w:lang w:val="de-DE"/>
                          </w:rPr>
                        </m:ctrlPr>
                      </m:naryPr>
                      <m:sub>
                        <m:ctrlPr>
                          <w:rPr>
                            <w:rFonts w:ascii="Cambria Math" w:hAnsi="Cambria Math" w:cs="Times New Roman" w:eastAsiaTheme="minorEastAsia"/>
                            <w:i/>
                            <w:vertAlign w:val="subscript"/>
                            <w:lang w:val="de-DE"/>
                          </w:rPr>
                        </m:ctrlPr>
                      </m:sub>
                      <m:sup>
                        <m:ctrlPr>
                          <w:rPr>
                            <w:rFonts w:ascii="Cambria Math" w:hAnsi="Cambria Math" w:cs="Times New Roman" w:eastAsiaTheme="minorEastAsia"/>
                            <w:i/>
                            <w:vertAlign w:val="subscript"/>
                            <w:lang w:val="de-DE"/>
                          </w:rPr>
                        </m:ctrlPr>
                      </m:sup>
                      <m:e>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W</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i</m:t>
                            </m:r>
                            <m:ctrlPr>
                              <w:rPr>
                                <w:rFonts w:ascii="Cambria Math" w:hAnsi="Cambria Math" w:cs="Times New Roman" w:eastAsiaTheme="minorEastAsia"/>
                                <w:i/>
                                <w:vertAlign w:val="subscript"/>
                                <w:lang w:val="de-DE"/>
                              </w:rPr>
                            </m:ctrlPr>
                          </m:sub>
                        </m:sSub>
                        <m:ctrlPr>
                          <w:rPr>
                            <w:rFonts w:ascii="Cambria Math" w:hAnsi="Cambria Math" w:cs="Times New Roman" w:eastAsiaTheme="minorEastAsia"/>
                            <w:i/>
                            <w:vertAlign w:val="subscript"/>
                            <w:lang w:val="de-DE"/>
                          </w:rPr>
                        </m:ctrlPr>
                      </m:e>
                    </m:nary>
                    <m:r>
                      <m:rPr/>
                      <w:rPr>
                        <w:rFonts w:ascii="Cambria Math" w:hAnsi="Cambria Math" w:cs="Times New Roman" w:eastAsiaTheme="minorEastAsia"/>
                        <w:vertAlign w:val="subscript"/>
                        <w:lang w:val="de-DE"/>
                      </w:rPr>
                      <m:t>sin</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θ</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i</m:t>
                        </m:r>
                        <m:ctrlPr>
                          <w:rPr>
                            <w:rFonts w:ascii="Cambria Math" w:hAnsi="Cambria Math" w:cs="Times New Roman" w:eastAsiaTheme="minorEastAsia"/>
                            <w:i/>
                            <w:vertAlign w:val="subscript"/>
                            <w:lang w:val="de-DE"/>
                          </w:rPr>
                        </m:ctrlPr>
                      </m:sub>
                    </m:sSub>
                    <m:ctrlPr>
                      <w:rPr>
                        <w:rFonts w:ascii="Cambria Math" w:hAnsi="Cambria Math" w:cs="Times New Roman" w:eastAsiaTheme="minorEastAsia"/>
                        <w:i/>
                        <w:vertAlign w:val="subscript"/>
                        <w:lang w:val="de-DE"/>
                      </w:rPr>
                    </m:ctrlPr>
                  </m:den>
                </m:f>
              </m:oMath>
            </m:oMathPara>
          </w:p>
        </w:tc>
        <w:tc>
          <w:tcPr>
            <w:tcW w:w="1087" w:type="pct"/>
            <w:vAlign w:val="center"/>
          </w:tcPr>
          <w:p w14:paraId="0D4611C1">
            <w:pPr>
              <w:jc w:val="center"/>
              <w:rPr>
                <w:rFonts w:cs="Times New Roman" w:eastAsiaTheme="minorEastAsia"/>
              </w:rPr>
            </w:pPr>
            <w:r>
              <w:rPr>
                <w:rFonts w:cs="Times New Roman" w:eastAsiaTheme="minorEastAsia"/>
              </w:rPr>
              <w:t>（5.2.</w:t>
            </w:r>
            <w:r>
              <w:rPr>
                <w:rFonts w:hint="eastAsia" w:cs="Times New Roman" w:eastAsiaTheme="minorEastAsia"/>
              </w:rPr>
              <w:t>9</w:t>
            </w:r>
            <w:r>
              <w:rPr>
                <w:rFonts w:cs="Times New Roman" w:eastAsiaTheme="minorEastAsia"/>
              </w:rPr>
              <w:t>-5）</w:t>
            </w:r>
          </w:p>
        </w:tc>
      </w:tr>
      <w:tr w14:paraId="47DB9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3913" w:type="pct"/>
            <w:vAlign w:val="center"/>
          </w:tcPr>
          <w:p w14:paraId="7591DE7C">
            <w:pPr>
              <w:jc w:val="right"/>
              <w:rPr>
                <w:rFonts w:cs="Times New Roman"/>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s4</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f>
                  <w:bookmarkStart w:id="53" w:name="OLE_LINK34"/>
                  <m:fPr>
                    <m:ctrlPr>
                      <w:rPr>
                        <w:rFonts w:ascii="Cambria Math" w:hAnsi="Cambria Math" w:cs="Times New Roman" w:eastAsiaTheme="minorEastAsia"/>
                        <w:i/>
                        <w:vertAlign w:val="subscript"/>
                        <w:lang w:val="de-DE"/>
                      </w:rPr>
                    </m:ctrlPr>
                  </m:fPr>
                  <m:num>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τ</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y</m:t>
                        </m:r>
                        <w:bookmarkEnd w:id="53"/>
                        <m:ctrlPr>
                          <w:rPr>
                            <w:rFonts w:ascii="Cambria Math" w:hAnsi="Cambria Math" w:cs="Times New Roman" w:eastAsiaTheme="minorEastAsia"/>
                            <w:i/>
                            <w:vertAlign w:val="subscript"/>
                            <w:lang w:val="de-DE"/>
                          </w:rPr>
                        </m:ctrlPr>
                      </m:sub>
                    </m:sSub>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A</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4</m:t>
                        </m:r>
                        <m:ctrlPr>
                          <w:rPr>
                            <w:rFonts w:ascii="Cambria Math" w:hAnsi="Cambria Math" w:cs="Times New Roman" w:eastAsiaTheme="minorEastAsia"/>
                            <w:i/>
                            <w:vertAlign w:val="subscript"/>
                            <w:lang w:val="de-DE"/>
                          </w:rPr>
                        </m:ctrlPr>
                      </m:sub>
                    </m:sSub>
                    <m:ctrlPr>
                      <w:rPr>
                        <w:rFonts w:ascii="Cambria Math" w:hAnsi="Cambria Math" w:cs="Times New Roman" w:eastAsiaTheme="minorEastAsia"/>
                        <w:i/>
                        <w:vertAlign w:val="subscript"/>
                        <w:lang w:val="de-DE"/>
                      </w:rPr>
                    </m:ctrlPr>
                  </m:num>
                  <m:den>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s</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4xj</m:t>
                        </m:r>
                        <m:ctrlPr>
                          <w:rPr>
                            <w:rFonts w:ascii="Cambria Math" w:hAnsi="Cambria Math" w:cs="Times New Roman" w:eastAsiaTheme="minorEastAsia"/>
                            <w:i/>
                            <w:vertAlign w:val="subscript"/>
                            <w:lang w:val="de-DE"/>
                          </w:rPr>
                        </m:ctrlPr>
                      </m:sub>
                    </m:sSub>
                    <m:nary>
                      <m:naryPr>
                        <m:chr m:val="∑"/>
                        <m:limLoc m:val="undOvr"/>
                        <m:subHide m:val="1"/>
                        <m:supHide m:val="1"/>
                        <m:ctrlPr>
                          <w:rPr>
                            <w:rFonts w:ascii="Cambria Math" w:hAnsi="Cambria Math" w:cs="Times New Roman" w:eastAsiaTheme="minorEastAsia"/>
                            <w:i/>
                            <w:vertAlign w:val="subscript"/>
                            <w:lang w:val="de-DE"/>
                          </w:rPr>
                        </m:ctrlPr>
                      </m:naryPr>
                      <m:sub>
                        <m:ctrlPr>
                          <w:rPr>
                            <w:rFonts w:ascii="Cambria Math" w:hAnsi="Cambria Math" w:cs="Times New Roman" w:eastAsiaTheme="minorEastAsia"/>
                            <w:i/>
                            <w:vertAlign w:val="subscript"/>
                            <w:lang w:val="de-DE"/>
                          </w:rPr>
                        </m:ctrlPr>
                      </m:sub>
                      <m:sup>
                        <m:ctrlPr>
                          <w:rPr>
                            <w:rFonts w:ascii="Cambria Math" w:hAnsi="Cambria Math" w:cs="Times New Roman" w:eastAsiaTheme="minorEastAsia"/>
                            <w:i/>
                            <w:vertAlign w:val="subscript"/>
                            <w:lang w:val="de-DE"/>
                          </w:rPr>
                        </m:ctrlPr>
                      </m:sup>
                      <m:e>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W</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i</m:t>
                            </m:r>
                            <m:ctrlPr>
                              <w:rPr>
                                <w:rFonts w:ascii="Cambria Math" w:hAnsi="Cambria Math" w:cs="Times New Roman" w:eastAsiaTheme="minorEastAsia"/>
                                <w:i/>
                                <w:vertAlign w:val="subscript"/>
                                <w:lang w:val="de-DE"/>
                              </w:rPr>
                            </m:ctrlPr>
                          </m:sub>
                        </m:sSub>
                        <m:ctrlPr>
                          <w:rPr>
                            <w:rFonts w:ascii="Cambria Math" w:hAnsi="Cambria Math" w:cs="Times New Roman" w:eastAsiaTheme="minorEastAsia"/>
                            <w:i/>
                            <w:vertAlign w:val="subscript"/>
                            <w:lang w:val="de-DE"/>
                          </w:rPr>
                        </m:ctrlPr>
                      </m:e>
                    </m:nary>
                    <m:r>
                      <m:rPr/>
                      <w:rPr>
                        <w:rFonts w:ascii="Cambria Math" w:hAnsi="Cambria Math" w:cs="Times New Roman" w:eastAsiaTheme="minorEastAsia"/>
                        <w:vertAlign w:val="subscript"/>
                        <w:lang w:val="de-DE"/>
                      </w:rPr>
                      <m:t>sin</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θ</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i</m:t>
                        </m:r>
                        <m:ctrlPr>
                          <w:rPr>
                            <w:rFonts w:ascii="Cambria Math" w:hAnsi="Cambria Math" w:cs="Times New Roman" w:eastAsiaTheme="minorEastAsia"/>
                            <w:i/>
                            <w:vertAlign w:val="subscript"/>
                            <w:lang w:val="de-DE"/>
                          </w:rPr>
                        </m:ctrlPr>
                      </m:sub>
                    </m:sSub>
                    <m:ctrlPr>
                      <w:rPr>
                        <w:rFonts w:ascii="Cambria Math" w:hAnsi="Cambria Math" w:cs="Times New Roman" w:eastAsiaTheme="minorEastAsia"/>
                        <w:i/>
                        <w:vertAlign w:val="subscript"/>
                        <w:lang w:val="de-DE"/>
                      </w:rPr>
                    </m:ctrlPr>
                  </m:den>
                </m:f>
              </m:oMath>
            </m:oMathPara>
          </w:p>
        </w:tc>
        <w:tc>
          <w:tcPr>
            <w:tcW w:w="1087" w:type="pct"/>
            <w:vAlign w:val="center"/>
          </w:tcPr>
          <w:p w14:paraId="78113999">
            <w:pPr>
              <w:jc w:val="center"/>
              <w:rPr>
                <w:rFonts w:cs="Times New Roman" w:eastAsiaTheme="minorEastAsia"/>
              </w:rPr>
            </w:pPr>
            <w:r>
              <w:rPr>
                <w:rFonts w:cs="Times New Roman" w:eastAsiaTheme="minorEastAsia"/>
              </w:rPr>
              <w:t>（5.2.</w:t>
            </w:r>
            <w:r>
              <w:rPr>
                <w:rFonts w:hint="eastAsia" w:cs="Times New Roman" w:eastAsiaTheme="minorEastAsia"/>
              </w:rPr>
              <w:t>9</w:t>
            </w:r>
            <w:r>
              <w:rPr>
                <w:rFonts w:cs="Times New Roman" w:eastAsiaTheme="minorEastAsia"/>
              </w:rPr>
              <w:t>-6）</w:t>
            </w:r>
          </w:p>
        </w:tc>
      </w:tr>
    </w:tbl>
    <w:tbl>
      <w:tblPr>
        <w:tblStyle w:val="13"/>
        <w:tblW w:w="5000" w:type="pct"/>
        <w:tblInd w:w="0" w:type="dxa"/>
        <w:tblLayout w:type="autofit"/>
        <w:tblCellMar>
          <w:top w:w="0" w:type="dxa"/>
          <w:left w:w="108" w:type="dxa"/>
          <w:bottom w:w="0" w:type="dxa"/>
          <w:right w:w="108" w:type="dxa"/>
        </w:tblCellMar>
      </w:tblPr>
      <w:tblGrid>
        <w:gridCol w:w="637"/>
        <w:gridCol w:w="1767"/>
        <w:gridCol w:w="538"/>
        <w:gridCol w:w="5903"/>
      </w:tblGrid>
      <w:tr w14:paraId="6A1CDA6B">
        <w:tblPrEx>
          <w:tblCellMar>
            <w:top w:w="0" w:type="dxa"/>
            <w:left w:w="108" w:type="dxa"/>
            <w:bottom w:w="0" w:type="dxa"/>
            <w:right w:w="108" w:type="dxa"/>
          </w:tblCellMar>
        </w:tblPrEx>
        <w:trPr>
          <w:trHeight w:val="1322" w:hRule="exact"/>
        </w:trPr>
        <w:tc>
          <w:tcPr>
            <w:tcW w:w="360" w:type="pct"/>
            <w:tcMar>
              <w:left w:w="0" w:type="dxa"/>
              <w:right w:w="28" w:type="dxa"/>
            </w:tcMar>
          </w:tcPr>
          <w:p w14:paraId="45AB75BE">
            <w:pPr>
              <w:rPr>
                <w:rFonts w:cs="Times New Roman" w:eastAsiaTheme="minorEastAsia"/>
              </w:rPr>
            </w:pPr>
            <w:r>
              <w:rPr>
                <w:rFonts w:hint="eastAsia" w:cs="Times New Roman" w:eastAsiaTheme="minorEastAsia"/>
              </w:rPr>
              <w:t>式中：</w:t>
            </w:r>
          </w:p>
          <w:p w14:paraId="5DD0C40D">
            <w:pPr>
              <w:spacing w:line="530" w:lineRule="exact"/>
              <w:rPr>
                <w:rFonts w:cs="Times New Roman" w:eastAsiaTheme="minorEastAsia"/>
              </w:rPr>
            </w:pPr>
          </w:p>
        </w:tc>
        <w:tc>
          <w:tcPr>
            <w:tcW w:w="999" w:type="pct"/>
            <w:tcMar>
              <w:left w:w="0" w:type="dxa"/>
              <w:right w:w="28" w:type="dxa"/>
            </w:tcMar>
          </w:tcPr>
          <w:p w14:paraId="1CBAF962">
            <w:pPr>
              <w:spacing w:line="530" w:lineRule="exact"/>
              <w:rPr>
                <w:rFonts w:cs="Times New Roman" w:eastAsiaTheme="minorEastAsia"/>
                <w:i/>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s</m:t>
                    </m:r>
                    <m:ctrlPr>
                      <w:rPr>
                        <w:rFonts w:ascii="Cambria Math" w:hAnsi="Cambria Math" w:cs="Times New Roman" w:eastAsiaTheme="minorEastAsia"/>
                        <w:i/>
                        <w:vertAlign w:val="subscript"/>
                        <w:lang w:val="de-DE"/>
                      </w:rPr>
                    </m:ctrlPr>
                  </m:sub>
                </m:sSub>
              </m:oMath>
            </m:oMathPara>
          </w:p>
          <w:p w14:paraId="77661311">
            <w:pPr>
              <w:rPr>
                <w:rFonts w:cs="Times New Roman" w:eastAsiaTheme="minorEastAsia"/>
                <w:i/>
              </w:rPr>
            </w:pPr>
          </w:p>
        </w:tc>
        <w:tc>
          <w:tcPr>
            <w:tcW w:w="304" w:type="pct"/>
            <w:tcMar>
              <w:left w:w="28" w:type="dxa"/>
              <w:right w:w="0" w:type="dxa"/>
            </w:tcMar>
          </w:tcPr>
          <w:p w14:paraId="6C8618BE">
            <w:pPr>
              <w:rPr>
                <w:rFonts w:cs="Times New Roman" w:eastAsiaTheme="minorEastAsia"/>
                <w:lang w:val="de-DE"/>
              </w:rPr>
            </w:pPr>
            <w:r>
              <w:rPr>
                <w:rFonts w:cs="Times New Roman" w:eastAsiaTheme="minorEastAsia"/>
                <w:lang w:val="de-DE"/>
              </w:rPr>
              <w:t>——</w:t>
            </w:r>
          </w:p>
          <w:p w14:paraId="24867385">
            <w:pPr>
              <w:rPr>
                <w:rFonts w:cs="Times New Roman" w:eastAsiaTheme="minorEastAsia"/>
              </w:rPr>
            </w:pPr>
          </w:p>
        </w:tc>
        <w:tc>
          <w:tcPr>
            <w:tcW w:w="3337" w:type="pct"/>
            <w:tcMar>
              <w:left w:w="0" w:type="dxa"/>
              <w:right w:w="0" w:type="dxa"/>
            </w:tcMar>
          </w:tcPr>
          <w:p w14:paraId="640C8C4C">
            <w:pPr>
              <w:rPr>
                <w:rFonts w:cs="Times New Roman" w:eastAsiaTheme="minorEastAsia"/>
              </w:rPr>
            </w:pPr>
            <w:r>
              <w:rPr>
                <w:rFonts w:cs="Times New Roman" w:eastAsiaTheme="minorEastAsia"/>
              </w:rPr>
              <w:t>整体稳定性安全系数，对应于基坑安全等级一、二、三级分别取1.4、1.3、1.2；开挖过程中最不利工况下可乘以0.9的系数；</w:t>
            </w:r>
          </w:p>
          <w:p w14:paraId="26CEE466">
            <w:pPr>
              <w:rPr>
                <w:rFonts w:cs="Times New Roman" w:eastAsiaTheme="minorEastAsia"/>
              </w:rPr>
            </w:pPr>
          </w:p>
        </w:tc>
      </w:tr>
      <w:tr w14:paraId="24EB4F0D">
        <w:tblPrEx>
          <w:tblCellMar>
            <w:top w:w="0" w:type="dxa"/>
            <w:left w:w="108" w:type="dxa"/>
            <w:bottom w:w="0" w:type="dxa"/>
            <w:right w:w="108" w:type="dxa"/>
          </w:tblCellMar>
        </w:tblPrEx>
        <w:trPr>
          <w:trHeight w:val="1369" w:hRule="exact"/>
        </w:trPr>
        <w:tc>
          <w:tcPr>
            <w:tcW w:w="360" w:type="pct"/>
            <w:vMerge w:val="restart"/>
            <w:tcMar>
              <w:left w:w="0" w:type="dxa"/>
              <w:right w:w="28" w:type="dxa"/>
            </w:tcMar>
          </w:tcPr>
          <w:p w14:paraId="2F513896">
            <w:pPr>
              <w:spacing w:line="530" w:lineRule="exact"/>
              <w:rPr>
                <w:rFonts w:cs="Times New Roman" w:eastAsiaTheme="minorEastAsia"/>
              </w:rPr>
            </w:pPr>
          </w:p>
        </w:tc>
        <w:tc>
          <w:tcPr>
            <w:tcW w:w="999" w:type="pct"/>
            <w:tcMar>
              <w:left w:w="0" w:type="dxa"/>
              <w:right w:w="28" w:type="dxa"/>
            </w:tcMar>
          </w:tcPr>
          <w:p w14:paraId="59F4B16D">
            <w:pPr>
              <w:spacing w:line="530" w:lineRule="exact"/>
              <w:rPr>
                <w:rFonts w:cs="Times New Roman" w:eastAsiaTheme="minorEastAsia"/>
                <w:i/>
              </w:rPr>
            </w:pPr>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s0</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s1</m:t>
                  </m:r>
                  <m:ctrlPr>
                    <w:rPr>
                      <w:rFonts w:ascii="Cambria Math" w:hAnsi="Cambria Math" w:cs="Times New Roman" w:eastAsiaTheme="minorEastAsia"/>
                      <w:i/>
                      <w:vertAlign w:val="subscript"/>
                      <w:lang w:val="de-DE"/>
                    </w:rPr>
                  </m:ctrlPr>
                </m:sub>
              </m:sSub>
              <m:r>
                <m:rPr/>
                <w:rPr>
                  <w:rFonts w:hint="eastAsia" w:ascii="Cambria Math" w:hAnsi="Cambria Math" w:cs="Times New Roman" w:eastAsiaTheme="minorEastAsia"/>
                  <w:vertAlign w:val="subscript"/>
                  <w:lang w:val="de-DE"/>
                </w:rPr>
                <m:t>、</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s2</m:t>
                  </m:r>
                  <m:ctrlPr>
                    <w:rPr>
                      <w:rFonts w:ascii="Cambria Math" w:hAnsi="Cambria Math" w:cs="Times New Roman" w:eastAsiaTheme="minorEastAsia"/>
                      <w:i/>
                      <w:vertAlign w:val="subscript"/>
                      <w:lang w:val="de-DE"/>
                    </w:rPr>
                  </m:ctrlPr>
                </m:sub>
              </m:sSub>
            </m:oMath>
            <w:r>
              <w:rPr>
                <w:rFonts w:hint="eastAsia" w:hAnsi="Cambria Math" w:cs="Times New Roman" w:eastAsiaTheme="minorEastAsia"/>
                <w:i/>
                <w:lang w:val="de-DE"/>
              </w:rPr>
              <w:t>、</w:t>
            </w:r>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s3</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s4</m:t>
                  </m:r>
                  <m:ctrlPr>
                    <w:rPr>
                      <w:rFonts w:ascii="Cambria Math" w:hAnsi="Cambria Math" w:cs="Times New Roman" w:eastAsiaTheme="minorEastAsia"/>
                      <w:i/>
                      <w:vertAlign w:val="subscript"/>
                      <w:lang w:val="de-DE"/>
                    </w:rPr>
                  </m:ctrlPr>
                </m:sub>
              </m:sSub>
            </m:oMath>
          </w:p>
        </w:tc>
        <w:tc>
          <w:tcPr>
            <w:tcW w:w="304" w:type="pct"/>
            <w:tcMar>
              <w:left w:w="28" w:type="dxa"/>
              <w:right w:w="0" w:type="dxa"/>
            </w:tcMar>
          </w:tcPr>
          <w:p w14:paraId="1A1F9048">
            <w:pPr>
              <w:rPr>
                <w:rFonts w:cs="Times New Roman" w:eastAsiaTheme="minorEastAsia"/>
                <w:lang w:val="de-DE"/>
              </w:rPr>
            </w:pPr>
          </w:p>
          <w:p w14:paraId="3015371E">
            <w:pPr>
              <w:rPr>
                <w:rFonts w:cs="Times New Roman" w:eastAsiaTheme="minorEastAsia"/>
                <w:lang w:val="de-DE"/>
              </w:rPr>
            </w:pPr>
            <w:r>
              <w:rPr>
                <w:rFonts w:cs="Times New Roman" w:eastAsiaTheme="minorEastAsia"/>
                <w:lang w:val="de-DE"/>
              </w:rPr>
              <w:t>——</w:t>
            </w:r>
          </w:p>
          <w:p w14:paraId="1B4781C2">
            <w:pPr>
              <w:rPr>
                <w:rFonts w:cs="Times New Roman" w:eastAsiaTheme="minorEastAsia"/>
              </w:rPr>
            </w:pPr>
          </w:p>
        </w:tc>
        <w:tc>
          <w:tcPr>
            <w:tcW w:w="3337" w:type="pct"/>
            <w:tcMar>
              <w:left w:w="0" w:type="dxa"/>
              <w:right w:w="0" w:type="dxa"/>
            </w:tcMar>
          </w:tcPr>
          <w:p w14:paraId="59F4A661">
            <w:pPr>
              <w:rPr>
                <w:rFonts w:cs="Times New Roman" w:eastAsiaTheme="minorEastAsia"/>
              </w:rPr>
            </w:pPr>
            <w:r>
              <w:rPr>
                <w:rFonts w:cs="Times New Roman" w:eastAsiaTheme="minorEastAsia"/>
              </w:rPr>
              <w:t>整体稳定性分项抗力系数，分别为土、土钉、预应力锚杆（索）、截水帷幕及微型桩产生的抗滑力矩与土体下滑力矩比；</w:t>
            </w:r>
          </w:p>
          <w:p w14:paraId="2149BD2E">
            <w:pPr>
              <w:rPr>
                <w:rFonts w:cs="Times New Roman" w:eastAsiaTheme="minorEastAsia"/>
              </w:rPr>
            </w:pPr>
          </w:p>
        </w:tc>
      </w:tr>
      <w:tr w14:paraId="1654BE79">
        <w:tblPrEx>
          <w:tblCellMar>
            <w:top w:w="0" w:type="dxa"/>
            <w:left w:w="108" w:type="dxa"/>
            <w:bottom w:w="0" w:type="dxa"/>
            <w:right w:w="108" w:type="dxa"/>
          </w:tblCellMar>
        </w:tblPrEx>
        <w:trPr>
          <w:trHeight w:val="609" w:hRule="exact"/>
        </w:trPr>
        <w:tc>
          <w:tcPr>
            <w:tcW w:w="360" w:type="pct"/>
            <w:vMerge w:val="continue"/>
            <w:tcMar>
              <w:left w:w="0" w:type="dxa"/>
              <w:right w:w="28" w:type="dxa"/>
            </w:tcMar>
          </w:tcPr>
          <w:p w14:paraId="7C19BBE9">
            <w:pPr>
              <w:rPr>
                <w:rFonts w:cs="Times New Roman" w:eastAsiaTheme="minorEastAsia"/>
              </w:rPr>
            </w:pPr>
          </w:p>
        </w:tc>
        <w:tc>
          <w:tcPr>
            <w:tcW w:w="999" w:type="pct"/>
            <w:tcMar>
              <w:left w:w="0" w:type="dxa"/>
              <w:right w:w="28" w:type="dxa"/>
            </w:tcMar>
            <w:vAlign w:val="center"/>
          </w:tcPr>
          <w:p w14:paraId="024AE2FE">
            <w:pPr>
              <w:spacing w:line="530" w:lineRule="exact"/>
              <w:rPr>
                <w:rFonts w:cs="Times New Roman" w:eastAsiaTheme="minorEastAsia"/>
                <w:i/>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c</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i</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φ</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i</m:t>
                    </m:r>
                    <m:ctrlPr>
                      <w:rPr>
                        <w:rFonts w:ascii="Cambria Math" w:hAnsi="Cambria Math" w:cs="Times New Roman" w:eastAsiaTheme="minorEastAsia"/>
                        <w:i/>
                        <w:vertAlign w:val="subscript"/>
                        <w:lang w:val="de-DE"/>
                      </w:rPr>
                    </m:ctrlPr>
                  </m:sub>
                </m:sSub>
              </m:oMath>
            </m:oMathPara>
          </w:p>
        </w:tc>
        <w:tc>
          <w:tcPr>
            <w:tcW w:w="304" w:type="pct"/>
            <w:tcMar>
              <w:left w:w="28" w:type="dxa"/>
              <w:right w:w="0" w:type="dxa"/>
            </w:tcMar>
            <w:vAlign w:val="center"/>
          </w:tcPr>
          <w:p w14:paraId="0DF2DBCE">
            <w:pPr>
              <w:rPr>
                <w:rFonts w:cs="Times New Roman" w:eastAsiaTheme="minorEastAsia"/>
                <w:lang w:val="de-DE"/>
              </w:rPr>
            </w:pPr>
            <w:r>
              <w:rPr>
                <w:rFonts w:cs="Times New Roman" w:eastAsiaTheme="minorEastAsia"/>
                <w:lang w:val="de-DE"/>
              </w:rPr>
              <w:t>——</w:t>
            </w:r>
          </w:p>
        </w:tc>
        <w:tc>
          <w:tcPr>
            <w:tcW w:w="3337" w:type="pct"/>
            <w:tcMar>
              <w:left w:w="0" w:type="dxa"/>
              <w:right w:w="0" w:type="dxa"/>
            </w:tcMar>
            <w:vAlign w:val="center"/>
          </w:tcPr>
          <w:p w14:paraId="38E723CA">
            <w:pPr>
              <w:rPr>
                <w:rFonts w:cs="Times New Roman" w:eastAsiaTheme="minorEastAsia"/>
              </w:rPr>
            </w:pPr>
            <w:r>
              <w:rPr>
                <w:rFonts w:cs="Times New Roman" w:eastAsiaTheme="minorEastAsia"/>
              </w:rPr>
              <w:t>第</w:t>
            </w:r>
            <w:r>
              <w:rPr>
                <w:rFonts w:cs="Times New Roman" w:eastAsiaTheme="minorEastAsia"/>
                <w:i/>
                <w:iCs/>
              </w:rPr>
              <w:t>i</w:t>
            </w:r>
            <w:r>
              <w:rPr>
                <w:rFonts w:cs="Times New Roman" w:eastAsiaTheme="minorEastAsia"/>
              </w:rPr>
              <w:t>个土条在滑弧面上的粘聚力及内摩擦角；</w:t>
            </w:r>
          </w:p>
        </w:tc>
      </w:tr>
      <w:tr w14:paraId="1DC393CE">
        <w:tblPrEx>
          <w:tblCellMar>
            <w:top w:w="0" w:type="dxa"/>
            <w:left w:w="108" w:type="dxa"/>
            <w:bottom w:w="0" w:type="dxa"/>
            <w:right w:w="108" w:type="dxa"/>
          </w:tblCellMar>
        </w:tblPrEx>
        <w:trPr>
          <w:trHeight w:val="575" w:hRule="exact"/>
        </w:trPr>
        <w:tc>
          <w:tcPr>
            <w:tcW w:w="360" w:type="pct"/>
            <w:vMerge w:val="continue"/>
            <w:tcMar>
              <w:left w:w="0" w:type="dxa"/>
              <w:right w:w="28" w:type="dxa"/>
            </w:tcMar>
          </w:tcPr>
          <w:p w14:paraId="44554A6F">
            <w:pPr>
              <w:rPr>
                <w:rFonts w:cs="Times New Roman" w:eastAsiaTheme="minorEastAsia"/>
              </w:rPr>
            </w:pPr>
          </w:p>
        </w:tc>
        <w:tc>
          <w:tcPr>
            <w:tcW w:w="999" w:type="pct"/>
            <w:tcMar>
              <w:left w:w="0" w:type="dxa"/>
              <w:right w:w="28" w:type="dxa"/>
            </w:tcMar>
          </w:tcPr>
          <w:p w14:paraId="171552DA">
            <w:pPr>
              <w:spacing w:line="530" w:lineRule="exact"/>
              <w:rPr>
                <w:rFonts w:cs="Times New Roman" w:eastAsiaTheme="minorEastAsia"/>
                <w:i/>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L</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i</m:t>
                    </m:r>
                    <m:ctrlPr>
                      <w:rPr>
                        <w:rFonts w:ascii="Cambria Math" w:hAnsi="Cambria Math" w:cs="Times New Roman" w:eastAsiaTheme="minorEastAsia"/>
                        <w:i/>
                        <w:vertAlign w:val="subscript"/>
                        <w:lang w:val="de-DE"/>
                      </w:rPr>
                    </m:ctrlPr>
                  </m:sub>
                </m:sSub>
              </m:oMath>
            </m:oMathPara>
          </w:p>
        </w:tc>
        <w:tc>
          <w:tcPr>
            <w:tcW w:w="304" w:type="pct"/>
            <w:tcMar>
              <w:left w:w="28" w:type="dxa"/>
              <w:right w:w="0" w:type="dxa"/>
            </w:tcMar>
          </w:tcPr>
          <w:p w14:paraId="28183676">
            <w:pPr>
              <w:rPr>
                <w:rFonts w:cs="Times New Roman" w:eastAsiaTheme="minorEastAsia"/>
              </w:rPr>
            </w:pPr>
            <w:r>
              <w:rPr>
                <w:rFonts w:cs="Times New Roman" w:eastAsiaTheme="minorEastAsia"/>
                <w:lang w:val="de-DE"/>
              </w:rPr>
              <w:t>——</w:t>
            </w:r>
          </w:p>
        </w:tc>
        <w:tc>
          <w:tcPr>
            <w:tcW w:w="3337" w:type="pct"/>
            <w:tcMar>
              <w:left w:w="0" w:type="dxa"/>
              <w:right w:w="0" w:type="dxa"/>
            </w:tcMar>
          </w:tcPr>
          <w:p w14:paraId="43EE085C">
            <w:pPr>
              <w:rPr>
                <w:rFonts w:cs="Times New Roman" w:eastAsiaTheme="minorEastAsia"/>
              </w:rPr>
            </w:pPr>
            <w:r>
              <w:rPr>
                <w:rFonts w:cs="Times New Roman" w:eastAsiaTheme="minorEastAsia"/>
              </w:rPr>
              <w:t>第</w:t>
            </w:r>
            <w:r>
              <w:rPr>
                <w:rFonts w:cs="Times New Roman" w:eastAsiaTheme="minorEastAsia"/>
                <w:i/>
                <w:iCs/>
              </w:rPr>
              <w:t>i</w:t>
            </w:r>
            <w:r>
              <w:rPr>
                <w:rFonts w:cs="Times New Roman" w:eastAsiaTheme="minorEastAsia"/>
              </w:rPr>
              <w:t>个土条在滑弧面上的弧长；</w:t>
            </w:r>
          </w:p>
        </w:tc>
      </w:tr>
      <w:tr w14:paraId="1D5FEAE5">
        <w:tblPrEx>
          <w:tblCellMar>
            <w:top w:w="0" w:type="dxa"/>
            <w:left w:w="108" w:type="dxa"/>
            <w:bottom w:w="0" w:type="dxa"/>
            <w:right w:w="108" w:type="dxa"/>
          </w:tblCellMar>
        </w:tblPrEx>
        <w:trPr>
          <w:trHeight w:val="555" w:hRule="exact"/>
        </w:trPr>
        <w:tc>
          <w:tcPr>
            <w:tcW w:w="360" w:type="pct"/>
            <w:vMerge w:val="continue"/>
            <w:tcMar>
              <w:left w:w="0" w:type="dxa"/>
              <w:right w:w="28" w:type="dxa"/>
            </w:tcMar>
          </w:tcPr>
          <w:p w14:paraId="5C034B41">
            <w:pPr>
              <w:rPr>
                <w:rFonts w:cs="Times New Roman" w:eastAsiaTheme="minorEastAsia"/>
              </w:rPr>
            </w:pPr>
          </w:p>
        </w:tc>
        <w:tc>
          <w:tcPr>
            <w:tcW w:w="999" w:type="pct"/>
            <w:tcMar>
              <w:left w:w="0" w:type="dxa"/>
              <w:right w:w="28" w:type="dxa"/>
            </w:tcMar>
            <w:vAlign w:val="center"/>
          </w:tcPr>
          <w:p w14:paraId="056AF39A">
            <w:pPr>
              <w:spacing w:line="530" w:lineRule="exact"/>
              <w:rPr>
                <w:rFonts w:cs="Times New Roman" w:eastAsiaTheme="minorEastAsia"/>
                <w:i/>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W</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i</m:t>
                    </m:r>
                    <m:ctrlPr>
                      <w:rPr>
                        <w:rFonts w:ascii="Cambria Math" w:hAnsi="Cambria Math" w:cs="Times New Roman" w:eastAsiaTheme="minorEastAsia"/>
                        <w:i/>
                        <w:vertAlign w:val="subscript"/>
                        <w:lang w:val="de-DE"/>
                      </w:rPr>
                    </m:ctrlPr>
                  </m:sub>
                </m:sSub>
              </m:oMath>
            </m:oMathPara>
          </w:p>
        </w:tc>
        <w:tc>
          <w:tcPr>
            <w:tcW w:w="304" w:type="pct"/>
            <w:tcMar>
              <w:left w:w="28" w:type="dxa"/>
              <w:right w:w="0" w:type="dxa"/>
            </w:tcMar>
            <w:vAlign w:val="center"/>
          </w:tcPr>
          <w:p w14:paraId="73101F80">
            <w:pPr>
              <w:rPr>
                <w:rFonts w:cs="Times New Roman" w:eastAsiaTheme="minorEastAsia"/>
              </w:rPr>
            </w:pPr>
            <w:r>
              <w:rPr>
                <w:rFonts w:cs="Times New Roman" w:eastAsiaTheme="minorEastAsia"/>
                <w:lang w:val="de-DE"/>
              </w:rPr>
              <w:t>——</w:t>
            </w:r>
          </w:p>
        </w:tc>
        <w:tc>
          <w:tcPr>
            <w:tcW w:w="3337" w:type="pct"/>
            <w:tcMar>
              <w:left w:w="0" w:type="dxa"/>
              <w:right w:w="0" w:type="dxa"/>
            </w:tcMar>
            <w:vAlign w:val="center"/>
          </w:tcPr>
          <w:p w14:paraId="4C95796B">
            <w:pPr>
              <w:rPr>
                <w:rFonts w:cs="Times New Roman" w:eastAsiaTheme="minorEastAsia"/>
              </w:rPr>
            </w:pPr>
            <w:r>
              <w:rPr>
                <w:rFonts w:cs="Times New Roman" w:eastAsiaTheme="minorEastAsia"/>
              </w:rPr>
              <w:t>第</w:t>
            </w:r>
            <w:r>
              <w:rPr>
                <w:rFonts w:cs="Times New Roman" w:eastAsiaTheme="minorEastAsia"/>
                <w:i/>
                <w:iCs/>
              </w:rPr>
              <w:t>i</w:t>
            </w:r>
            <w:r>
              <w:rPr>
                <w:rFonts w:cs="Times New Roman" w:eastAsiaTheme="minorEastAsia"/>
              </w:rPr>
              <w:t>个土条重量，包括作用的该土条上的各种附加荷载；</w:t>
            </w:r>
          </w:p>
        </w:tc>
      </w:tr>
      <w:tr w14:paraId="45450F55">
        <w:tblPrEx>
          <w:tblCellMar>
            <w:top w:w="0" w:type="dxa"/>
            <w:left w:w="108" w:type="dxa"/>
            <w:bottom w:w="0" w:type="dxa"/>
            <w:right w:w="108" w:type="dxa"/>
          </w:tblCellMar>
        </w:tblPrEx>
        <w:trPr>
          <w:trHeight w:val="555" w:hRule="exact"/>
        </w:trPr>
        <w:tc>
          <w:tcPr>
            <w:tcW w:w="360" w:type="pct"/>
            <w:vMerge w:val="continue"/>
            <w:tcMar>
              <w:left w:w="0" w:type="dxa"/>
              <w:right w:w="28" w:type="dxa"/>
            </w:tcMar>
          </w:tcPr>
          <w:p w14:paraId="5F52B3F3">
            <w:pPr>
              <w:rPr>
                <w:rFonts w:cs="Times New Roman" w:eastAsiaTheme="minorEastAsia"/>
              </w:rPr>
            </w:pPr>
          </w:p>
        </w:tc>
        <w:tc>
          <w:tcPr>
            <w:tcW w:w="999" w:type="pct"/>
            <w:tcMar>
              <w:left w:w="0" w:type="dxa"/>
              <w:right w:w="28" w:type="dxa"/>
            </w:tcMar>
            <w:vAlign w:val="center"/>
          </w:tcPr>
          <w:p w14:paraId="02CE64AC">
            <w:pPr>
              <w:spacing w:line="530" w:lineRule="exact"/>
              <w:rPr>
                <w:rFonts w:cs="Times New Roman"/>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θ</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i</m:t>
                    </m:r>
                    <m:ctrlPr>
                      <w:rPr>
                        <w:rFonts w:ascii="Cambria Math" w:hAnsi="Cambria Math" w:cs="Times New Roman" w:eastAsiaTheme="minorEastAsia"/>
                        <w:i/>
                        <w:vertAlign w:val="subscript"/>
                        <w:lang w:val="de-DE"/>
                      </w:rPr>
                    </m:ctrlPr>
                  </m:sub>
                </m:sSub>
              </m:oMath>
            </m:oMathPara>
          </w:p>
        </w:tc>
        <w:tc>
          <w:tcPr>
            <w:tcW w:w="304" w:type="pct"/>
            <w:tcMar>
              <w:left w:w="28" w:type="dxa"/>
              <w:right w:w="0" w:type="dxa"/>
            </w:tcMar>
            <w:vAlign w:val="center"/>
          </w:tcPr>
          <w:p w14:paraId="42F8C378">
            <w:pPr>
              <w:rPr>
                <w:rFonts w:cs="Times New Roman" w:eastAsiaTheme="minorEastAsia"/>
                <w:lang w:val="de-DE"/>
              </w:rPr>
            </w:pPr>
            <w:r>
              <w:rPr>
                <w:rFonts w:cs="Times New Roman" w:eastAsiaTheme="minorEastAsia"/>
                <w:lang w:val="de-DE"/>
              </w:rPr>
              <w:t>——</w:t>
            </w:r>
          </w:p>
        </w:tc>
        <w:tc>
          <w:tcPr>
            <w:tcW w:w="3337" w:type="pct"/>
            <w:tcMar>
              <w:left w:w="0" w:type="dxa"/>
              <w:right w:w="0" w:type="dxa"/>
            </w:tcMar>
            <w:vAlign w:val="center"/>
          </w:tcPr>
          <w:p w14:paraId="5215035F">
            <w:pPr>
              <w:rPr>
                <w:rFonts w:cs="Times New Roman" w:eastAsiaTheme="minorEastAsia"/>
              </w:rPr>
            </w:pPr>
            <w:r>
              <w:rPr>
                <w:rFonts w:cs="Times New Roman" w:eastAsiaTheme="minorEastAsia"/>
              </w:rPr>
              <w:t>第</w:t>
            </w:r>
            <w:r>
              <w:rPr>
                <w:rFonts w:cs="Times New Roman" w:eastAsiaTheme="minorEastAsia"/>
                <w:i/>
                <w:iCs/>
              </w:rPr>
              <w:t>i</w:t>
            </w:r>
            <w:r>
              <w:rPr>
                <w:rFonts w:cs="Times New Roman" w:eastAsiaTheme="minorEastAsia"/>
              </w:rPr>
              <w:t>个土条在滑弧面中点处的法线与垂直面的夹角；</w:t>
            </w:r>
          </w:p>
          <w:p w14:paraId="5C6FBA25">
            <w:pPr>
              <w:rPr>
                <w:rFonts w:cs="Times New Roman" w:eastAsiaTheme="minorEastAsia"/>
              </w:rPr>
            </w:pPr>
          </w:p>
        </w:tc>
      </w:tr>
      <w:tr w14:paraId="14BF9435">
        <w:tblPrEx>
          <w:tblCellMar>
            <w:top w:w="0" w:type="dxa"/>
            <w:left w:w="108" w:type="dxa"/>
            <w:bottom w:w="0" w:type="dxa"/>
            <w:right w:w="108" w:type="dxa"/>
          </w:tblCellMar>
        </w:tblPrEx>
        <w:trPr>
          <w:trHeight w:val="1152" w:hRule="exact"/>
        </w:trPr>
        <w:tc>
          <w:tcPr>
            <w:tcW w:w="360" w:type="pct"/>
            <w:vMerge w:val="continue"/>
            <w:tcMar>
              <w:left w:w="0" w:type="dxa"/>
              <w:right w:w="28" w:type="dxa"/>
            </w:tcMar>
          </w:tcPr>
          <w:p w14:paraId="49C0C1A4">
            <w:pPr>
              <w:rPr>
                <w:rFonts w:cs="Times New Roman" w:eastAsiaTheme="minorEastAsia"/>
              </w:rPr>
            </w:pPr>
          </w:p>
        </w:tc>
        <w:tc>
          <w:tcPr>
            <w:tcW w:w="999" w:type="pct"/>
            <w:tcMar>
              <w:left w:w="0" w:type="dxa"/>
              <w:right w:w="28" w:type="dxa"/>
            </w:tcMar>
            <w:vAlign w:val="center"/>
          </w:tcPr>
          <w:p w14:paraId="1EE7945D">
            <w:pPr>
              <w:spacing w:line="530" w:lineRule="exact"/>
              <w:rPr>
                <w:rFonts w:cs="Times New Roman" w:eastAsiaTheme="minorEastAsia"/>
                <w:i/>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η</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1</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η</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2</m:t>
                    </m:r>
                    <m:ctrlPr>
                      <w:rPr>
                        <w:rFonts w:ascii="Cambria Math" w:hAnsi="Cambria Math" w:cs="Times New Roman" w:eastAsiaTheme="minorEastAsia"/>
                        <w:i/>
                        <w:vertAlign w:val="subscript"/>
                        <w:lang w:val="de-DE"/>
                      </w:rPr>
                    </m:ctrlPr>
                  </m:sub>
                </m:sSub>
              </m:oMath>
            </m:oMathPara>
          </w:p>
          <w:p w14:paraId="353382FC">
            <w:pPr>
              <w:spacing w:line="530" w:lineRule="exact"/>
              <w:rPr>
                <w:rFonts w:cs="Times New Roman" w:eastAsiaTheme="minorEastAsia"/>
                <w:i/>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η</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3</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η</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4</m:t>
                    </m:r>
                    <m:ctrlPr>
                      <w:rPr>
                        <w:rFonts w:ascii="Cambria Math" w:hAnsi="Cambria Math" w:cs="Times New Roman" w:eastAsiaTheme="minorEastAsia"/>
                        <w:i/>
                        <w:vertAlign w:val="subscript"/>
                        <w:lang w:val="de-DE"/>
                      </w:rPr>
                    </m:ctrlPr>
                  </m:sub>
                </m:sSub>
              </m:oMath>
            </m:oMathPara>
          </w:p>
          <w:p w14:paraId="02D19848">
            <w:pPr>
              <w:spacing w:line="530" w:lineRule="exact"/>
              <w:rPr>
                <w:rFonts w:cs="Times New Roman"/>
                <w:vertAlign w:val="subscript"/>
                <w:lang w:val="de-DE"/>
              </w:rPr>
            </w:pPr>
          </w:p>
        </w:tc>
        <w:tc>
          <w:tcPr>
            <w:tcW w:w="304" w:type="pct"/>
            <w:tcMar>
              <w:left w:w="28" w:type="dxa"/>
              <w:right w:w="0" w:type="dxa"/>
            </w:tcMar>
            <w:vAlign w:val="center"/>
          </w:tcPr>
          <w:p w14:paraId="3DCBC49E">
            <w:pPr>
              <w:rPr>
                <w:rFonts w:cs="Times New Roman" w:eastAsiaTheme="minorEastAsia"/>
                <w:lang w:val="de-DE"/>
              </w:rPr>
            </w:pPr>
            <w:r>
              <w:rPr>
                <w:rFonts w:cs="Times New Roman" w:eastAsiaTheme="minorEastAsia"/>
                <w:lang w:val="de-DE"/>
              </w:rPr>
              <w:t>——</w:t>
            </w:r>
          </w:p>
        </w:tc>
        <w:tc>
          <w:tcPr>
            <w:tcW w:w="3337" w:type="pct"/>
            <w:tcMar>
              <w:left w:w="0" w:type="dxa"/>
              <w:right w:w="0" w:type="dxa"/>
            </w:tcMar>
            <w:vAlign w:val="center"/>
          </w:tcPr>
          <w:p w14:paraId="4D42BFA9">
            <w:pPr>
              <w:rPr>
                <w:rFonts w:cs="Times New Roman" w:eastAsiaTheme="minorEastAsia"/>
              </w:rPr>
            </w:pPr>
            <w:r>
              <w:rPr>
                <w:rFonts w:cs="Times New Roman" w:eastAsiaTheme="minorEastAsia"/>
              </w:rPr>
              <w:t>土钉、预应力锚杆（索）、截水帷幕及微型桩组合作用折减系数，取值应符合本条第2款的规定；</w:t>
            </w:r>
          </w:p>
        </w:tc>
      </w:tr>
      <w:tr w14:paraId="5D672977">
        <w:tblPrEx>
          <w:tblCellMar>
            <w:top w:w="0" w:type="dxa"/>
            <w:left w:w="108" w:type="dxa"/>
            <w:bottom w:w="0" w:type="dxa"/>
            <w:right w:w="108" w:type="dxa"/>
          </w:tblCellMar>
        </w:tblPrEx>
        <w:trPr>
          <w:trHeight w:val="555" w:hRule="exact"/>
        </w:trPr>
        <w:tc>
          <w:tcPr>
            <w:tcW w:w="360" w:type="pct"/>
            <w:vMerge w:val="continue"/>
            <w:tcMar>
              <w:left w:w="0" w:type="dxa"/>
              <w:right w:w="28" w:type="dxa"/>
            </w:tcMar>
          </w:tcPr>
          <w:p w14:paraId="5A7C34FF">
            <w:pPr>
              <w:rPr>
                <w:rFonts w:cs="Times New Roman" w:eastAsiaTheme="minorEastAsia"/>
              </w:rPr>
            </w:pPr>
          </w:p>
        </w:tc>
        <w:tc>
          <w:tcPr>
            <w:tcW w:w="999" w:type="pct"/>
            <w:tcMar>
              <w:left w:w="0" w:type="dxa"/>
              <w:right w:w="28" w:type="dxa"/>
            </w:tcMar>
            <w:vAlign w:val="center"/>
          </w:tcPr>
          <w:p w14:paraId="6E12AFCB">
            <w:pPr>
              <w:spacing w:line="500" w:lineRule="exact"/>
              <w:rPr>
                <w:rFonts w:cs="Times New Roman" w:eastAsiaTheme="minorEastAsia"/>
                <w:i/>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s</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xj</m:t>
                    </m:r>
                    <m:ctrlPr>
                      <w:rPr>
                        <w:rFonts w:ascii="Cambria Math" w:hAnsi="Cambria Math" w:cs="Times New Roman" w:eastAsiaTheme="minorEastAsia"/>
                        <w:i/>
                        <w:vertAlign w:val="subscript"/>
                        <w:lang w:val="de-DE"/>
                      </w:rPr>
                    </m:ctrlPr>
                  </m:sub>
                </m:sSub>
              </m:oMath>
            </m:oMathPara>
          </w:p>
          <w:p w14:paraId="6A09F154">
            <w:pPr>
              <w:spacing w:line="530" w:lineRule="exact"/>
              <w:rPr>
                <w:rFonts w:cs="Times New Roman"/>
                <w:vertAlign w:val="subscript"/>
                <w:lang w:val="de-DE"/>
              </w:rPr>
            </w:pPr>
          </w:p>
        </w:tc>
        <w:tc>
          <w:tcPr>
            <w:tcW w:w="304" w:type="pct"/>
            <w:tcMar>
              <w:left w:w="28" w:type="dxa"/>
              <w:right w:w="0" w:type="dxa"/>
            </w:tcMar>
            <w:vAlign w:val="center"/>
          </w:tcPr>
          <w:p w14:paraId="1A7C036D">
            <w:pPr>
              <w:rPr>
                <w:rFonts w:cs="Times New Roman" w:eastAsiaTheme="minorEastAsia"/>
                <w:lang w:val="de-DE"/>
              </w:rPr>
            </w:pPr>
            <w:r>
              <w:rPr>
                <w:rFonts w:cs="Times New Roman" w:eastAsiaTheme="minorEastAsia"/>
                <w:lang w:val="de-DE"/>
              </w:rPr>
              <w:t>——</w:t>
            </w:r>
          </w:p>
        </w:tc>
        <w:tc>
          <w:tcPr>
            <w:tcW w:w="3337" w:type="pct"/>
            <w:tcMar>
              <w:left w:w="0" w:type="dxa"/>
              <w:right w:w="0" w:type="dxa"/>
            </w:tcMar>
            <w:vAlign w:val="center"/>
          </w:tcPr>
          <w:p w14:paraId="03CAF2A1">
            <w:pPr>
              <w:rPr>
                <w:rFonts w:cs="Times New Roman" w:eastAsiaTheme="minorEastAsia"/>
              </w:rPr>
            </w:pPr>
            <w:r>
              <w:rPr>
                <w:rFonts w:cs="Times New Roman" w:eastAsiaTheme="minorEastAsia"/>
              </w:rPr>
              <w:t>第</w:t>
            </w:r>
            <w:r>
              <w:rPr>
                <w:rFonts w:cs="Times New Roman" w:eastAsiaTheme="minorEastAsia"/>
                <w:i/>
                <w:iCs/>
              </w:rPr>
              <w:t>j</w:t>
            </w:r>
            <w:r>
              <w:rPr>
                <w:rFonts w:cs="Times New Roman" w:eastAsiaTheme="minorEastAsia"/>
              </w:rPr>
              <w:t>根土钉与相邻土钉的平均水平间距；</w:t>
            </w:r>
          </w:p>
          <w:p w14:paraId="229C3342">
            <w:pPr>
              <w:rPr>
                <w:rFonts w:cs="Times New Roman" w:eastAsiaTheme="minorEastAsia"/>
              </w:rPr>
            </w:pPr>
          </w:p>
        </w:tc>
      </w:tr>
      <w:tr w14:paraId="5D1D323F">
        <w:tblPrEx>
          <w:tblCellMar>
            <w:top w:w="0" w:type="dxa"/>
            <w:left w:w="108" w:type="dxa"/>
            <w:bottom w:w="0" w:type="dxa"/>
            <w:right w:w="108" w:type="dxa"/>
          </w:tblCellMar>
        </w:tblPrEx>
        <w:trPr>
          <w:trHeight w:val="723" w:hRule="exact"/>
        </w:trPr>
        <w:tc>
          <w:tcPr>
            <w:tcW w:w="360" w:type="pct"/>
            <w:vMerge w:val="continue"/>
            <w:tcMar>
              <w:left w:w="0" w:type="dxa"/>
              <w:right w:w="28" w:type="dxa"/>
            </w:tcMar>
          </w:tcPr>
          <w:p w14:paraId="2B77388C">
            <w:pPr>
              <w:rPr>
                <w:rFonts w:cs="Times New Roman" w:eastAsiaTheme="minorEastAsia"/>
              </w:rPr>
            </w:pPr>
          </w:p>
        </w:tc>
        <w:tc>
          <w:tcPr>
            <w:tcW w:w="999" w:type="pct"/>
            <w:tcMar>
              <w:left w:w="0" w:type="dxa"/>
              <w:right w:w="28" w:type="dxa"/>
            </w:tcMar>
            <w:vAlign w:val="center"/>
          </w:tcPr>
          <w:p w14:paraId="17C12090">
            <w:pPr>
              <w:spacing w:line="500" w:lineRule="exact"/>
              <w:rPr>
                <w:rFonts w:cs="Times New Roman" w:eastAsiaTheme="minorEastAsia"/>
                <w:i/>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s</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2xj</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s</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4xj</m:t>
                    </m:r>
                    <m:ctrlPr>
                      <w:rPr>
                        <w:rFonts w:ascii="Cambria Math" w:hAnsi="Cambria Math" w:cs="Times New Roman" w:eastAsiaTheme="minorEastAsia"/>
                        <w:i/>
                        <w:vertAlign w:val="subscript"/>
                        <w:lang w:val="de-DE"/>
                      </w:rPr>
                    </m:ctrlPr>
                  </m:sub>
                </m:sSub>
              </m:oMath>
            </m:oMathPara>
          </w:p>
        </w:tc>
        <w:tc>
          <w:tcPr>
            <w:tcW w:w="304" w:type="pct"/>
            <w:tcMar>
              <w:left w:w="28" w:type="dxa"/>
              <w:right w:w="0" w:type="dxa"/>
            </w:tcMar>
            <w:vAlign w:val="center"/>
          </w:tcPr>
          <w:p w14:paraId="670AF5A6">
            <w:pPr>
              <w:rPr>
                <w:rFonts w:cs="Times New Roman" w:eastAsiaTheme="minorEastAsia"/>
              </w:rPr>
            </w:pPr>
            <w:r>
              <w:rPr>
                <w:rFonts w:cs="Times New Roman" w:eastAsiaTheme="minorEastAsia"/>
                <w:lang w:val="de-DE"/>
              </w:rPr>
              <w:t>——</w:t>
            </w:r>
          </w:p>
        </w:tc>
        <w:tc>
          <w:tcPr>
            <w:tcW w:w="3337" w:type="pct"/>
            <w:tcMar>
              <w:left w:w="0" w:type="dxa"/>
              <w:right w:w="0" w:type="dxa"/>
            </w:tcMar>
            <w:vAlign w:val="center"/>
          </w:tcPr>
          <w:p w14:paraId="2A7ECA22">
            <w:pPr>
              <w:rPr>
                <w:rFonts w:cs="Times New Roman" w:eastAsiaTheme="minorEastAsia"/>
              </w:rPr>
            </w:pPr>
            <w:r>
              <w:rPr>
                <w:rFonts w:cs="Times New Roman" w:eastAsiaTheme="minorEastAsia"/>
              </w:rPr>
              <w:t>第</w:t>
            </w:r>
            <w:r>
              <w:rPr>
                <w:rFonts w:cs="Times New Roman" w:eastAsiaTheme="minorEastAsia"/>
                <w:i/>
                <w:iCs/>
              </w:rPr>
              <w:t>j</w:t>
            </w:r>
            <w:r>
              <w:rPr>
                <w:rFonts w:cs="Times New Roman" w:eastAsiaTheme="minorEastAsia"/>
              </w:rPr>
              <w:t>根预应力锚杆或微型桩的平均水平间距；</w:t>
            </w:r>
          </w:p>
        </w:tc>
      </w:tr>
      <w:tr w14:paraId="260D52A1">
        <w:tblPrEx>
          <w:tblCellMar>
            <w:top w:w="0" w:type="dxa"/>
            <w:left w:w="108" w:type="dxa"/>
            <w:bottom w:w="0" w:type="dxa"/>
            <w:right w:w="108" w:type="dxa"/>
          </w:tblCellMar>
        </w:tblPrEx>
        <w:trPr>
          <w:trHeight w:val="988" w:hRule="exact"/>
        </w:trPr>
        <w:tc>
          <w:tcPr>
            <w:tcW w:w="360" w:type="pct"/>
            <w:vMerge w:val="continue"/>
            <w:tcMar>
              <w:left w:w="0" w:type="dxa"/>
              <w:right w:w="28" w:type="dxa"/>
            </w:tcMar>
          </w:tcPr>
          <w:p w14:paraId="667F160E">
            <w:pPr>
              <w:rPr>
                <w:rFonts w:cs="Times New Roman" w:eastAsiaTheme="minorEastAsia"/>
              </w:rPr>
            </w:pPr>
          </w:p>
        </w:tc>
        <w:tc>
          <w:tcPr>
            <w:tcW w:w="999" w:type="pct"/>
            <w:tcMar>
              <w:left w:w="0" w:type="dxa"/>
              <w:right w:w="28" w:type="dxa"/>
            </w:tcMar>
            <w:vAlign w:val="center"/>
          </w:tcPr>
          <w:p w14:paraId="347E0681">
            <w:pPr>
              <w:spacing w:line="500" w:lineRule="exact"/>
              <w:rPr>
                <w:rFonts w:cs="Times New Roman" w:eastAsiaTheme="minorEastAsia"/>
                <w:i/>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N</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uj</m:t>
                    </m:r>
                    <m:ctrlPr>
                      <w:rPr>
                        <w:rFonts w:ascii="Cambria Math" w:hAnsi="Cambria Math" w:cs="Times New Roman" w:eastAsiaTheme="minorEastAsia"/>
                        <w:i/>
                        <w:vertAlign w:val="subscript"/>
                        <w:lang w:val="de-DE"/>
                      </w:rPr>
                    </m:ctrlPr>
                  </m:sub>
                </m:sSub>
              </m:oMath>
            </m:oMathPara>
          </w:p>
        </w:tc>
        <w:tc>
          <w:tcPr>
            <w:tcW w:w="304" w:type="pct"/>
            <w:tcMar>
              <w:left w:w="28" w:type="dxa"/>
              <w:right w:w="0" w:type="dxa"/>
            </w:tcMar>
            <w:vAlign w:val="center"/>
          </w:tcPr>
          <w:p w14:paraId="61CC6086">
            <w:pPr>
              <w:rPr>
                <w:rFonts w:cs="Times New Roman" w:eastAsiaTheme="minorEastAsia"/>
                <w:lang w:val="de-DE"/>
              </w:rPr>
            </w:pPr>
            <w:r>
              <w:rPr>
                <w:rFonts w:cs="Times New Roman" w:eastAsiaTheme="minorEastAsia"/>
                <w:lang w:val="de-DE"/>
              </w:rPr>
              <w:t>——</w:t>
            </w:r>
          </w:p>
        </w:tc>
        <w:tc>
          <w:tcPr>
            <w:tcW w:w="3337" w:type="pct"/>
            <w:tcMar>
              <w:left w:w="0" w:type="dxa"/>
              <w:right w:w="0" w:type="dxa"/>
            </w:tcMar>
            <w:vAlign w:val="center"/>
          </w:tcPr>
          <w:p w14:paraId="0059301F">
            <w:pPr>
              <w:rPr>
                <w:rFonts w:cs="Times New Roman" w:eastAsiaTheme="minorEastAsia"/>
              </w:rPr>
            </w:pPr>
            <w:r>
              <w:rPr>
                <w:rFonts w:cs="Times New Roman" w:eastAsiaTheme="minorEastAsia"/>
              </w:rPr>
              <w:t>第</w:t>
            </w:r>
            <w:r>
              <w:rPr>
                <w:rFonts w:cs="Times New Roman" w:eastAsiaTheme="minorEastAsia"/>
                <w:i/>
                <w:iCs/>
              </w:rPr>
              <w:t>j</w:t>
            </w:r>
            <w:r>
              <w:rPr>
                <w:rFonts w:cs="Times New Roman" w:eastAsiaTheme="minorEastAsia"/>
              </w:rPr>
              <w:t>根土钉在稳定区(即滑移面外)所提供的摩阻力，应符合本条第3款的规定；</w:t>
            </w:r>
          </w:p>
          <w:p w14:paraId="789FD077">
            <w:pPr>
              <w:rPr>
                <w:rFonts w:cs="Times New Roman" w:eastAsiaTheme="minorEastAsia"/>
              </w:rPr>
            </w:pPr>
          </w:p>
        </w:tc>
      </w:tr>
      <w:tr w14:paraId="1ED35D79">
        <w:tblPrEx>
          <w:tblCellMar>
            <w:top w:w="0" w:type="dxa"/>
            <w:left w:w="108" w:type="dxa"/>
            <w:bottom w:w="0" w:type="dxa"/>
            <w:right w:w="108" w:type="dxa"/>
          </w:tblCellMar>
        </w:tblPrEx>
        <w:trPr>
          <w:trHeight w:val="5243" w:hRule="exact"/>
        </w:trPr>
        <w:tc>
          <w:tcPr>
            <w:tcW w:w="360" w:type="pct"/>
            <w:tcMar>
              <w:left w:w="0" w:type="dxa"/>
              <w:right w:w="28" w:type="dxa"/>
            </w:tcMar>
          </w:tcPr>
          <w:p w14:paraId="6E8190A7">
            <w:pPr>
              <w:rPr>
                <w:rFonts w:cs="Times New Roman" w:eastAsiaTheme="minorEastAsia"/>
              </w:rPr>
            </w:pPr>
            <w:bookmarkStart w:id="54" w:name="_Hlk206157466"/>
          </w:p>
        </w:tc>
        <w:tc>
          <w:tcPr>
            <w:tcW w:w="999" w:type="pct"/>
            <w:tcMar>
              <w:left w:w="0" w:type="dxa"/>
              <w:right w:w="28" w:type="dxa"/>
            </w:tcMar>
          </w:tcPr>
          <w:p w14:paraId="3C227526">
            <w:pPr>
              <w:spacing w:line="460" w:lineRule="exact"/>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α</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j</m:t>
                    </m:r>
                    <m:ctrlPr>
                      <w:rPr>
                        <w:rFonts w:ascii="Cambria Math" w:hAnsi="Cambria Math" w:cs="Times New Roman" w:eastAsiaTheme="minorEastAsia"/>
                        <w:i/>
                        <w:vertAlign w:val="subscript"/>
                        <w:lang w:val="de-DE"/>
                      </w:rPr>
                    </m:ctrlPr>
                  </m:sub>
                </m:sSub>
              </m:oMath>
            </m:oMathPara>
          </w:p>
          <w:p w14:paraId="228B97C8">
            <w:pPr>
              <w:spacing w:line="460" w:lineRule="exact"/>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α</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mj</m:t>
                    </m:r>
                    <m:ctrlPr>
                      <w:rPr>
                        <w:rFonts w:ascii="Cambria Math" w:hAnsi="Cambria Math" w:cs="Times New Roman" w:eastAsiaTheme="minorEastAsia"/>
                        <w:i/>
                        <w:vertAlign w:val="subscript"/>
                        <w:lang w:val="de-DE"/>
                      </w:rPr>
                    </m:ctrlPr>
                  </m:sub>
                </m:sSub>
              </m:oMath>
            </m:oMathPara>
          </w:p>
          <w:p w14:paraId="2893397B">
            <w:pPr>
              <w:spacing w:line="460" w:lineRule="exact"/>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θ</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j</m:t>
                    </m:r>
                    <m:ctrlPr>
                      <w:rPr>
                        <w:rFonts w:ascii="Cambria Math" w:hAnsi="Cambria Math" w:cs="Times New Roman" w:eastAsiaTheme="minorEastAsia"/>
                        <w:i/>
                        <w:vertAlign w:val="subscript"/>
                        <w:lang w:val="de-DE"/>
                      </w:rPr>
                    </m:ctrlPr>
                  </m:sub>
                </m:sSub>
              </m:oMath>
            </m:oMathPara>
          </w:p>
          <w:p w14:paraId="28B92A75">
            <w:pPr>
              <w:spacing w:line="460" w:lineRule="exact"/>
              <w:rPr>
                <w:rFonts w:cs="Times New Roman" w:eastAsiaTheme="minorEastAsia"/>
                <w:vertAlign w:val="subscript"/>
                <w:lang w:val="de-DE"/>
              </w:rPr>
            </w:pPr>
          </w:p>
          <w:p w14:paraId="75C9B28D">
            <w:pPr>
              <w:spacing w:line="460" w:lineRule="exact"/>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φ</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i</m:t>
                    </m:r>
                    <m:ctrlPr>
                      <w:rPr>
                        <w:rFonts w:ascii="Cambria Math" w:hAnsi="Cambria Math" w:cs="Times New Roman" w:eastAsiaTheme="minorEastAsia"/>
                        <w:i/>
                        <w:vertAlign w:val="subscript"/>
                        <w:lang w:val="de-DE"/>
                      </w:rPr>
                    </m:ctrlPr>
                  </m:sub>
                </m:sSub>
              </m:oMath>
            </m:oMathPara>
          </w:p>
          <w:p w14:paraId="23E80B6C">
            <w:pPr>
              <w:spacing w:line="460" w:lineRule="exact"/>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τ</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q</m:t>
                    </m:r>
                    <m:ctrlPr>
                      <w:rPr>
                        <w:rFonts w:ascii="Cambria Math" w:hAnsi="Cambria Math" w:cs="Times New Roman" w:eastAsiaTheme="minorEastAsia"/>
                        <w:i/>
                        <w:vertAlign w:val="subscript"/>
                        <w:lang w:val="de-DE"/>
                      </w:rPr>
                    </m:ctrlPr>
                  </m:sub>
                </m:sSub>
              </m:oMath>
            </m:oMathPara>
          </w:p>
          <w:p w14:paraId="77C36F48">
            <w:pPr>
              <w:spacing w:line="460" w:lineRule="exact"/>
              <w:rPr>
                <w:rFonts w:cs="Times New Roman" w:eastAsiaTheme="minorEastAsia"/>
                <w:vertAlign w:val="subscript"/>
                <w:lang w:val="de-DE"/>
              </w:rPr>
            </w:pPr>
          </w:p>
          <w:p w14:paraId="1C2EAF09">
            <w:pPr>
              <w:spacing w:line="460" w:lineRule="exact"/>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τ</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y</m:t>
                    </m:r>
                    <m:ctrlPr>
                      <w:rPr>
                        <w:rFonts w:ascii="Cambria Math" w:hAnsi="Cambria Math" w:cs="Times New Roman" w:eastAsiaTheme="minorEastAsia"/>
                        <w:i/>
                        <w:vertAlign w:val="subscript"/>
                        <w:lang w:val="de-DE"/>
                      </w:rPr>
                    </m:ctrlPr>
                  </m:sub>
                </m:sSub>
              </m:oMath>
            </m:oMathPara>
          </w:p>
          <w:p w14:paraId="4558C984">
            <w:pPr>
              <w:spacing w:line="460" w:lineRule="exact"/>
              <w:rPr>
                <w:rFonts w:cs="Times New Roman" w:eastAsiaTheme="minorEastAsia"/>
                <w:vertAlign w:val="subscript"/>
                <w:lang w:val="de-DE"/>
              </w:rPr>
            </w:pPr>
          </w:p>
          <w:p w14:paraId="3DDE9668">
            <w:pPr>
              <w:spacing w:line="460" w:lineRule="exact"/>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A</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3</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A</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4</m:t>
                    </m:r>
                    <m:ctrlPr>
                      <w:rPr>
                        <w:rFonts w:ascii="Cambria Math" w:hAnsi="Cambria Math" w:cs="Times New Roman" w:eastAsiaTheme="minorEastAsia"/>
                        <w:i/>
                        <w:vertAlign w:val="subscript"/>
                        <w:lang w:val="de-DE"/>
                      </w:rPr>
                    </m:ctrlPr>
                  </m:sub>
                </m:sSub>
              </m:oMath>
            </m:oMathPara>
          </w:p>
          <w:p w14:paraId="5DDECA09">
            <w:pPr>
              <w:spacing w:line="530" w:lineRule="exact"/>
              <w:rPr>
                <w:rFonts w:ascii="Cambria Math" w:hAnsi="Cambria Math" w:cs="Times New Roman" w:eastAsiaTheme="minorEastAsia"/>
                <w:vertAlign w:val="subscript"/>
                <w:lang w:val="de-DE"/>
                <w:oMath/>
              </w:rPr>
            </w:pPr>
          </w:p>
        </w:tc>
        <w:tc>
          <w:tcPr>
            <w:tcW w:w="304" w:type="pct"/>
            <w:tcMar>
              <w:left w:w="28" w:type="dxa"/>
              <w:right w:w="0" w:type="dxa"/>
            </w:tcMar>
          </w:tcPr>
          <w:p w14:paraId="46F99961">
            <w:pPr>
              <w:rPr>
                <w:rFonts w:cs="Times New Roman" w:eastAsiaTheme="minorEastAsia"/>
                <w:lang w:val="de-DE"/>
              </w:rPr>
            </w:pPr>
            <w:r>
              <w:rPr>
                <w:rFonts w:cs="Times New Roman" w:eastAsiaTheme="minorEastAsia"/>
                <w:lang w:val="de-DE"/>
              </w:rPr>
              <w:t>——</w:t>
            </w:r>
          </w:p>
          <w:p w14:paraId="1B74521D">
            <w:pPr>
              <w:rPr>
                <w:rFonts w:cs="Times New Roman" w:eastAsiaTheme="minorEastAsia"/>
                <w:lang w:val="de-DE"/>
              </w:rPr>
            </w:pPr>
            <w:r>
              <w:rPr>
                <w:rFonts w:cs="Times New Roman" w:eastAsiaTheme="minorEastAsia"/>
                <w:lang w:val="de-DE"/>
              </w:rPr>
              <w:t>——</w:t>
            </w:r>
          </w:p>
          <w:p w14:paraId="49048A6D">
            <w:pPr>
              <w:rPr>
                <w:rFonts w:cs="Times New Roman" w:eastAsiaTheme="minorEastAsia"/>
                <w:lang w:val="de-DE"/>
              </w:rPr>
            </w:pPr>
            <w:r>
              <w:rPr>
                <w:rFonts w:cs="Times New Roman" w:eastAsiaTheme="minorEastAsia"/>
                <w:lang w:val="de-DE"/>
              </w:rPr>
              <w:t>——</w:t>
            </w:r>
          </w:p>
          <w:p w14:paraId="42156962">
            <w:pPr>
              <w:rPr>
                <w:rFonts w:cs="Times New Roman" w:eastAsiaTheme="minorEastAsia"/>
                <w:lang w:val="de-DE"/>
              </w:rPr>
            </w:pPr>
          </w:p>
          <w:p w14:paraId="646091CB">
            <w:pPr>
              <w:rPr>
                <w:rFonts w:cs="Times New Roman" w:eastAsiaTheme="minorEastAsia"/>
                <w:lang w:val="de-DE"/>
              </w:rPr>
            </w:pPr>
            <w:r>
              <w:rPr>
                <w:rFonts w:cs="Times New Roman" w:eastAsiaTheme="minorEastAsia"/>
                <w:lang w:val="de-DE"/>
              </w:rPr>
              <w:t>——</w:t>
            </w:r>
          </w:p>
          <w:p w14:paraId="69DF5D27">
            <w:pPr>
              <w:rPr>
                <w:rFonts w:cs="Times New Roman" w:eastAsiaTheme="minorEastAsia"/>
                <w:lang w:val="de-DE"/>
              </w:rPr>
            </w:pPr>
            <w:r>
              <w:rPr>
                <w:rFonts w:cs="Times New Roman" w:eastAsiaTheme="minorEastAsia"/>
                <w:lang w:val="de-DE"/>
              </w:rPr>
              <w:t>——</w:t>
            </w:r>
          </w:p>
          <w:p w14:paraId="2C71DFA1">
            <w:pPr>
              <w:rPr>
                <w:rFonts w:cs="Times New Roman" w:eastAsiaTheme="minorEastAsia"/>
                <w:lang w:val="de-DE"/>
              </w:rPr>
            </w:pPr>
          </w:p>
          <w:p w14:paraId="279CE0DB">
            <w:pPr>
              <w:rPr>
                <w:rFonts w:cs="Times New Roman" w:eastAsiaTheme="minorEastAsia"/>
                <w:lang w:val="de-DE"/>
              </w:rPr>
            </w:pPr>
            <w:bookmarkStart w:id="55" w:name="OLE_LINK33"/>
            <w:r>
              <w:rPr>
                <w:rFonts w:cs="Times New Roman" w:eastAsiaTheme="minorEastAsia"/>
                <w:lang w:val="de-DE"/>
              </w:rPr>
              <w:t>——</w:t>
            </w:r>
          </w:p>
          <w:bookmarkEnd w:id="55"/>
          <w:p w14:paraId="4511DF64">
            <w:pPr>
              <w:rPr>
                <w:rFonts w:cs="Times New Roman" w:eastAsiaTheme="minorEastAsia"/>
                <w:lang w:val="de-DE"/>
              </w:rPr>
            </w:pPr>
          </w:p>
          <w:p w14:paraId="033823AA">
            <w:pPr>
              <w:rPr>
                <w:rFonts w:cs="Times New Roman" w:eastAsiaTheme="minorEastAsia"/>
                <w:lang w:val="de-DE"/>
              </w:rPr>
            </w:pPr>
            <w:r>
              <w:rPr>
                <w:rFonts w:cs="Times New Roman" w:eastAsiaTheme="minorEastAsia"/>
                <w:lang w:val="de-DE"/>
              </w:rPr>
              <w:t>——</w:t>
            </w:r>
          </w:p>
          <w:p w14:paraId="3853260F">
            <w:pPr>
              <w:rPr>
                <w:rFonts w:cs="Times New Roman" w:eastAsiaTheme="minorEastAsia"/>
                <w:lang w:val="de-DE"/>
              </w:rPr>
            </w:pPr>
          </w:p>
        </w:tc>
        <w:tc>
          <w:tcPr>
            <w:tcW w:w="3337" w:type="pct"/>
            <w:tcMar>
              <w:left w:w="0" w:type="dxa"/>
              <w:right w:w="0" w:type="dxa"/>
            </w:tcMar>
          </w:tcPr>
          <w:p w14:paraId="123D8000">
            <w:pPr>
              <w:rPr>
                <w:rFonts w:cs="Times New Roman" w:eastAsiaTheme="minorEastAsia"/>
              </w:rPr>
            </w:pPr>
            <w:r>
              <w:rPr>
                <w:rFonts w:cs="Times New Roman" w:eastAsiaTheme="minorEastAsia"/>
              </w:rPr>
              <w:t>第</w:t>
            </w:r>
            <w:bookmarkStart w:id="56" w:name="OLE_LINK30"/>
            <w:r>
              <w:rPr>
                <w:rFonts w:cs="Times New Roman" w:eastAsiaTheme="minorEastAsia"/>
                <w:i/>
                <w:iCs/>
              </w:rPr>
              <w:t>j</w:t>
            </w:r>
            <w:bookmarkEnd w:id="56"/>
            <w:r>
              <w:rPr>
                <w:rFonts w:cs="Times New Roman" w:eastAsiaTheme="minorEastAsia"/>
              </w:rPr>
              <w:t>根土钉与水平面之间的夹角；</w:t>
            </w:r>
          </w:p>
          <w:p w14:paraId="5C642B62">
            <w:pPr>
              <w:rPr>
                <w:rFonts w:cs="Times New Roman" w:eastAsiaTheme="minorEastAsia"/>
              </w:rPr>
            </w:pPr>
            <w:r>
              <w:rPr>
                <w:rFonts w:cs="Times New Roman" w:eastAsiaTheme="minorEastAsia"/>
              </w:rPr>
              <w:t>第</w:t>
            </w:r>
            <w:r>
              <w:rPr>
                <w:rFonts w:cs="Times New Roman" w:eastAsiaTheme="minorEastAsia"/>
                <w:i/>
                <w:iCs/>
              </w:rPr>
              <w:t>j</w:t>
            </w:r>
            <w:r>
              <w:rPr>
                <w:rFonts w:cs="Times New Roman" w:eastAsiaTheme="minorEastAsia"/>
              </w:rPr>
              <w:t>根预应力锚杆与水平面之间的夹角；</w:t>
            </w:r>
          </w:p>
          <w:p w14:paraId="486EFE64">
            <w:pPr>
              <w:rPr>
                <w:rFonts w:cs="Times New Roman" w:eastAsiaTheme="minorEastAsia"/>
              </w:rPr>
            </w:pPr>
            <w:r>
              <w:rPr>
                <w:rFonts w:cs="Times New Roman" w:eastAsiaTheme="minorEastAsia"/>
              </w:rPr>
              <w:t>第</w:t>
            </w:r>
            <w:r>
              <w:rPr>
                <w:rFonts w:cs="Times New Roman" w:eastAsiaTheme="minorEastAsia"/>
                <w:i/>
                <w:iCs/>
              </w:rPr>
              <w:t>j</w:t>
            </w:r>
            <w:r>
              <w:rPr>
                <w:rFonts w:cs="Times New Roman" w:eastAsiaTheme="minorEastAsia"/>
              </w:rPr>
              <w:t>根土钉或预应力锚杆与滑弧面相交处，滑弧切线与水平面的夹角；</w:t>
            </w:r>
          </w:p>
          <w:p w14:paraId="6B7F4E2F">
            <w:pPr>
              <w:rPr>
                <w:rFonts w:cs="Times New Roman" w:eastAsiaTheme="minorEastAsia"/>
              </w:rPr>
            </w:pPr>
            <w:r>
              <w:rPr>
                <w:rFonts w:cs="Times New Roman" w:eastAsiaTheme="minorEastAsia"/>
              </w:rPr>
              <w:t>第</w:t>
            </w:r>
            <w:r>
              <w:rPr>
                <w:rFonts w:cs="Times New Roman" w:eastAsiaTheme="minorEastAsia"/>
                <w:i/>
                <w:iCs/>
              </w:rPr>
              <w:t>j</w:t>
            </w:r>
            <w:r>
              <w:rPr>
                <w:rFonts w:cs="Times New Roman" w:eastAsiaTheme="minorEastAsia"/>
              </w:rPr>
              <w:t>根土钉或预应力锚杆与滑弧面交点处土的内摩擦角</w:t>
            </w:r>
          </w:p>
          <w:p w14:paraId="7D9A946B">
            <w:pPr>
              <w:rPr>
                <w:rFonts w:cs="Times New Roman" w:eastAsiaTheme="minorEastAsia"/>
              </w:rPr>
            </w:pPr>
            <w:r>
              <w:rPr>
                <w:rFonts w:cs="Times New Roman" w:eastAsiaTheme="minorEastAsia"/>
              </w:rPr>
              <w:t>假定滑移面处相应龄期截水帷幕的抗剪强度标准值，根据试验结果确定；</w:t>
            </w:r>
          </w:p>
          <w:p w14:paraId="6F62EEC0">
            <w:pPr>
              <w:rPr>
                <w:rFonts w:cs="Times New Roman" w:eastAsiaTheme="minorEastAsia"/>
              </w:rPr>
            </w:pPr>
            <w:r>
              <w:rPr>
                <w:rFonts w:cs="Times New Roman" w:eastAsiaTheme="minorEastAsia"/>
              </w:rPr>
              <w:t>假定滑移面处微型桩的抗剪强度标准值，可取桩体材料的抗剪强度标准值；</w:t>
            </w:r>
          </w:p>
          <w:p w14:paraId="09E12EF7">
            <w:pPr>
              <w:rPr>
                <w:rFonts w:cs="Times New Roman" w:eastAsiaTheme="minorEastAsia"/>
              </w:rPr>
            </w:pPr>
            <w:r>
              <w:rPr>
                <w:rFonts w:cs="Times New Roman" w:eastAsiaTheme="minorEastAsia"/>
              </w:rPr>
              <w:t>单位计算长度内截水帷幕或单根微型桩的截面积。</w:t>
            </w:r>
          </w:p>
        </w:tc>
      </w:tr>
      <w:bookmarkEnd w:id="54"/>
    </w:tbl>
    <w:p w14:paraId="15F28CA4">
      <w:pPr>
        <w:ind w:firstLine="480" w:firstLineChars="200"/>
        <w:rPr>
          <w:rFonts w:cs="Times New Roman" w:eastAsiaTheme="minorEastAsia"/>
        </w:rPr>
      </w:pPr>
      <w:r>
        <w:rPr>
          <w:rFonts w:cs="Times New Roman" w:eastAsiaTheme="minorEastAsia"/>
          <w:b w:val="0"/>
          <w:bCs/>
        </w:rPr>
        <w:t>2</w:t>
      </w:r>
      <w:r>
        <w:rPr>
          <w:rFonts w:cs="Times New Roman" w:eastAsiaTheme="minorEastAsia"/>
        </w:rPr>
        <w:t xml:space="preserve"> </w:t>
      </w:r>
      <w:r>
        <w:rPr>
          <w:rFonts w:cs="Times New Roman" w:eastAsiaTheme="minorEastAsia"/>
          <w:b/>
          <w:bCs/>
        </w:rPr>
        <w:t xml:space="preserve"> </w:t>
      </w:r>
      <w:r>
        <w:rPr>
          <w:rFonts w:cs="Times New Roman" w:eastAsiaTheme="minorEastAsia"/>
        </w:rPr>
        <w:t>组合作用折减系数的取值应符合下列规定：</w:t>
      </w:r>
    </w:p>
    <w:p w14:paraId="150A2D2C">
      <w:pPr>
        <w:keepNext w:val="0"/>
        <w:keepLines w:val="0"/>
        <w:pageBreakBefore w:val="0"/>
        <w:widowControl w:val="0"/>
        <w:kinsoku/>
        <w:wordWrap/>
        <w:overflowPunct/>
        <w:topLinePunct w:val="0"/>
        <w:autoSpaceDE/>
        <w:autoSpaceDN/>
        <w:bidi w:val="0"/>
        <w:adjustRightInd/>
        <w:snapToGrid/>
        <w:ind w:firstLine="720" w:firstLineChars="300"/>
        <w:textAlignment w:val="auto"/>
        <w:rPr>
          <w:rFonts w:cs="Times New Roman" w:eastAsiaTheme="minorEastAsia"/>
          <w:b w:val="0"/>
          <w:bCs w:val="0"/>
        </w:rPr>
      </w:pPr>
      <w:r>
        <w:rPr>
          <w:rFonts w:cs="Times New Roman" w:eastAsiaTheme="minorEastAsia"/>
          <w:b w:val="0"/>
          <w:bCs w:val="0"/>
        </w:rPr>
        <w:t xml:space="preserve">1）  </w:t>
      </w:r>
      <m:oMath>
        <m:sSub>
          <m:sSubPr>
            <m:ctrlPr>
              <w:rPr>
                <w:rFonts w:ascii="Cambria Math" w:hAnsi="Cambria Math" w:cs="Times New Roman" w:eastAsiaTheme="minorEastAsia"/>
                <w:b w:val="0"/>
                <w:bCs w:val="0"/>
                <w:i/>
                <w:vertAlign w:val="subscript"/>
                <w:lang w:val="de-DE"/>
              </w:rPr>
            </m:ctrlPr>
          </m:sSubPr>
          <m:e>
            <m:r>
              <m:rPr/>
              <w:rPr>
                <w:rFonts w:ascii="Cambria Math" w:hAnsi="Cambria Math" w:cs="Times New Roman" w:eastAsiaTheme="minorEastAsia"/>
                <w:vertAlign w:val="subscript"/>
                <w:lang w:val="de-DE"/>
              </w:rPr>
              <m:t>η</m:t>
            </m:r>
            <m:ctrlPr>
              <w:rPr>
                <w:rFonts w:ascii="Cambria Math" w:hAnsi="Cambria Math" w:cs="Times New Roman" w:eastAsiaTheme="minorEastAsia"/>
                <w:b w:val="0"/>
                <w:bCs w:val="0"/>
                <w:i/>
                <w:vertAlign w:val="subscript"/>
                <w:lang w:val="de-DE"/>
              </w:rPr>
            </m:ctrlPr>
          </m:e>
          <m:sub>
            <m:r>
              <m:rPr/>
              <w:rPr>
                <w:rFonts w:ascii="Cambria Math" w:hAnsi="Cambria Math" w:cs="Times New Roman" w:eastAsiaTheme="minorEastAsia"/>
                <w:vertAlign w:val="subscript"/>
                <w:lang w:val="de-DE"/>
              </w:rPr>
              <m:t>1</m:t>
            </m:r>
            <m:ctrlPr>
              <w:rPr>
                <w:rFonts w:ascii="Cambria Math" w:hAnsi="Cambria Math" w:cs="Times New Roman" w:eastAsiaTheme="minorEastAsia"/>
                <w:b w:val="0"/>
                <w:bCs w:val="0"/>
                <w:i/>
                <w:vertAlign w:val="subscript"/>
                <w:lang w:val="de-DE"/>
              </w:rPr>
            </m:ctrlPr>
          </m:sub>
        </m:sSub>
      </m:oMath>
      <w:r>
        <w:rPr>
          <w:rFonts w:cs="Times New Roman" w:eastAsiaTheme="minorEastAsia"/>
          <w:b w:val="0"/>
          <w:bCs w:val="0"/>
        </w:rPr>
        <w:t>宜取1.0。</w:t>
      </w:r>
    </w:p>
    <w:p w14:paraId="4273B04D">
      <w:pPr>
        <w:keepNext w:val="0"/>
        <w:keepLines w:val="0"/>
        <w:pageBreakBefore w:val="0"/>
        <w:widowControl w:val="0"/>
        <w:kinsoku/>
        <w:wordWrap/>
        <w:overflowPunct/>
        <w:topLinePunct w:val="0"/>
        <w:autoSpaceDE/>
        <w:autoSpaceDN/>
        <w:bidi w:val="0"/>
        <w:adjustRightInd/>
        <w:snapToGrid/>
        <w:ind w:firstLine="720" w:firstLineChars="300"/>
        <w:textAlignment w:val="auto"/>
        <w:rPr>
          <w:rFonts w:cs="Times New Roman" w:eastAsiaTheme="minorEastAsia"/>
          <w:b w:val="0"/>
          <w:bCs w:val="0"/>
        </w:rPr>
      </w:pPr>
      <w:r>
        <w:rPr>
          <w:rFonts w:cs="Times New Roman" w:eastAsiaTheme="minorEastAsia"/>
          <w:b w:val="0"/>
          <w:bCs w:val="0"/>
        </w:rPr>
        <w:t xml:space="preserve">2）  </w:t>
      </w:r>
      <m:oMath>
        <m:sSub>
          <m:sSubPr>
            <m:ctrlPr>
              <w:rPr>
                <w:rFonts w:ascii="Cambria Math" w:hAnsi="Cambria Math" w:cs="Times New Roman" w:eastAsiaTheme="minorEastAsia"/>
                <w:b w:val="0"/>
                <w:bCs w:val="0"/>
                <w:i/>
                <w:vertAlign w:val="subscript"/>
                <w:lang w:val="de-DE"/>
              </w:rPr>
            </m:ctrlPr>
          </m:sSubPr>
          <m:e>
            <m:r>
              <m:rPr/>
              <w:rPr>
                <w:rFonts w:ascii="Cambria Math" w:hAnsi="Cambria Math" w:cs="Times New Roman" w:eastAsiaTheme="minorEastAsia"/>
                <w:vertAlign w:val="subscript"/>
                <w:lang w:val="de-DE"/>
              </w:rPr>
              <m:t>P</m:t>
            </m:r>
            <m:ctrlPr>
              <w:rPr>
                <w:rFonts w:ascii="Cambria Math" w:hAnsi="Cambria Math" w:cs="Times New Roman" w:eastAsiaTheme="minorEastAsia"/>
                <w:b w:val="0"/>
                <w:bCs w:val="0"/>
                <w:i/>
                <w:vertAlign w:val="subscript"/>
                <w:lang w:val="de-DE"/>
              </w:rPr>
            </m:ctrlPr>
          </m:e>
          <m:sub>
            <m:r>
              <m:rPr/>
              <w:rPr>
                <w:rFonts w:ascii="Cambria Math" w:hAnsi="Cambria Math" w:cs="Times New Roman" w:eastAsiaTheme="minorEastAsia"/>
                <w:vertAlign w:val="subscript"/>
                <w:lang w:val="de-DE"/>
              </w:rPr>
              <m:t>uj</m:t>
            </m:r>
            <m:ctrlPr>
              <w:rPr>
                <w:rFonts w:ascii="Cambria Math" w:hAnsi="Cambria Math" w:cs="Times New Roman" w:eastAsiaTheme="minorEastAsia"/>
                <w:b w:val="0"/>
                <w:bCs w:val="0"/>
                <w:i/>
                <w:vertAlign w:val="subscript"/>
                <w:lang w:val="de-DE"/>
              </w:rPr>
            </m:ctrlPr>
          </m:sub>
        </m:sSub>
      </m:oMath>
      <w:r>
        <w:rPr>
          <w:rFonts w:cs="Times New Roman" w:eastAsiaTheme="minorEastAsia"/>
          <w:b w:val="0"/>
          <w:bCs w:val="0"/>
        </w:rPr>
        <w:t>≤300kN时，</w:t>
      </w:r>
      <m:oMath>
        <m:sSub>
          <m:sSubPr>
            <m:ctrlPr>
              <w:rPr>
                <w:rFonts w:ascii="Cambria Math" w:hAnsi="Cambria Math" w:cs="Times New Roman" w:eastAsiaTheme="minorEastAsia"/>
                <w:b w:val="0"/>
                <w:bCs w:val="0"/>
                <w:i/>
                <w:vertAlign w:val="subscript"/>
                <w:lang w:val="de-DE"/>
              </w:rPr>
            </m:ctrlPr>
          </m:sSubPr>
          <m:e>
            <m:r>
              <m:rPr/>
              <w:rPr>
                <w:rFonts w:ascii="Cambria Math" w:hAnsi="Cambria Math" w:cs="Times New Roman" w:eastAsiaTheme="minorEastAsia"/>
                <w:vertAlign w:val="subscript"/>
                <w:lang w:val="de-DE"/>
              </w:rPr>
              <m:t>η</m:t>
            </m:r>
            <m:ctrlPr>
              <w:rPr>
                <w:rFonts w:ascii="Cambria Math" w:hAnsi="Cambria Math" w:cs="Times New Roman" w:eastAsiaTheme="minorEastAsia"/>
                <w:b w:val="0"/>
                <w:bCs w:val="0"/>
                <w:i/>
                <w:vertAlign w:val="subscript"/>
                <w:lang w:val="de-DE"/>
              </w:rPr>
            </m:ctrlPr>
          </m:e>
          <m:sub>
            <m:r>
              <m:rPr/>
              <w:rPr>
                <w:rFonts w:ascii="Cambria Math" w:hAnsi="Cambria Math" w:cs="Times New Roman" w:eastAsiaTheme="minorEastAsia"/>
                <w:vertAlign w:val="subscript"/>
                <w:lang w:val="de-DE"/>
              </w:rPr>
              <m:t>2</m:t>
            </m:r>
            <m:ctrlPr>
              <w:rPr>
                <w:rFonts w:ascii="Cambria Math" w:hAnsi="Cambria Math" w:cs="Times New Roman" w:eastAsiaTheme="minorEastAsia"/>
                <w:b w:val="0"/>
                <w:bCs w:val="0"/>
                <w:i/>
                <w:vertAlign w:val="subscript"/>
                <w:lang w:val="de-DE"/>
              </w:rPr>
            </m:ctrlPr>
          </m:sub>
        </m:sSub>
      </m:oMath>
      <w:r>
        <w:rPr>
          <w:rFonts w:cs="Times New Roman" w:eastAsiaTheme="minorEastAsia"/>
          <w:b w:val="0"/>
          <w:bCs w:val="0"/>
        </w:rPr>
        <w:t>宜取0.5~0.7，随着锚杆抗力的增加而减小；</w:t>
      </w:r>
    </w:p>
    <w:p w14:paraId="3DBD7213">
      <w:pPr>
        <w:keepNext w:val="0"/>
        <w:keepLines w:val="0"/>
        <w:pageBreakBefore w:val="0"/>
        <w:widowControl w:val="0"/>
        <w:kinsoku/>
        <w:wordWrap/>
        <w:overflowPunct/>
        <w:topLinePunct w:val="0"/>
        <w:autoSpaceDE/>
        <w:autoSpaceDN/>
        <w:bidi w:val="0"/>
        <w:adjustRightInd/>
        <w:snapToGrid/>
        <w:ind w:firstLine="720" w:firstLineChars="300"/>
        <w:textAlignment w:val="auto"/>
        <w:rPr>
          <w:rFonts w:cs="Times New Roman" w:eastAsiaTheme="minorEastAsia"/>
          <w:b w:val="0"/>
          <w:bCs w:val="0"/>
        </w:rPr>
      </w:pPr>
      <w:r>
        <w:rPr>
          <w:rFonts w:cs="Times New Roman" w:eastAsiaTheme="minorEastAsia"/>
          <w:b w:val="0"/>
          <w:bCs w:val="0"/>
        </w:rPr>
        <w:t>3）  截水帷幕与土钉墙复合作用时，</w:t>
      </w:r>
      <m:oMath>
        <m:sSub>
          <m:sSubPr>
            <m:ctrlPr>
              <w:rPr>
                <w:rFonts w:ascii="Cambria Math" w:hAnsi="Cambria Math" w:cs="Times New Roman" w:eastAsiaTheme="minorEastAsia"/>
                <w:b w:val="0"/>
                <w:bCs w:val="0"/>
                <w:i/>
                <w:vertAlign w:val="subscript"/>
                <w:lang w:val="de-DE"/>
              </w:rPr>
            </m:ctrlPr>
          </m:sSubPr>
          <m:e>
            <m:r>
              <m:rPr/>
              <w:rPr>
                <w:rFonts w:ascii="Cambria Math" w:hAnsi="Cambria Math" w:cs="Times New Roman" w:eastAsiaTheme="minorEastAsia"/>
                <w:vertAlign w:val="subscript"/>
                <w:lang w:val="de-DE"/>
              </w:rPr>
              <m:t>η</m:t>
            </m:r>
            <m:ctrlPr>
              <w:rPr>
                <w:rFonts w:ascii="Cambria Math" w:hAnsi="Cambria Math" w:cs="Times New Roman" w:eastAsiaTheme="minorEastAsia"/>
                <w:b w:val="0"/>
                <w:bCs w:val="0"/>
                <w:i/>
                <w:vertAlign w:val="subscript"/>
                <w:lang w:val="de-DE"/>
              </w:rPr>
            </m:ctrlPr>
          </m:e>
          <m:sub>
            <m:r>
              <m:rPr/>
              <w:rPr>
                <w:rFonts w:ascii="Cambria Math" w:hAnsi="Cambria Math" w:cs="Times New Roman" w:eastAsiaTheme="minorEastAsia"/>
                <w:vertAlign w:val="subscript"/>
                <w:lang w:val="de-DE"/>
              </w:rPr>
              <m:t>3</m:t>
            </m:r>
            <m:ctrlPr>
              <w:rPr>
                <w:rFonts w:ascii="Cambria Math" w:hAnsi="Cambria Math" w:cs="Times New Roman" w:eastAsiaTheme="minorEastAsia"/>
                <w:b w:val="0"/>
                <w:bCs w:val="0"/>
                <w:i/>
                <w:vertAlign w:val="subscript"/>
                <w:lang w:val="de-DE"/>
              </w:rPr>
            </m:ctrlPr>
          </m:sub>
        </m:sSub>
      </m:oMath>
      <w:r>
        <w:rPr>
          <w:rFonts w:cs="Times New Roman" w:eastAsiaTheme="minorEastAsia"/>
          <w:b w:val="0"/>
          <w:bCs w:val="0"/>
        </w:rPr>
        <w:t>宜取0.3~0.5，水泥土抗剪强度取值较高、水泥土墙厚度较大时，</w:t>
      </w:r>
      <m:oMath>
        <m:sSub>
          <m:sSubPr>
            <m:ctrlPr>
              <w:rPr>
                <w:rFonts w:ascii="Cambria Math" w:hAnsi="Cambria Math" w:cs="Times New Roman" w:eastAsiaTheme="minorEastAsia"/>
                <w:b w:val="0"/>
                <w:bCs w:val="0"/>
                <w:i/>
                <w:vertAlign w:val="subscript"/>
                <w:lang w:val="de-DE"/>
              </w:rPr>
            </m:ctrlPr>
          </m:sSubPr>
          <m:e>
            <m:r>
              <m:rPr/>
              <w:rPr>
                <w:rFonts w:ascii="Cambria Math" w:hAnsi="Cambria Math" w:cs="Times New Roman" w:eastAsiaTheme="minorEastAsia"/>
                <w:vertAlign w:val="subscript"/>
                <w:lang w:val="de-DE"/>
              </w:rPr>
              <m:t>η</m:t>
            </m:r>
            <m:ctrlPr>
              <w:rPr>
                <w:rFonts w:ascii="Cambria Math" w:hAnsi="Cambria Math" w:cs="Times New Roman" w:eastAsiaTheme="minorEastAsia"/>
                <w:b w:val="0"/>
                <w:bCs w:val="0"/>
                <w:i/>
                <w:vertAlign w:val="subscript"/>
                <w:lang w:val="de-DE"/>
              </w:rPr>
            </m:ctrlPr>
          </m:e>
          <m:sub>
            <m:r>
              <m:rPr/>
              <w:rPr>
                <w:rFonts w:ascii="Cambria Math" w:hAnsi="Cambria Math" w:cs="Times New Roman" w:eastAsiaTheme="minorEastAsia"/>
                <w:vertAlign w:val="subscript"/>
                <w:lang w:val="de-DE"/>
              </w:rPr>
              <m:t>3</m:t>
            </m:r>
            <m:ctrlPr>
              <w:rPr>
                <w:rFonts w:ascii="Cambria Math" w:hAnsi="Cambria Math" w:cs="Times New Roman" w:eastAsiaTheme="minorEastAsia"/>
                <w:b w:val="0"/>
                <w:bCs w:val="0"/>
                <w:i/>
                <w:vertAlign w:val="subscript"/>
                <w:lang w:val="de-DE"/>
              </w:rPr>
            </m:ctrlPr>
          </m:sub>
        </m:sSub>
      </m:oMath>
      <w:r>
        <w:rPr>
          <w:rFonts w:cs="Times New Roman" w:eastAsiaTheme="minorEastAsia"/>
          <w:b w:val="0"/>
          <w:bCs w:val="0"/>
        </w:rPr>
        <w:t>宜取较小值；</w:t>
      </w:r>
    </w:p>
    <w:p w14:paraId="6B3F401A">
      <w:pPr>
        <w:keepNext w:val="0"/>
        <w:keepLines w:val="0"/>
        <w:pageBreakBefore w:val="0"/>
        <w:widowControl w:val="0"/>
        <w:kinsoku/>
        <w:wordWrap/>
        <w:overflowPunct/>
        <w:topLinePunct w:val="0"/>
        <w:autoSpaceDE/>
        <w:autoSpaceDN/>
        <w:bidi w:val="0"/>
        <w:adjustRightInd/>
        <w:snapToGrid/>
        <w:ind w:firstLine="720" w:firstLineChars="300"/>
        <w:textAlignment w:val="auto"/>
        <w:rPr>
          <w:rFonts w:cs="Times New Roman" w:eastAsiaTheme="minorEastAsia"/>
          <w:b w:val="0"/>
          <w:bCs w:val="0"/>
        </w:rPr>
      </w:pPr>
      <w:r>
        <w:rPr>
          <w:rFonts w:cs="Times New Roman" w:eastAsiaTheme="minorEastAsia"/>
          <w:b w:val="0"/>
          <w:bCs w:val="0"/>
        </w:rPr>
        <w:t>4）  微型桩与土钉墙复合作用时，</w:t>
      </w:r>
      <m:oMath>
        <m:sSub>
          <m:sSubPr>
            <m:ctrlPr>
              <w:rPr>
                <w:rFonts w:ascii="Cambria Math" w:hAnsi="Cambria Math" w:cs="Times New Roman" w:eastAsiaTheme="minorEastAsia"/>
                <w:b w:val="0"/>
                <w:bCs w:val="0"/>
                <w:i/>
                <w:vertAlign w:val="subscript"/>
                <w:lang w:val="de-DE"/>
              </w:rPr>
            </m:ctrlPr>
          </m:sSubPr>
          <m:e>
            <m:r>
              <m:rPr/>
              <w:rPr>
                <w:rFonts w:ascii="Cambria Math" w:hAnsi="Cambria Math" w:cs="Times New Roman" w:eastAsiaTheme="minorEastAsia"/>
                <w:vertAlign w:val="subscript"/>
                <w:lang w:val="de-DE"/>
              </w:rPr>
              <m:t>η</m:t>
            </m:r>
            <m:ctrlPr>
              <w:rPr>
                <w:rFonts w:ascii="Cambria Math" w:hAnsi="Cambria Math" w:cs="Times New Roman" w:eastAsiaTheme="minorEastAsia"/>
                <w:b w:val="0"/>
                <w:bCs w:val="0"/>
                <w:i/>
                <w:vertAlign w:val="subscript"/>
                <w:lang w:val="de-DE"/>
              </w:rPr>
            </m:ctrlPr>
          </m:e>
          <m:sub>
            <m:r>
              <m:rPr/>
              <w:rPr>
                <w:rFonts w:ascii="Cambria Math" w:hAnsi="Cambria Math" w:cs="Times New Roman" w:eastAsiaTheme="minorEastAsia"/>
                <w:vertAlign w:val="subscript"/>
                <w:lang w:val="de-DE"/>
              </w:rPr>
              <m:t>4</m:t>
            </m:r>
            <m:ctrlPr>
              <w:rPr>
                <w:rFonts w:ascii="Cambria Math" w:hAnsi="Cambria Math" w:cs="Times New Roman" w:eastAsiaTheme="minorEastAsia"/>
                <w:b w:val="0"/>
                <w:bCs w:val="0"/>
                <w:i/>
                <w:vertAlign w:val="subscript"/>
                <w:lang w:val="de-DE"/>
              </w:rPr>
            </m:ctrlPr>
          </m:sub>
        </m:sSub>
      </m:oMath>
      <w:r>
        <w:rPr>
          <w:rFonts w:cs="Times New Roman" w:eastAsiaTheme="minorEastAsia"/>
          <w:b w:val="0"/>
          <w:bCs w:val="0"/>
        </w:rPr>
        <w:t>宜取0.1~0.3，微型桩桩体材料抗剪强度取值较高、截面积较大时，</w:t>
      </w:r>
      <m:oMath>
        <m:sSub>
          <m:sSubPr>
            <m:ctrlPr>
              <w:rPr>
                <w:rFonts w:ascii="Cambria Math" w:hAnsi="Cambria Math" w:cs="Times New Roman" w:eastAsiaTheme="minorEastAsia"/>
                <w:b w:val="0"/>
                <w:bCs w:val="0"/>
                <w:i/>
                <w:vertAlign w:val="subscript"/>
                <w:lang w:val="de-DE"/>
              </w:rPr>
            </m:ctrlPr>
          </m:sSubPr>
          <m:e>
            <m:r>
              <m:rPr/>
              <w:rPr>
                <w:rFonts w:ascii="Cambria Math" w:hAnsi="Cambria Math" w:cs="Times New Roman" w:eastAsiaTheme="minorEastAsia"/>
                <w:vertAlign w:val="subscript"/>
                <w:lang w:val="de-DE"/>
              </w:rPr>
              <m:t>η</m:t>
            </m:r>
            <m:ctrlPr>
              <w:rPr>
                <w:rFonts w:ascii="Cambria Math" w:hAnsi="Cambria Math" w:cs="Times New Roman" w:eastAsiaTheme="minorEastAsia"/>
                <w:b w:val="0"/>
                <w:bCs w:val="0"/>
                <w:i/>
                <w:vertAlign w:val="subscript"/>
                <w:lang w:val="de-DE"/>
              </w:rPr>
            </m:ctrlPr>
          </m:e>
          <m:sub>
            <m:r>
              <m:rPr/>
              <w:rPr>
                <w:rFonts w:ascii="Cambria Math" w:hAnsi="Cambria Math" w:cs="Times New Roman" w:eastAsiaTheme="minorEastAsia"/>
                <w:vertAlign w:val="subscript"/>
                <w:lang w:val="de-DE"/>
              </w:rPr>
              <m:t>4</m:t>
            </m:r>
            <m:ctrlPr>
              <w:rPr>
                <w:rFonts w:ascii="Cambria Math" w:hAnsi="Cambria Math" w:cs="Times New Roman" w:eastAsiaTheme="minorEastAsia"/>
                <w:b w:val="0"/>
                <w:bCs w:val="0"/>
                <w:i/>
                <w:vertAlign w:val="subscript"/>
                <w:lang w:val="de-DE"/>
              </w:rPr>
            </m:ctrlPr>
          </m:sub>
        </m:sSub>
      </m:oMath>
      <w:r>
        <w:rPr>
          <w:rFonts w:cs="Times New Roman" w:eastAsiaTheme="minorEastAsia"/>
          <w:b w:val="0"/>
          <w:bCs w:val="0"/>
        </w:rPr>
        <w:t>宜取较小值。基坑支护计算范围内主要土层均为硬塑状黏性土等较硬土层时，</w:t>
      </w:r>
      <m:oMath>
        <m:sSub>
          <m:sSubPr>
            <m:ctrlPr>
              <w:rPr>
                <w:rFonts w:ascii="Cambria Math" w:hAnsi="Cambria Math" w:cs="Times New Roman" w:eastAsiaTheme="minorEastAsia"/>
                <w:b w:val="0"/>
                <w:bCs w:val="0"/>
                <w:i/>
                <w:vertAlign w:val="subscript"/>
                <w:lang w:val="de-DE"/>
              </w:rPr>
            </m:ctrlPr>
          </m:sSubPr>
          <m:e>
            <m:r>
              <m:rPr/>
              <w:rPr>
                <w:rFonts w:ascii="Cambria Math" w:hAnsi="Cambria Math" w:cs="Times New Roman" w:eastAsiaTheme="minorEastAsia"/>
                <w:vertAlign w:val="subscript"/>
                <w:lang w:val="de-DE"/>
              </w:rPr>
              <m:t>η</m:t>
            </m:r>
            <m:ctrlPr>
              <w:rPr>
                <w:rFonts w:ascii="Cambria Math" w:hAnsi="Cambria Math" w:cs="Times New Roman" w:eastAsiaTheme="minorEastAsia"/>
                <w:b w:val="0"/>
                <w:bCs w:val="0"/>
                <w:i/>
                <w:vertAlign w:val="subscript"/>
                <w:lang w:val="de-DE"/>
              </w:rPr>
            </m:ctrlPr>
          </m:e>
          <m:sub>
            <m:r>
              <m:rPr/>
              <w:rPr>
                <w:rFonts w:ascii="Cambria Math" w:hAnsi="Cambria Math" w:cs="Times New Roman" w:eastAsiaTheme="minorEastAsia"/>
                <w:vertAlign w:val="subscript"/>
                <w:lang w:val="de-DE"/>
              </w:rPr>
              <m:t>4</m:t>
            </m:r>
            <m:ctrlPr>
              <w:rPr>
                <w:rFonts w:ascii="Cambria Math" w:hAnsi="Cambria Math" w:cs="Times New Roman" w:eastAsiaTheme="minorEastAsia"/>
                <w:b w:val="0"/>
                <w:bCs w:val="0"/>
                <w:i/>
                <w:vertAlign w:val="subscript"/>
                <w:lang w:val="de-DE"/>
              </w:rPr>
            </m:ctrlPr>
          </m:sub>
        </m:sSub>
      </m:oMath>
      <w:r>
        <w:rPr>
          <w:rFonts w:cs="Times New Roman" w:eastAsiaTheme="minorEastAsia"/>
          <w:b w:val="0"/>
          <w:bCs w:val="0"/>
        </w:rPr>
        <w:t>取值可提高0.1；</w:t>
      </w:r>
    </w:p>
    <w:p w14:paraId="45CA5054">
      <w:pPr>
        <w:keepNext w:val="0"/>
        <w:keepLines w:val="0"/>
        <w:pageBreakBefore w:val="0"/>
        <w:widowControl w:val="0"/>
        <w:kinsoku/>
        <w:wordWrap/>
        <w:overflowPunct/>
        <w:topLinePunct w:val="0"/>
        <w:autoSpaceDE/>
        <w:autoSpaceDN/>
        <w:bidi w:val="0"/>
        <w:adjustRightInd/>
        <w:snapToGrid/>
        <w:ind w:firstLine="720" w:firstLineChars="300"/>
        <w:textAlignment w:val="auto"/>
        <w:rPr>
          <w:rFonts w:cs="Times New Roman" w:eastAsiaTheme="minorEastAsia"/>
          <w:b w:val="0"/>
          <w:bCs w:val="0"/>
        </w:rPr>
      </w:pPr>
      <w:r>
        <w:rPr>
          <w:rFonts w:cs="Times New Roman" w:eastAsiaTheme="minorEastAsia"/>
          <w:b w:val="0"/>
          <w:bCs w:val="0"/>
        </w:rPr>
        <w:t>5）  预应力锚杆、截水帷幕、微型桩三类构件共同复合作用时，组合作用折减系数不应同时取上限。</w:t>
      </w:r>
    </w:p>
    <w:p w14:paraId="13AFEB6C">
      <w:pPr>
        <w:ind w:firstLine="482" w:firstLineChars="200"/>
        <w:rPr>
          <w:rFonts w:cs="Times New Roman" w:eastAsiaTheme="minorEastAsia"/>
        </w:rPr>
      </w:pPr>
      <w:bookmarkStart w:id="57" w:name="OLE_LINK36"/>
      <w:r>
        <w:rPr>
          <w:rFonts w:cs="Times New Roman" w:eastAsiaTheme="minorEastAsia"/>
          <w:b/>
        </w:rPr>
        <w:t>3</w:t>
      </w:r>
      <w:r>
        <w:rPr>
          <w:rFonts w:cs="Times New Roman" w:eastAsiaTheme="minorEastAsia"/>
        </w:rPr>
        <w:t xml:space="preserve"> </w:t>
      </w:r>
      <w:r>
        <w:rPr>
          <w:rFonts w:cs="Times New Roman" w:eastAsiaTheme="minorEastAsia"/>
          <w:b/>
          <w:bCs/>
        </w:rPr>
        <w:t xml:space="preserve"> </w:t>
      </w:r>
      <w:bookmarkEnd w:id="57"/>
      <w:r>
        <w:rPr>
          <w:rFonts w:cs="Times New Roman" w:eastAsiaTheme="minorEastAsia"/>
        </w:rPr>
        <w:t>第</w:t>
      </w:r>
      <w:r>
        <w:rPr>
          <w:rFonts w:cs="Times New Roman" w:eastAsiaTheme="minorEastAsia"/>
          <w:i/>
          <w:iCs/>
        </w:rPr>
        <w:t>j</w:t>
      </w:r>
      <w:r>
        <w:rPr>
          <w:rFonts w:cs="Times New Roman" w:eastAsiaTheme="minorEastAsia"/>
        </w:rPr>
        <w:t>根土钉在稳定区的摩阻力</w:t>
      </w:r>
      <w:r>
        <w:rPr>
          <w:rFonts w:cs="Times New Roman" w:eastAsiaTheme="minorEastAsia"/>
          <w:i/>
          <w:iCs/>
        </w:rPr>
        <w:t>N</w:t>
      </w:r>
      <w:r>
        <w:rPr>
          <w:rFonts w:cs="Times New Roman" w:eastAsiaTheme="minorEastAsia"/>
          <w:vertAlign w:val="subscript"/>
        </w:rPr>
        <w:t>uj</w:t>
      </w:r>
      <w:r>
        <w:rPr>
          <w:rFonts w:cs="Times New Roman" w:eastAsiaTheme="minorEastAsia"/>
        </w:rPr>
        <w:t>应符合下式的规定：</w:t>
      </w:r>
    </w:p>
    <w:tbl>
      <w:tblPr>
        <w:tblStyle w:val="1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91"/>
        <w:gridCol w:w="1970"/>
      </w:tblGrid>
      <w:tr w14:paraId="33B30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3913" w:type="pct"/>
            <w:vAlign w:val="center"/>
          </w:tcPr>
          <w:p w14:paraId="09590347">
            <w:pPr>
              <w:jc w:val="right"/>
              <w:rPr>
                <w:rFonts w:cs="Times New Roman" w:eastAsiaTheme="minorEastAsia"/>
              </w:rPr>
            </w:pPr>
            <m:oMathPara>
              <m:oMathParaPr>
                <m:jc m:val="center"/>
              </m:oMathParaPr>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N</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uj</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≥π</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d</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j</m:t>
                    </m:r>
                    <m:ctrlPr>
                      <w:rPr>
                        <w:rFonts w:ascii="Cambria Math" w:hAnsi="Cambria Math" w:cs="Times New Roman" w:eastAsiaTheme="minorEastAsia"/>
                        <w:i/>
                        <w:vertAlign w:val="subscript"/>
                        <w:lang w:val="de-DE"/>
                      </w:rPr>
                    </m:ctrlPr>
                  </m:sub>
                </m:sSub>
                <m:nary>
                  <m:naryPr>
                    <m:chr m:val="∑"/>
                    <m:limLoc m:val="undOvr"/>
                    <m:subHide m:val="1"/>
                    <m:supHide m:val="1"/>
                    <m:ctrlPr>
                      <w:rPr>
                        <w:rFonts w:ascii="Cambria Math" w:hAnsi="Cambria Math" w:cs="Times New Roman" w:eastAsiaTheme="minorEastAsia"/>
                        <w:i/>
                        <w:vertAlign w:val="subscript"/>
                        <w:lang w:val="de-DE"/>
                      </w:rPr>
                    </m:ctrlPr>
                  </m:naryPr>
                  <m:sub>
                    <m:ctrlPr>
                      <w:rPr>
                        <w:rFonts w:ascii="Cambria Math" w:hAnsi="Cambria Math" w:cs="Times New Roman" w:eastAsiaTheme="minorEastAsia"/>
                        <w:i/>
                        <w:vertAlign w:val="subscript"/>
                        <w:lang w:val="de-DE"/>
                      </w:rPr>
                    </m:ctrlPr>
                  </m:sub>
                  <m:sup>
                    <m:ctrlPr>
                      <w:rPr>
                        <w:rFonts w:ascii="Cambria Math" w:hAnsi="Cambria Math" w:cs="Times New Roman" w:eastAsiaTheme="minorEastAsia"/>
                        <w:i/>
                        <w:vertAlign w:val="subscript"/>
                        <w:lang w:val="de-DE"/>
                      </w:rPr>
                    </m:ctrlPr>
                  </m:sup>
                  <m:e>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q</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sik</m:t>
                        </m:r>
                        <m:ctrlPr>
                          <w:rPr>
                            <w:rFonts w:ascii="Cambria Math" w:hAnsi="Cambria Math" w:cs="Times New Roman" w:eastAsiaTheme="minorEastAsia"/>
                            <w:i/>
                            <w:vertAlign w:val="subscript"/>
                            <w:lang w:val="de-DE"/>
                          </w:rPr>
                        </m:ctrlPr>
                      </m:sub>
                    </m:sSub>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l</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mi,j</m:t>
                        </m:r>
                        <m:ctrlPr>
                          <w:rPr>
                            <w:rFonts w:ascii="Cambria Math" w:hAnsi="Cambria Math" w:cs="Times New Roman" w:eastAsiaTheme="minorEastAsia"/>
                            <w:i/>
                            <w:vertAlign w:val="subscript"/>
                            <w:lang w:val="de-DE"/>
                          </w:rPr>
                        </m:ctrlPr>
                      </m:sub>
                    </m:sSub>
                    <m:ctrlPr>
                      <w:rPr>
                        <w:rFonts w:ascii="Cambria Math" w:hAnsi="Cambria Math" w:cs="Times New Roman" w:eastAsiaTheme="minorEastAsia"/>
                        <w:i/>
                        <w:vertAlign w:val="subscript"/>
                        <w:lang w:val="de-DE"/>
                      </w:rPr>
                    </m:ctrlPr>
                  </m:e>
                </m:nary>
              </m:oMath>
            </m:oMathPara>
          </w:p>
        </w:tc>
        <w:tc>
          <w:tcPr>
            <w:tcW w:w="1087" w:type="pct"/>
            <w:vAlign w:val="center"/>
          </w:tcPr>
          <w:p w14:paraId="36DF685A">
            <w:pPr>
              <w:jc w:val="center"/>
              <w:rPr>
                <w:rFonts w:cs="Times New Roman" w:eastAsiaTheme="minorEastAsia"/>
              </w:rPr>
            </w:pPr>
            <w:r>
              <w:rPr>
                <w:rFonts w:cs="Times New Roman" w:eastAsiaTheme="minorEastAsia"/>
              </w:rPr>
              <w:t>（5.2.</w:t>
            </w:r>
            <w:r>
              <w:rPr>
                <w:rFonts w:hint="eastAsia" w:cs="Times New Roman" w:eastAsiaTheme="minorEastAsia"/>
              </w:rPr>
              <w:t>9</w:t>
            </w:r>
            <w:r>
              <w:rPr>
                <w:rFonts w:cs="Times New Roman" w:eastAsiaTheme="minorEastAsia"/>
              </w:rPr>
              <w:t>-7）</w:t>
            </w:r>
          </w:p>
        </w:tc>
      </w:tr>
    </w:tbl>
    <w:p w14:paraId="5AD82616">
      <w:pPr>
        <w:ind w:firstLine="482" w:firstLineChars="200"/>
        <w:rPr>
          <w:rFonts w:cs="Times New Roman" w:eastAsiaTheme="minorEastAsia"/>
        </w:rPr>
      </w:pPr>
      <w:bookmarkStart w:id="58" w:name="OLE_LINK46"/>
      <w:r>
        <w:rPr>
          <w:rFonts w:cs="Times New Roman" w:eastAsiaTheme="minorEastAsia"/>
          <w:b/>
        </w:rPr>
        <w:t>4</w:t>
      </w:r>
      <w:r>
        <w:rPr>
          <w:rFonts w:cs="Times New Roman" w:eastAsiaTheme="minorEastAsia"/>
        </w:rPr>
        <w:t xml:space="preserve"> </w:t>
      </w:r>
      <w:r>
        <w:rPr>
          <w:rFonts w:cs="Times New Roman" w:eastAsiaTheme="minorEastAsia"/>
          <w:b/>
          <w:bCs/>
        </w:rPr>
        <w:t xml:space="preserve"> </w:t>
      </w:r>
      <w:bookmarkEnd w:id="58"/>
      <w:r>
        <w:rPr>
          <w:rFonts w:cs="Times New Roman" w:eastAsiaTheme="minorEastAsia"/>
          <w:i/>
          <w:iCs/>
        </w:rPr>
        <w:t>K</w:t>
      </w:r>
      <w:r>
        <w:rPr>
          <w:rFonts w:cs="Times New Roman" w:eastAsiaTheme="minorEastAsia"/>
          <w:vertAlign w:val="subscript"/>
        </w:rPr>
        <w:t>s0</w:t>
      </w:r>
      <w:r>
        <w:rPr>
          <w:rFonts w:cs="Times New Roman" w:eastAsiaTheme="minorEastAsia"/>
        </w:rPr>
        <w:t>、</w:t>
      </w:r>
      <w:r>
        <w:rPr>
          <w:rFonts w:cs="Times New Roman" w:eastAsiaTheme="minorEastAsia"/>
          <w:i/>
          <w:iCs/>
        </w:rPr>
        <w:t>K</w:t>
      </w:r>
      <w:r>
        <w:rPr>
          <w:rFonts w:cs="Times New Roman" w:eastAsiaTheme="minorEastAsia"/>
          <w:vertAlign w:val="subscript"/>
        </w:rPr>
        <w:t>s1</w:t>
      </w:r>
      <w:r>
        <w:rPr>
          <w:rFonts w:cs="Times New Roman" w:eastAsiaTheme="minorEastAsia"/>
        </w:rPr>
        <w:t>、</w:t>
      </w:r>
      <w:r>
        <w:rPr>
          <w:rFonts w:cs="Times New Roman" w:eastAsiaTheme="minorEastAsia"/>
          <w:i/>
          <w:iCs/>
        </w:rPr>
        <w:t>K</w:t>
      </w:r>
      <w:r>
        <w:rPr>
          <w:rFonts w:cs="Times New Roman" w:eastAsiaTheme="minorEastAsia"/>
          <w:vertAlign w:val="subscript"/>
        </w:rPr>
        <w:t>s2</w:t>
      </w:r>
      <w:r>
        <w:rPr>
          <w:rFonts w:cs="Times New Roman" w:eastAsiaTheme="minorEastAsia"/>
        </w:rPr>
        <w:t>的组合应符合下式的规定：</w:t>
      </w:r>
    </w:p>
    <w:tbl>
      <w:tblPr>
        <w:tblStyle w:val="1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91"/>
        <w:gridCol w:w="1970"/>
      </w:tblGrid>
      <w:tr w14:paraId="6622F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3913" w:type="pct"/>
            <w:vAlign w:val="center"/>
          </w:tcPr>
          <w:p w14:paraId="39B8E711">
            <w:pPr>
              <w:jc w:val="right"/>
              <w:rPr>
                <w:rFonts w:cs="Times New Roman" w:eastAsiaTheme="minorEastAsia"/>
              </w:rPr>
            </w:pPr>
            <m:oMathPara>
              <m:oMathParaPr>
                <m:jc m:val="center"/>
              </m:oMathParaPr>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s0</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s1</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+0.5</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s2</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≥1.0</m:t>
                </m:r>
              </m:oMath>
            </m:oMathPara>
          </w:p>
        </w:tc>
        <w:tc>
          <w:tcPr>
            <w:tcW w:w="1087" w:type="pct"/>
            <w:vAlign w:val="center"/>
          </w:tcPr>
          <w:p w14:paraId="05854E8C">
            <w:pPr>
              <w:jc w:val="center"/>
              <w:rPr>
                <w:rFonts w:cs="Times New Roman" w:eastAsiaTheme="minorEastAsia"/>
              </w:rPr>
            </w:pPr>
            <w:r>
              <w:rPr>
                <w:rFonts w:cs="Times New Roman" w:eastAsiaTheme="minorEastAsia"/>
              </w:rPr>
              <w:t>（5.2.</w:t>
            </w:r>
            <w:r>
              <w:rPr>
                <w:rFonts w:hint="eastAsia" w:cs="Times New Roman" w:eastAsiaTheme="minorEastAsia"/>
              </w:rPr>
              <w:t>9</w:t>
            </w:r>
            <w:r>
              <w:rPr>
                <w:rFonts w:cs="Times New Roman" w:eastAsiaTheme="minorEastAsia"/>
              </w:rPr>
              <w:t>-8）</w:t>
            </w:r>
          </w:p>
        </w:tc>
      </w:tr>
    </w:tbl>
    <w:p w14:paraId="53AABB78">
      <w:pPr>
        <w:rPr>
          <w:rFonts w:cs="Times New Roman" w:eastAsiaTheme="minorEastAsia"/>
        </w:rPr>
      </w:pPr>
      <w:r>
        <w:rPr>
          <w:rFonts w:cs="Times New Roman" w:eastAsiaTheme="minorEastAsia"/>
          <w:b/>
        </w:rPr>
        <w:t>5.2.1</w:t>
      </w:r>
      <w:r>
        <w:rPr>
          <w:rFonts w:hint="eastAsia" w:cs="Times New Roman" w:eastAsiaTheme="minorEastAsia"/>
          <w:b/>
        </w:rPr>
        <w:t>0</w:t>
      </w:r>
      <w:r>
        <w:rPr>
          <w:rFonts w:cs="Times New Roman" w:eastAsiaTheme="minorEastAsia"/>
        </w:rPr>
        <w:t xml:space="preserve"> </w:t>
      </w:r>
      <w:r>
        <w:rPr>
          <w:rFonts w:cs="Times New Roman" w:eastAsiaTheme="minorEastAsia"/>
          <w:b/>
          <w:bCs/>
        </w:rPr>
        <w:t xml:space="preserve"> </w:t>
      </w:r>
      <w:r>
        <w:rPr>
          <w:rFonts w:cs="Times New Roman" w:eastAsiaTheme="minorEastAsia"/>
        </w:rPr>
        <w:t>锚拉式、悬臂式和双排桩支护结构应进行外部滑动稳定性验算，锚拉式支护结构尚应进行内部滑动稳定性验算，并符合下列规定：</w:t>
      </w:r>
    </w:p>
    <w:p w14:paraId="58B86A54">
      <w:pPr>
        <w:ind w:firstLine="360" w:firstLineChars="150"/>
        <w:rPr>
          <w:rFonts w:cs="Times New Roman" w:eastAsiaTheme="minorEastAsia"/>
        </w:rPr>
      </w:pPr>
      <w:bookmarkStart w:id="59" w:name="OLE_LINK49"/>
      <w:r>
        <w:rPr>
          <w:rFonts w:cs="Times New Roman" w:eastAsiaTheme="minorEastAsia"/>
          <w:b w:val="0"/>
          <w:bCs w:val="0"/>
        </w:rPr>
        <w:t xml:space="preserve">1 </w:t>
      </w:r>
      <w:r>
        <w:rPr>
          <w:rFonts w:cs="Times New Roman" w:eastAsiaTheme="minorEastAsia"/>
          <w:b/>
          <w:bCs/>
        </w:rPr>
        <w:t xml:space="preserve"> </w:t>
      </w:r>
      <w:r>
        <w:rPr>
          <w:rFonts w:cs="Times New Roman" w:eastAsiaTheme="minorEastAsia"/>
        </w:rPr>
        <w:t>外部滑动稳定性验算可采用圆弧滑动条分法进行验算：</w:t>
      </w:r>
    </w:p>
    <w:bookmarkEnd w:id="59"/>
    <w:p w14:paraId="0365AA9E">
      <w:pPr>
        <w:jc w:val="center"/>
        <w:rPr>
          <w:rFonts w:cs="Times New Roman" w:eastAsiaTheme="minorEastAsia"/>
        </w:rPr>
      </w:pPr>
      <w:r>
        <w:rPr>
          <w:rFonts w:cs="Times New Roman"/>
        </w:rPr>
        <w:drawing>
          <wp:inline distT="0" distB="0" distL="0" distR="0">
            <wp:extent cx="3183255" cy="1541145"/>
            <wp:effectExtent l="0" t="0" r="0" b="1905"/>
            <wp:docPr id="15047363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36367" name="图片 1"/>
                    <pic:cNvPicPr>
                      <a:picLocks noChangeAspect="1"/>
                    </pic:cNvPicPr>
                  </pic:nvPicPr>
                  <pic:blipFill>
                    <a:blip r:embed="rId12">
                      <a:extLst>
                        <a:ext uri="{28A0092B-C50C-407E-A947-70E740481C1C}">
                          <a14:useLocalDpi xmlns:a14="http://schemas.microsoft.com/office/drawing/2010/main" val="0"/>
                        </a:ext>
                      </a:extLst>
                    </a:blip>
                    <a:srcRect b="21852"/>
                    <a:stretch>
                      <a:fillRect/>
                    </a:stretch>
                  </pic:blipFill>
                  <pic:spPr>
                    <a:xfrm>
                      <a:off x="0" y="0"/>
                      <a:ext cx="3196207" cy="1547775"/>
                    </a:xfrm>
                    <a:prstGeom prst="rect">
                      <a:avLst/>
                    </a:prstGeom>
                    <a:ln>
                      <a:noFill/>
                    </a:ln>
                  </pic:spPr>
                </pic:pic>
              </a:graphicData>
            </a:graphic>
          </wp:inline>
        </w:drawing>
      </w:r>
    </w:p>
    <w:p w14:paraId="6E472E0B">
      <w:pPr>
        <w:jc w:val="center"/>
        <w:rPr>
          <w:rFonts w:cs="Times New Roman" w:eastAsiaTheme="minorEastAsia"/>
        </w:rPr>
      </w:pPr>
      <w:r>
        <w:rPr>
          <w:rFonts w:cs="Times New Roman" w:eastAsiaTheme="minorEastAsia"/>
        </w:rPr>
        <w:t>图5.2.1</w:t>
      </w:r>
      <w:r>
        <w:rPr>
          <w:rFonts w:hint="eastAsia" w:cs="Times New Roman" w:eastAsiaTheme="minorEastAsia"/>
        </w:rPr>
        <w:t>0-1</w:t>
      </w:r>
      <w:r>
        <w:rPr>
          <w:rFonts w:cs="Times New Roman" w:eastAsiaTheme="minorEastAsia"/>
        </w:rPr>
        <w:t xml:space="preserve">  圆弧滑动条分法整体稳定性验算</w:t>
      </w:r>
    </w:p>
    <w:tbl>
      <w:tblPr>
        <w:tblStyle w:val="1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26"/>
        <w:gridCol w:w="1635"/>
      </w:tblGrid>
      <w:tr w14:paraId="4966C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4098" w:type="pct"/>
            <w:vAlign w:val="center"/>
          </w:tcPr>
          <w:p w14:paraId="542DF748">
            <w:pPr>
              <w:jc w:val="right"/>
              <w:rPr>
                <w:rFonts w:cs="Times New Roman" w:eastAsiaTheme="minorEastAsia"/>
              </w:rPr>
            </w:pPr>
            <m:oMathPara>
              <m:oMathParaPr>
                <m:jc m:val="center"/>
              </m:oMathParaPr>
              <m:oMath>
                <m:func>
                  <m:funcPr>
                    <m:ctrlPr>
                      <w:rPr>
                        <w:rFonts w:ascii="Cambria Math" w:hAnsi="Cambria Math" w:cs="Times New Roman" w:eastAsiaTheme="minorEastAsia"/>
                        <w:vertAlign w:val="subscript"/>
                        <w:lang w:val="de-DE"/>
                      </w:rPr>
                    </m:ctrlPr>
                  </m:funcPr>
                  <m:fName>
                    <m:r>
                      <m:rPr>
                        <m:sty m:val="p"/>
                      </m:rPr>
                      <w:rPr>
                        <w:rFonts w:ascii="Cambria Math" w:hAnsi="Cambria Math" w:cs="Times New Roman" w:eastAsiaTheme="minorEastAsia"/>
                        <w:vertAlign w:val="subscript"/>
                        <w:lang w:val="de-DE"/>
                      </w:rPr>
                      <m:t>min</m:t>
                    </m:r>
                    <m:ctrlPr>
                      <w:rPr>
                        <w:rFonts w:ascii="Cambria Math" w:hAnsi="Cambria Math" w:cs="Times New Roman" w:eastAsiaTheme="minorEastAsia"/>
                        <w:vertAlign w:val="subscript"/>
                        <w:lang w:val="de-DE"/>
                      </w:rPr>
                    </m:ctrlPr>
                  </m:fName>
                  <m:e>
                    <m:d>
                      <m:dPr>
                        <m:ctrlPr>
                          <w:rPr>
                            <w:rFonts w:ascii="Cambria Math" w:hAnsi="Cambria Math" w:cs="Times New Roman" w:eastAsiaTheme="minorEastAsia"/>
                            <w:i/>
                            <w:vertAlign w:val="subscript"/>
                            <w:lang w:val="de-DE"/>
                          </w:rPr>
                        </m:ctrlPr>
                      </m:dPr>
                      <m:e>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s,1</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s,2</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s,i</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ctrlPr>
                          <w:rPr>
                            <w:rFonts w:ascii="Cambria Math" w:hAnsi="Cambria Math" w:cs="Times New Roman" w:eastAsiaTheme="minorEastAsia"/>
                            <w:i/>
                            <w:vertAlign w:val="subscript"/>
                            <w:lang w:val="de-DE"/>
                          </w:rPr>
                        </m:ctrlPr>
                      </m:e>
                    </m:d>
                    <m:ctrlPr>
                      <w:rPr>
                        <w:rFonts w:ascii="Cambria Math" w:hAnsi="Cambria Math" w:cs="Times New Roman" w:eastAsiaTheme="minorEastAsia"/>
                        <w:vertAlign w:val="subscript"/>
                        <w:lang w:val="de-DE"/>
                      </w:rPr>
                    </m:ctrlPr>
                  </m:e>
                </m:func>
                <m:r>
                  <m:rPr/>
                  <w:rPr>
                    <w:rFonts w:ascii="Cambria Math" w:hAnsi="Cambria Math" w:cs="Times New Roman" w:eastAsiaTheme="minorEastAsia"/>
                    <w:vertAlign w:val="subscript"/>
                    <w:lang w:val="de-DE"/>
                  </w:rPr>
                  <m:t>≥</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s</m:t>
                    </m:r>
                    <m:ctrlPr>
                      <w:rPr>
                        <w:rFonts w:ascii="Cambria Math" w:hAnsi="Cambria Math" w:cs="Times New Roman" w:eastAsiaTheme="minorEastAsia"/>
                        <w:i/>
                        <w:vertAlign w:val="subscript"/>
                        <w:lang w:val="de-DE"/>
                      </w:rPr>
                    </m:ctrlPr>
                  </m:sub>
                </m:sSub>
              </m:oMath>
            </m:oMathPara>
          </w:p>
        </w:tc>
        <w:tc>
          <w:tcPr>
            <w:tcW w:w="902" w:type="pct"/>
            <w:vAlign w:val="center"/>
          </w:tcPr>
          <w:p w14:paraId="02747986">
            <w:pPr>
              <w:jc w:val="center"/>
              <w:rPr>
                <w:rFonts w:cs="Times New Roman" w:eastAsiaTheme="minorEastAsia"/>
              </w:rPr>
            </w:pPr>
            <w:r>
              <w:rPr>
                <w:rFonts w:cs="Times New Roman" w:eastAsiaTheme="minorEastAsia"/>
              </w:rPr>
              <w:t>（5.2.1</w:t>
            </w:r>
            <w:r>
              <w:rPr>
                <w:rFonts w:hint="eastAsia" w:cs="Times New Roman" w:eastAsiaTheme="minorEastAsia"/>
              </w:rPr>
              <w:t>0</w:t>
            </w:r>
            <w:r>
              <w:rPr>
                <w:rFonts w:cs="Times New Roman" w:eastAsiaTheme="minorEastAsia"/>
              </w:rPr>
              <w:t>-1）</w:t>
            </w:r>
          </w:p>
        </w:tc>
      </w:tr>
      <w:tr w14:paraId="2C50C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4098" w:type="pct"/>
            <w:vAlign w:val="center"/>
          </w:tcPr>
          <w:p w14:paraId="08C4A735">
            <w:pPr>
              <w:jc w:val="right"/>
              <w:rPr>
                <w:rFonts w:cs="Times New Roman"/>
                <w:vertAlign w:val="subscript"/>
                <w:lang w:val="de-DE"/>
              </w:rPr>
            </w:pPr>
            <m:oMathPara>
              <m:oMathParaPr>
                <m:jc m:val="left"/>
              </m:oMathParaPr>
              <m:oMath>
                <m:sSub>
                  <m:sSubPr>
                    <m:ctrlPr>
                      <w:rPr>
                        <w:rFonts w:ascii="Cambria Math" w:hAnsi="Cambria Math" w:cs="Times New Roman" w:eastAsiaTheme="minorEastAsia"/>
                        <w:sz w:val="20"/>
                        <w:szCs w:val="20"/>
                        <w:vertAlign w:val="subscript"/>
                        <w:lang w:val="de-DE"/>
                      </w:rPr>
                    </m:ctrlPr>
                  </m:sSubPr>
                  <m:e>
                    <m:r>
                      <m:rPr>
                        <m:sty m:val="p"/>
                      </m:rPr>
                      <w:rPr>
                        <w:rFonts w:ascii="Cambria Math" w:hAnsi="Cambria Math" w:cs="Times New Roman" w:eastAsiaTheme="minorEastAsia"/>
                        <w:sz w:val="20"/>
                        <w:szCs w:val="20"/>
                        <w:vertAlign w:val="subscript"/>
                        <w:lang w:val="de-DE"/>
                      </w:rPr>
                      <m:t>K</m:t>
                    </m:r>
                    <m:ctrlPr>
                      <w:rPr>
                        <w:rFonts w:ascii="Cambria Math" w:hAnsi="Cambria Math" w:cs="Times New Roman" w:eastAsiaTheme="minorEastAsia"/>
                        <w:sz w:val="20"/>
                        <w:szCs w:val="20"/>
                        <w:vertAlign w:val="subscript"/>
                        <w:lang w:val="de-DE"/>
                      </w:rPr>
                    </m:ctrlPr>
                  </m:e>
                  <m:sub>
                    <m:r>
                      <m:rPr/>
                      <w:rPr>
                        <w:rFonts w:ascii="Cambria Math" w:hAnsi="Cambria Math" w:cs="Times New Roman" w:eastAsiaTheme="minorEastAsia"/>
                        <w:sz w:val="20"/>
                        <w:szCs w:val="20"/>
                        <w:vertAlign w:val="subscript"/>
                        <w:lang w:val="de-DE"/>
                      </w:rPr>
                      <m:t>s,j</m:t>
                    </m:r>
                    <m:ctrlPr>
                      <w:rPr>
                        <w:rFonts w:ascii="Cambria Math" w:hAnsi="Cambria Math" w:cs="Times New Roman" w:eastAsiaTheme="minorEastAsia"/>
                        <w:sz w:val="20"/>
                        <w:szCs w:val="20"/>
                        <w:vertAlign w:val="subscript"/>
                        <w:lang w:val="de-DE"/>
                      </w:rPr>
                    </m:ctrlPr>
                  </m:sub>
                </m:sSub>
                <m:r>
                  <m:rPr/>
                  <w:rPr>
                    <w:rFonts w:ascii="Cambria Math" w:hAnsi="Cambria Math" w:cs="Times New Roman" w:eastAsiaTheme="minorEastAsia"/>
                    <w:sz w:val="20"/>
                    <w:szCs w:val="20"/>
                    <w:vertAlign w:val="subscript"/>
                    <w:lang w:val="de-DE"/>
                  </w:rPr>
                  <m:t>=</m:t>
                </m:r>
                <m:f>
                  <m:fPr>
                    <m:ctrlPr>
                      <w:rPr>
                        <w:rFonts w:ascii="Cambria Math" w:hAnsi="Cambria Math" w:cs="Times New Roman" w:eastAsiaTheme="minorEastAsia"/>
                        <w:i/>
                        <w:sz w:val="20"/>
                        <w:szCs w:val="20"/>
                        <w:vertAlign w:val="subscript"/>
                        <w:lang w:val="de-DE"/>
                      </w:rPr>
                    </m:ctrlPr>
                  </m:fPr>
                  <m:num>
                    <m:nary>
                      <m:naryPr>
                        <m:chr m:val="∑"/>
                        <m:limLoc m:val="undOvr"/>
                        <m:subHide m:val="1"/>
                        <m:supHide m:val="1"/>
                        <m:ctrlPr>
                          <w:rPr>
                            <w:rFonts w:ascii="Cambria Math" w:hAnsi="Cambria Math" w:cs="Times New Roman" w:eastAsiaTheme="minorEastAsia"/>
                            <w:i/>
                            <w:sz w:val="20"/>
                            <w:szCs w:val="20"/>
                            <w:vertAlign w:val="subscript"/>
                            <w:lang w:val="de-DE"/>
                          </w:rPr>
                        </m:ctrlPr>
                      </m:naryPr>
                      <m:sub>
                        <m:ctrlPr>
                          <w:rPr>
                            <w:rFonts w:ascii="Cambria Math" w:hAnsi="Cambria Math" w:cs="Times New Roman" w:eastAsiaTheme="minorEastAsia"/>
                            <w:i/>
                            <w:sz w:val="20"/>
                            <w:szCs w:val="20"/>
                            <w:vertAlign w:val="subscript"/>
                            <w:lang w:val="de-DE"/>
                          </w:rPr>
                        </m:ctrlPr>
                      </m:sub>
                      <m:sup>
                        <m:ctrlPr>
                          <w:rPr>
                            <w:rFonts w:ascii="Cambria Math" w:hAnsi="Cambria Math" w:cs="Times New Roman" w:eastAsiaTheme="minorEastAsia"/>
                            <w:i/>
                            <w:sz w:val="20"/>
                            <w:szCs w:val="20"/>
                            <w:vertAlign w:val="subscript"/>
                            <w:lang w:val="de-DE"/>
                          </w:rPr>
                        </m:ctrlPr>
                      </m:sup>
                      <m:e>
                        <m:d>
                          <m:dPr>
                            <m:begChr m:val="{"/>
                            <m:endChr m:val="}"/>
                            <m:ctrlPr>
                              <w:rPr>
                                <w:rFonts w:ascii="Cambria Math" w:hAnsi="Cambria Math" w:cs="Times New Roman" w:eastAsiaTheme="minorEastAsia"/>
                                <w:i/>
                                <w:sz w:val="20"/>
                                <w:szCs w:val="20"/>
                                <w:vertAlign w:val="subscript"/>
                                <w:lang w:val="de-DE"/>
                              </w:rPr>
                            </m:ctrlPr>
                          </m:dPr>
                          <m:e>
                            <m:sSub>
                              <m:sSubPr>
                                <m:ctrlPr>
                                  <w:rPr>
                                    <w:rFonts w:ascii="Cambria Math" w:hAnsi="Cambria Math" w:cs="Times New Roman" w:eastAsiaTheme="minorEastAsia"/>
                                    <w:i/>
                                    <w:sz w:val="20"/>
                                    <w:szCs w:val="20"/>
                                    <w:vertAlign w:val="subscript"/>
                                    <w:lang w:val="de-DE"/>
                                  </w:rPr>
                                </m:ctrlPr>
                              </m:sSubPr>
                              <m:e>
                                <m:r>
                                  <m:rPr/>
                                  <w:rPr>
                                    <w:rFonts w:ascii="Cambria Math" w:hAnsi="Cambria Math" w:cs="Times New Roman" w:eastAsiaTheme="minorEastAsia"/>
                                    <w:sz w:val="20"/>
                                    <w:szCs w:val="20"/>
                                    <w:vertAlign w:val="subscript"/>
                                    <w:lang w:val="de-DE"/>
                                  </w:rPr>
                                  <m:t>c</m:t>
                                </m:r>
                                <m:ctrlPr>
                                  <w:rPr>
                                    <w:rFonts w:ascii="Cambria Math" w:hAnsi="Cambria Math" w:cs="Times New Roman" w:eastAsiaTheme="minorEastAsia"/>
                                    <w:i/>
                                    <w:sz w:val="20"/>
                                    <w:szCs w:val="20"/>
                                    <w:vertAlign w:val="subscript"/>
                                    <w:lang w:val="de-DE"/>
                                  </w:rPr>
                                </m:ctrlPr>
                              </m:e>
                              <m:sub>
                                <m:r>
                                  <m:rPr/>
                                  <w:rPr>
                                    <w:rFonts w:ascii="Cambria Math" w:hAnsi="Cambria Math" w:cs="Times New Roman" w:eastAsiaTheme="minorEastAsia"/>
                                    <w:sz w:val="20"/>
                                    <w:szCs w:val="20"/>
                                    <w:vertAlign w:val="subscript"/>
                                    <w:lang w:val="de-DE"/>
                                  </w:rPr>
                                  <m:t>j</m:t>
                                </m:r>
                                <m:ctrlPr>
                                  <w:rPr>
                                    <w:rFonts w:ascii="Cambria Math" w:hAnsi="Cambria Math" w:cs="Times New Roman" w:eastAsiaTheme="minorEastAsia"/>
                                    <w:i/>
                                    <w:sz w:val="20"/>
                                    <w:szCs w:val="20"/>
                                    <w:vertAlign w:val="subscript"/>
                                    <w:lang w:val="de-DE"/>
                                  </w:rPr>
                                </m:ctrlPr>
                              </m:sub>
                            </m:sSub>
                            <m:sSub>
                              <m:sSubPr>
                                <m:ctrlPr>
                                  <w:rPr>
                                    <w:rFonts w:ascii="Cambria Math" w:hAnsi="Cambria Math" w:cs="Times New Roman" w:eastAsiaTheme="minorEastAsia"/>
                                    <w:i/>
                                    <w:sz w:val="20"/>
                                    <w:szCs w:val="20"/>
                                    <w:vertAlign w:val="subscript"/>
                                    <w:lang w:val="de-DE"/>
                                  </w:rPr>
                                </m:ctrlPr>
                              </m:sSubPr>
                              <m:e>
                                <m:r>
                                  <m:rPr/>
                                  <w:rPr>
                                    <w:rFonts w:ascii="Cambria Math" w:hAnsi="Cambria Math" w:cs="Times New Roman" w:eastAsiaTheme="minorEastAsia"/>
                                    <w:sz w:val="20"/>
                                    <w:szCs w:val="20"/>
                                    <w:vertAlign w:val="subscript"/>
                                    <w:lang w:val="de-DE"/>
                                  </w:rPr>
                                  <m:t>l</m:t>
                                </m:r>
                                <m:ctrlPr>
                                  <w:rPr>
                                    <w:rFonts w:ascii="Cambria Math" w:hAnsi="Cambria Math" w:cs="Times New Roman" w:eastAsiaTheme="minorEastAsia"/>
                                    <w:i/>
                                    <w:sz w:val="20"/>
                                    <w:szCs w:val="20"/>
                                    <w:vertAlign w:val="subscript"/>
                                    <w:lang w:val="de-DE"/>
                                  </w:rPr>
                                </m:ctrlPr>
                              </m:e>
                              <m:sub>
                                <m:r>
                                  <m:rPr/>
                                  <w:rPr>
                                    <w:rFonts w:ascii="Cambria Math" w:hAnsi="Cambria Math" w:cs="Times New Roman" w:eastAsiaTheme="minorEastAsia"/>
                                    <w:sz w:val="20"/>
                                    <w:szCs w:val="20"/>
                                    <w:vertAlign w:val="subscript"/>
                                    <w:lang w:val="de-DE"/>
                                  </w:rPr>
                                  <m:t>j</m:t>
                                </m:r>
                                <m:ctrlPr>
                                  <w:rPr>
                                    <w:rFonts w:ascii="Cambria Math" w:hAnsi="Cambria Math" w:cs="Times New Roman" w:eastAsiaTheme="minorEastAsia"/>
                                    <w:i/>
                                    <w:sz w:val="20"/>
                                    <w:szCs w:val="20"/>
                                    <w:vertAlign w:val="subscript"/>
                                    <w:lang w:val="de-DE"/>
                                  </w:rPr>
                                </m:ctrlPr>
                              </m:sub>
                            </m:sSub>
                            <m:r>
                              <m:rPr/>
                              <w:rPr>
                                <w:rFonts w:ascii="Cambria Math" w:hAnsi="Cambria Math" w:cs="Times New Roman" w:eastAsiaTheme="minorEastAsia"/>
                                <w:sz w:val="20"/>
                                <w:szCs w:val="20"/>
                                <w:vertAlign w:val="subscript"/>
                                <w:lang w:val="de-DE"/>
                              </w:rPr>
                              <m:t>+</m:t>
                            </m:r>
                            <m:d>
                              <m:dPr>
                                <m:begChr m:val="["/>
                                <m:endChr m:val="]"/>
                                <m:ctrlPr>
                                  <w:rPr>
                                    <w:rFonts w:ascii="Cambria Math" w:hAnsi="Cambria Math" w:cs="Times New Roman" w:eastAsiaTheme="minorEastAsia"/>
                                    <w:i/>
                                    <w:sz w:val="20"/>
                                    <w:szCs w:val="20"/>
                                    <w:vertAlign w:val="subscript"/>
                                    <w:lang w:val="de-DE"/>
                                  </w:rPr>
                                </m:ctrlPr>
                              </m:dPr>
                              <m:e>
                                <m:d>
                                  <m:dPr>
                                    <m:ctrlPr>
                                      <w:rPr>
                                        <w:rFonts w:ascii="Cambria Math" w:hAnsi="Cambria Math" w:cs="Times New Roman" w:eastAsiaTheme="minorEastAsia"/>
                                        <w:i/>
                                        <w:sz w:val="20"/>
                                        <w:szCs w:val="20"/>
                                        <w:vertAlign w:val="subscript"/>
                                        <w:lang w:val="de-DE"/>
                                      </w:rPr>
                                    </m:ctrlPr>
                                  </m:dPr>
                                  <m:e>
                                    <m:sSub>
                                      <m:sSubPr>
                                        <m:ctrlPr>
                                          <w:rPr>
                                            <w:rFonts w:ascii="Cambria Math" w:hAnsi="Cambria Math" w:cs="Times New Roman" w:eastAsiaTheme="minorEastAsia"/>
                                            <w:i/>
                                            <w:sz w:val="20"/>
                                            <w:szCs w:val="20"/>
                                            <w:vertAlign w:val="subscript"/>
                                            <w:lang w:val="de-DE"/>
                                          </w:rPr>
                                        </m:ctrlPr>
                                      </m:sSubPr>
                                      <m:e>
                                        <m:r>
                                          <m:rPr/>
                                          <w:rPr>
                                            <w:rFonts w:ascii="Cambria Math" w:hAnsi="Cambria Math" w:cs="Times New Roman" w:eastAsiaTheme="minorEastAsia"/>
                                            <w:sz w:val="20"/>
                                            <w:szCs w:val="20"/>
                                            <w:vertAlign w:val="subscript"/>
                                            <w:lang w:val="de-DE"/>
                                          </w:rPr>
                                          <m:t>q</m:t>
                                        </m:r>
                                        <m:ctrlPr>
                                          <w:rPr>
                                            <w:rFonts w:ascii="Cambria Math" w:hAnsi="Cambria Math" w:cs="Times New Roman" w:eastAsiaTheme="minorEastAsia"/>
                                            <w:i/>
                                            <w:sz w:val="20"/>
                                            <w:szCs w:val="20"/>
                                            <w:vertAlign w:val="subscript"/>
                                            <w:lang w:val="de-DE"/>
                                          </w:rPr>
                                        </m:ctrlPr>
                                      </m:e>
                                      <m:sub>
                                        <m:r>
                                          <m:rPr/>
                                          <w:rPr>
                                            <w:rFonts w:ascii="Cambria Math" w:hAnsi="Cambria Math" w:cs="Times New Roman" w:eastAsiaTheme="minorEastAsia"/>
                                            <w:sz w:val="20"/>
                                            <w:szCs w:val="20"/>
                                            <w:vertAlign w:val="subscript"/>
                                            <w:lang w:val="de-DE"/>
                                          </w:rPr>
                                          <m:t>j</m:t>
                                        </m:r>
                                        <m:ctrlPr>
                                          <w:rPr>
                                            <w:rFonts w:ascii="Cambria Math" w:hAnsi="Cambria Math" w:cs="Times New Roman" w:eastAsiaTheme="minorEastAsia"/>
                                            <w:i/>
                                            <w:sz w:val="20"/>
                                            <w:szCs w:val="20"/>
                                            <w:vertAlign w:val="subscript"/>
                                            <w:lang w:val="de-DE"/>
                                          </w:rPr>
                                        </m:ctrlPr>
                                      </m:sub>
                                    </m:sSub>
                                    <m:sSub>
                                      <m:sSubPr>
                                        <m:ctrlPr>
                                          <w:rPr>
                                            <w:rFonts w:ascii="Cambria Math" w:hAnsi="Cambria Math" w:cs="Times New Roman" w:eastAsiaTheme="minorEastAsia"/>
                                            <w:i/>
                                            <w:sz w:val="20"/>
                                            <w:szCs w:val="20"/>
                                            <w:vertAlign w:val="subscript"/>
                                            <w:lang w:val="de-DE"/>
                                          </w:rPr>
                                        </m:ctrlPr>
                                      </m:sSubPr>
                                      <m:e>
                                        <m:r>
                                          <m:rPr/>
                                          <w:rPr>
                                            <w:rFonts w:ascii="Cambria Math" w:hAnsi="Cambria Math" w:cs="Times New Roman" w:eastAsiaTheme="minorEastAsia"/>
                                            <w:sz w:val="20"/>
                                            <w:szCs w:val="20"/>
                                            <w:vertAlign w:val="subscript"/>
                                            <w:lang w:val="de-DE"/>
                                          </w:rPr>
                                          <m:t>l</m:t>
                                        </m:r>
                                        <m:ctrlPr>
                                          <w:rPr>
                                            <w:rFonts w:ascii="Cambria Math" w:hAnsi="Cambria Math" w:cs="Times New Roman" w:eastAsiaTheme="minorEastAsia"/>
                                            <w:i/>
                                            <w:sz w:val="20"/>
                                            <w:szCs w:val="20"/>
                                            <w:vertAlign w:val="subscript"/>
                                            <w:lang w:val="de-DE"/>
                                          </w:rPr>
                                        </m:ctrlPr>
                                      </m:e>
                                      <m:sub>
                                        <m:r>
                                          <m:rPr/>
                                          <w:rPr>
                                            <w:rFonts w:ascii="Cambria Math" w:hAnsi="Cambria Math" w:cs="Times New Roman" w:eastAsiaTheme="minorEastAsia"/>
                                            <w:sz w:val="20"/>
                                            <w:szCs w:val="20"/>
                                            <w:vertAlign w:val="subscript"/>
                                            <w:lang w:val="de-DE"/>
                                          </w:rPr>
                                          <m:t>j</m:t>
                                        </m:r>
                                        <m:ctrlPr>
                                          <w:rPr>
                                            <w:rFonts w:ascii="Cambria Math" w:hAnsi="Cambria Math" w:cs="Times New Roman" w:eastAsiaTheme="minorEastAsia"/>
                                            <w:i/>
                                            <w:sz w:val="20"/>
                                            <w:szCs w:val="20"/>
                                            <w:vertAlign w:val="subscript"/>
                                            <w:lang w:val="de-DE"/>
                                          </w:rPr>
                                        </m:ctrlPr>
                                      </m:sub>
                                    </m:sSub>
                                    <m:r>
                                      <m:rPr/>
                                      <w:rPr>
                                        <w:rFonts w:ascii="Cambria Math" w:hAnsi="Cambria Math" w:cs="Times New Roman" w:eastAsiaTheme="minorEastAsia"/>
                                        <w:sz w:val="20"/>
                                        <w:szCs w:val="20"/>
                                        <w:vertAlign w:val="subscript"/>
                                        <w:lang w:val="de-DE"/>
                                      </w:rPr>
                                      <m:t>+∆</m:t>
                                    </m:r>
                                    <m:sSub>
                                      <m:sSubPr>
                                        <m:ctrlPr>
                                          <w:rPr>
                                            <w:rFonts w:ascii="Cambria Math" w:hAnsi="Cambria Math" w:cs="Times New Roman" w:eastAsiaTheme="minorEastAsia"/>
                                            <w:i/>
                                            <w:sz w:val="20"/>
                                            <w:szCs w:val="20"/>
                                            <w:vertAlign w:val="subscript"/>
                                            <w:lang w:val="de-DE"/>
                                          </w:rPr>
                                        </m:ctrlPr>
                                      </m:sSubPr>
                                      <m:e>
                                        <m:r>
                                          <m:rPr/>
                                          <w:rPr>
                                            <w:rFonts w:ascii="Cambria Math" w:hAnsi="Cambria Math" w:cs="Times New Roman" w:eastAsiaTheme="minorEastAsia"/>
                                            <w:sz w:val="20"/>
                                            <w:szCs w:val="20"/>
                                            <w:vertAlign w:val="subscript"/>
                                            <w:lang w:val="de-DE"/>
                                          </w:rPr>
                                          <m:t>G</m:t>
                                        </m:r>
                                        <m:ctrlPr>
                                          <w:rPr>
                                            <w:rFonts w:ascii="Cambria Math" w:hAnsi="Cambria Math" w:cs="Times New Roman" w:eastAsiaTheme="minorEastAsia"/>
                                            <w:i/>
                                            <w:sz w:val="20"/>
                                            <w:szCs w:val="20"/>
                                            <w:vertAlign w:val="subscript"/>
                                            <w:lang w:val="de-DE"/>
                                          </w:rPr>
                                        </m:ctrlPr>
                                      </m:e>
                                      <m:sub>
                                        <m:r>
                                          <m:rPr/>
                                          <w:rPr>
                                            <w:rFonts w:ascii="Cambria Math" w:hAnsi="Cambria Math" w:cs="Times New Roman" w:eastAsiaTheme="minorEastAsia"/>
                                            <w:sz w:val="20"/>
                                            <w:szCs w:val="20"/>
                                            <w:vertAlign w:val="subscript"/>
                                            <w:lang w:val="de-DE"/>
                                          </w:rPr>
                                          <m:t>j</m:t>
                                        </m:r>
                                        <m:ctrlPr>
                                          <w:rPr>
                                            <w:rFonts w:ascii="Cambria Math" w:hAnsi="Cambria Math" w:cs="Times New Roman" w:eastAsiaTheme="minorEastAsia"/>
                                            <w:i/>
                                            <w:sz w:val="20"/>
                                            <w:szCs w:val="20"/>
                                            <w:vertAlign w:val="subscript"/>
                                            <w:lang w:val="de-DE"/>
                                          </w:rPr>
                                        </m:ctrlPr>
                                      </m:sub>
                                    </m:sSub>
                                    <m:ctrlPr>
                                      <w:rPr>
                                        <w:rFonts w:ascii="Cambria Math" w:hAnsi="Cambria Math" w:cs="Times New Roman" w:eastAsiaTheme="minorEastAsia"/>
                                        <w:i/>
                                        <w:sz w:val="20"/>
                                        <w:szCs w:val="20"/>
                                        <w:vertAlign w:val="subscript"/>
                                        <w:lang w:val="de-DE"/>
                                      </w:rPr>
                                    </m:ctrlPr>
                                  </m:e>
                                </m:d>
                                <m:r>
                                  <m:rPr>
                                    <m:sty m:val="p"/>
                                  </m:rPr>
                                  <w:rPr>
                                    <w:rFonts w:ascii="Cambria Math" w:hAnsi="Cambria Math" w:cs="Times New Roman" w:eastAsiaTheme="minorEastAsia"/>
                                    <w:sz w:val="20"/>
                                    <w:szCs w:val="20"/>
                                    <w:vertAlign w:val="subscript"/>
                                    <w:lang w:val="de-DE"/>
                                  </w:rPr>
                                  <m:t>cos</m:t>
                                </m:r>
                                <m:sSub>
                                  <m:sSubPr>
                                    <m:ctrlPr>
                                      <w:rPr>
                                        <w:rFonts w:ascii="Cambria Math" w:hAnsi="Cambria Math" w:cs="Times New Roman" w:eastAsiaTheme="minorEastAsia"/>
                                        <w:i/>
                                        <w:sz w:val="20"/>
                                        <w:szCs w:val="20"/>
                                        <w:vertAlign w:val="subscript"/>
                                        <w:lang w:val="de-DE"/>
                                      </w:rPr>
                                    </m:ctrlPr>
                                  </m:sSubPr>
                                  <m:e>
                                    <m:r>
                                      <m:rPr/>
                                      <w:rPr>
                                        <w:rFonts w:ascii="Cambria Math" w:hAnsi="Cambria Math" w:cs="Times New Roman" w:eastAsiaTheme="minorEastAsia"/>
                                        <w:sz w:val="20"/>
                                        <w:szCs w:val="20"/>
                                        <w:vertAlign w:val="subscript"/>
                                        <w:lang w:val="de-DE"/>
                                      </w:rPr>
                                      <m:t>θ</m:t>
                                    </m:r>
                                    <m:ctrlPr>
                                      <w:rPr>
                                        <w:rFonts w:ascii="Cambria Math" w:hAnsi="Cambria Math" w:cs="Times New Roman" w:eastAsiaTheme="minorEastAsia"/>
                                        <w:i/>
                                        <w:sz w:val="20"/>
                                        <w:szCs w:val="20"/>
                                        <w:vertAlign w:val="subscript"/>
                                        <w:lang w:val="de-DE"/>
                                      </w:rPr>
                                    </m:ctrlPr>
                                  </m:e>
                                  <m:sub>
                                    <m:r>
                                      <m:rPr/>
                                      <w:rPr>
                                        <w:rFonts w:ascii="Cambria Math" w:hAnsi="Cambria Math" w:cs="Times New Roman" w:eastAsiaTheme="minorEastAsia"/>
                                        <w:sz w:val="20"/>
                                        <w:szCs w:val="20"/>
                                        <w:vertAlign w:val="subscript"/>
                                        <w:lang w:val="de-DE"/>
                                      </w:rPr>
                                      <m:t>j</m:t>
                                    </m:r>
                                    <m:ctrlPr>
                                      <w:rPr>
                                        <w:rFonts w:ascii="Cambria Math" w:hAnsi="Cambria Math" w:cs="Times New Roman" w:eastAsiaTheme="minorEastAsia"/>
                                        <w:i/>
                                        <w:sz w:val="20"/>
                                        <w:szCs w:val="20"/>
                                        <w:vertAlign w:val="subscript"/>
                                        <w:lang w:val="de-DE"/>
                                      </w:rPr>
                                    </m:ctrlPr>
                                  </m:sub>
                                </m:sSub>
                                <m:r>
                                  <m:rPr/>
                                  <w:rPr>
                                    <w:rFonts w:ascii="Cambria Math" w:hAnsi="Cambria Math" w:cs="Times New Roman" w:eastAsiaTheme="minorEastAsia"/>
                                    <w:sz w:val="20"/>
                                    <w:szCs w:val="20"/>
                                    <w:vertAlign w:val="subscript"/>
                                    <w:lang w:val="de-DE"/>
                                  </w:rPr>
                                  <m:t>−</m:t>
                                </m:r>
                                <m:sSub>
                                  <m:sSubPr>
                                    <m:ctrlPr>
                                      <w:rPr>
                                        <w:rFonts w:ascii="Cambria Math" w:hAnsi="Cambria Math" w:cs="Times New Roman" w:eastAsiaTheme="minorEastAsia"/>
                                        <w:i/>
                                        <w:sz w:val="20"/>
                                        <w:szCs w:val="20"/>
                                        <w:vertAlign w:val="subscript"/>
                                        <w:lang w:val="de-DE"/>
                                      </w:rPr>
                                    </m:ctrlPr>
                                  </m:sSubPr>
                                  <m:e>
                                    <m:r>
                                      <m:rPr/>
                                      <w:rPr>
                                        <w:rFonts w:ascii="Cambria Math" w:hAnsi="Cambria Math" w:cs="Times New Roman" w:eastAsiaTheme="minorEastAsia"/>
                                        <w:sz w:val="20"/>
                                        <w:szCs w:val="20"/>
                                        <w:vertAlign w:val="subscript"/>
                                        <w:lang w:val="de-DE"/>
                                      </w:rPr>
                                      <m:t>u</m:t>
                                    </m:r>
                                    <m:ctrlPr>
                                      <w:rPr>
                                        <w:rFonts w:ascii="Cambria Math" w:hAnsi="Cambria Math" w:cs="Times New Roman" w:eastAsiaTheme="minorEastAsia"/>
                                        <w:i/>
                                        <w:sz w:val="20"/>
                                        <w:szCs w:val="20"/>
                                        <w:vertAlign w:val="subscript"/>
                                        <w:lang w:val="de-DE"/>
                                      </w:rPr>
                                    </m:ctrlPr>
                                  </m:e>
                                  <m:sub>
                                    <m:r>
                                      <m:rPr/>
                                      <w:rPr>
                                        <w:rFonts w:ascii="Cambria Math" w:hAnsi="Cambria Math" w:cs="Times New Roman" w:eastAsiaTheme="minorEastAsia"/>
                                        <w:sz w:val="20"/>
                                        <w:szCs w:val="20"/>
                                        <w:vertAlign w:val="subscript"/>
                                        <w:lang w:val="de-DE"/>
                                      </w:rPr>
                                      <m:t>j</m:t>
                                    </m:r>
                                    <m:ctrlPr>
                                      <w:rPr>
                                        <w:rFonts w:ascii="Cambria Math" w:hAnsi="Cambria Math" w:cs="Times New Roman" w:eastAsiaTheme="minorEastAsia"/>
                                        <w:i/>
                                        <w:sz w:val="20"/>
                                        <w:szCs w:val="20"/>
                                        <w:vertAlign w:val="subscript"/>
                                        <w:lang w:val="de-DE"/>
                                      </w:rPr>
                                    </m:ctrlPr>
                                  </m:sub>
                                </m:sSub>
                                <m:sSub>
                                  <m:sSubPr>
                                    <m:ctrlPr>
                                      <w:rPr>
                                        <w:rFonts w:ascii="Cambria Math" w:hAnsi="Cambria Math" w:cs="Times New Roman" w:eastAsiaTheme="minorEastAsia"/>
                                        <w:i/>
                                        <w:sz w:val="20"/>
                                        <w:szCs w:val="20"/>
                                        <w:vertAlign w:val="subscript"/>
                                        <w:lang w:val="de-DE"/>
                                      </w:rPr>
                                    </m:ctrlPr>
                                  </m:sSubPr>
                                  <m:e>
                                    <m:r>
                                      <m:rPr/>
                                      <w:rPr>
                                        <w:rFonts w:ascii="Cambria Math" w:hAnsi="Cambria Math" w:cs="Times New Roman" w:eastAsiaTheme="minorEastAsia"/>
                                        <w:sz w:val="20"/>
                                        <w:szCs w:val="20"/>
                                        <w:vertAlign w:val="subscript"/>
                                        <w:lang w:val="de-DE"/>
                                      </w:rPr>
                                      <m:t>l</m:t>
                                    </m:r>
                                    <m:ctrlPr>
                                      <w:rPr>
                                        <w:rFonts w:ascii="Cambria Math" w:hAnsi="Cambria Math" w:cs="Times New Roman" w:eastAsiaTheme="minorEastAsia"/>
                                        <w:i/>
                                        <w:sz w:val="20"/>
                                        <w:szCs w:val="20"/>
                                        <w:vertAlign w:val="subscript"/>
                                        <w:lang w:val="de-DE"/>
                                      </w:rPr>
                                    </m:ctrlPr>
                                  </m:e>
                                  <m:sub>
                                    <m:r>
                                      <m:rPr/>
                                      <w:rPr>
                                        <w:rFonts w:ascii="Cambria Math" w:hAnsi="Cambria Math" w:cs="Times New Roman" w:eastAsiaTheme="minorEastAsia"/>
                                        <w:sz w:val="20"/>
                                        <w:szCs w:val="20"/>
                                        <w:vertAlign w:val="subscript"/>
                                        <w:lang w:val="de-DE"/>
                                      </w:rPr>
                                      <m:t>j</m:t>
                                    </m:r>
                                    <m:ctrlPr>
                                      <w:rPr>
                                        <w:rFonts w:ascii="Cambria Math" w:hAnsi="Cambria Math" w:cs="Times New Roman" w:eastAsiaTheme="minorEastAsia"/>
                                        <w:i/>
                                        <w:sz w:val="20"/>
                                        <w:szCs w:val="20"/>
                                        <w:vertAlign w:val="subscript"/>
                                        <w:lang w:val="de-DE"/>
                                      </w:rPr>
                                    </m:ctrlPr>
                                  </m:sub>
                                </m:sSub>
                                <m:ctrlPr>
                                  <w:rPr>
                                    <w:rFonts w:ascii="Cambria Math" w:hAnsi="Cambria Math" w:cs="Times New Roman" w:eastAsiaTheme="minorEastAsia"/>
                                    <w:i/>
                                    <w:sz w:val="20"/>
                                    <w:szCs w:val="20"/>
                                    <w:vertAlign w:val="subscript"/>
                                    <w:lang w:val="de-DE"/>
                                  </w:rPr>
                                </m:ctrlPr>
                              </m:e>
                            </m:d>
                            <m:r>
                              <m:rPr>
                                <m:sty m:val="p"/>
                              </m:rPr>
                              <w:rPr>
                                <w:rFonts w:ascii="Cambria Math" w:hAnsi="Cambria Math" w:cs="Times New Roman" w:eastAsiaTheme="minorEastAsia"/>
                                <w:sz w:val="20"/>
                                <w:szCs w:val="20"/>
                                <w:vertAlign w:val="subscript"/>
                                <w:lang w:val="de-DE"/>
                              </w:rPr>
                              <m:t>tan</m:t>
                            </m:r>
                            <m:sSub>
                              <m:sSubPr>
                                <m:ctrlPr>
                                  <w:rPr>
                                    <w:rFonts w:ascii="Cambria Math" w:hAnsi="Cambria Math" w:cs="Times New Roman" w:eastAsiaTheme="minorEastAsia"/>
                                    <w:i/>
                                    <w:sz w:val="20"/>
                                    <w:szCs w:val="20"/>
                                    <w:vertAlign w:val="subscript"/>
                                    <w:lang w:val="de-DE"/>
                                  </w:rPr>
                                </m:ctrlPr>
                              </m:sSubPr>
                              <m:e>
                                <m:r>
                                  <m:rPr/>
                                  <w:rPr>
                                    <w:rFonts w:ascii="Cambria Math" w:hAnsi="Cambria Math" w:cs="Times New Roman" w:eastAsiaTheme="minorEastAsia"/>
                                    <w:sz w:val="20"/>
                                    <w:szCs w:val="20"/>
                                    <w:vertAlign w:val="subscript"/>
                                    <w:lang w:val="de-DE"/>
                                  </w:rPr>
                                  <m:t>φ</m:t>
                                </m:r>
                                <m:ctrlPr>
                                  <w:rPr>
                                    <w:rFonts w:ascii="Cambria Math" w:hAnsi="Cambria Math" w:cs="Times New Roman" w:eastAsiaTheme="minorEastAsia"/>
                                    <w:i/>
                                    <w:sz w:val="20"/>
                                    <w:szCs w:val="20"/>
                                    <w:vertAlign w:val="subscript"/>
                                    <w:lang w:val="de-DE"/>
                                  </w:rPr>
                                </m:ctrlPr>
                              </m:e>
                              <m:sub>
                                <m:r>
                                  <m:rPr/>
                                  <w:rPr>
                                    <w:rFonts w:ascii="Cambria Math" w:hAnsi="Cambria Math" w:cs="Times New Roman" w:eastAsiaTheme="minorEastAsia"/>
                                    <w:sz w:val="20"/>
                                    <w:szCs w:val="20"/>
                                    <w:vertAlign w:val="subscript"/>
                                    <w:lang w:val="de-DE"/>
                                  </w:rPr>
                                  <m:t>j</m:t>
                                </m:r>
                                <m:ctrlPr>
                                  <w:rPr>
                                    <w:rFonts w:ascii="Cambria Math" w:hAnsi="Cambria Math" w:cs="Times New Roman" w:eastAsiaTheme="minorEastAsia"/>
                                    <w:i/>
                                    <w:sz w:val="20"/>
                                    <w:szCs w:val="20"/>
                                    <w:vertAlign w:val="subscript"/>
                                    <w:lang w:val="de-DE"/>
                                  </w:rPr>
                                </m:ctrlPr>
                              </m:sub>
                            </m:sSub>
                            <m:ctrlPr>
                              <w:rPr>
                                <w:rFonts w:ascii="Cambria Math" w:hAnsi="Cambria Math" w:cs="Times New Roman" w:eastAsiaTheme="minorEastAsia"/>
                                <w:i/>
                                <w:sz w:val="20"/>
                                <w:szCs w:val="20"/>
                                <w:vertAlign w:val="subscript"/>
                                <w:lang w:val="de-DE"/>
                              </w:rPr>
                            </m:ctrlPr>
                          </m:e>
                        </m:d>
                        <m:r>
                          <m:rPr/>
                          <w:rPr>
                            <w:rFonts w:ascii="Cambria Math" w:hAnsi="Cambria Math" w:cs="Times New Roman" w:eastAsiaTheme="minorEastAsia"/>
                            <w:sz w:val="20"/>
                            <w:szCs w:val="20"/>
                            <w:vertAlign w:val="subscript"/>
                            <w:lang w:val="de-DE"/>
                          </w:rPr>
                          <m:t>+</m:t>
                        </m:r>
                        <m:nary>
                          <m:naryPr>
                            <m:chr m:val="∑"/>
                            <m:limLoc m:val="undOvr"/>
                            <m:subHide m:val="1"/>
                            <m:supHide m:val="1"/>
                            <m:ctrlPr>
                              <w:rPr>
                                <w:rFonts w:ascii="Cambria Math" w:hAnsi="Cambria Math" w:cs="Times New Roman" w:eastAsiaTheme="minorEastAsia"/>
                                <w:i/>
                                <w:sz w:val="20"/>
                                <w:szCs w:val="20"/>
                                <w:vertAlign w:val="subscript"/>
                                <w:lang w:val="de-DE"/>
                              </w:rPr>
                            </m:ctrlPr>
                          </m:naryPr>
                          <m:sub>
                            <m:ctrlPr>
                              <w:rPr>
                                <w:rFonts w:ascii="Cambria Math" w:hAnsi="Cambria Math" w:cs="Times New Roman" w:eastAsiaTheme="minorEastAsia"/>
                                <w:i/>
                                <w:sz w:val="20"/>
                                <w:szCs w:val="20"/>
                                <w:vertAlign w:val="subscript"/>
                                <w:lang w:val="de-DE"/>
                              </w:rPr>
                            </m:ctrlPr>
                          </m:sub>
                          <m:sup>
                            <m:ctrlPr>
                              <w:rPr>
                                <w:rFonts w:ascii="Cambria Math" w:hAnsi="Cambria Math" w:cs="Times New Roman" w:eastAsiaTheme="minorEastAsia"/>
                                <w:i/>
                                <w:sz w:val="20"/>
                                <w:szCs w:val="20"/>
                                <w:vertAlign w:val="subscript"/>
                                <w:lang w:val="de-DE"/>
                              </w:rPr>
                            </m:ctrlPr>
                          </m:sup>
                          <m:e>
                            <m:sSubSup>
                              <m:sSubSupPr>
                                <m:ctrlPr>
                                  <w:rPr>
                                    <w:rFonts w:ascii="Cambria Math" w:hAnsi="Cambria Math" w:cs="Times New Roman" w:eastAsiaTheme="minorEastAsia"/>
                                    <w:i/>
                                    <w:sz w:val="20"/>
                                    <w:szCs w:val="20"/>
                                    <w:vertAlign w:val="subscript"/>
                                    <w:lang w:val="de-DE"/>
                                  </w:rPr>
                                </m:ctrlPr>
                              </m:sSubSupPr>
                              <m:e>
                                <m:r>
                                  <m:rPr/>
                                  <w:rPr>
                                    <w:rFonts w:ascii="Cambria Math" w:hAnsi="Cambria Math" w:cs="Times New Roman" w:eastAsiaTheme="minorEastAsia"/>
                                    <w:sz w:val="20"/>
                                    <w:szCs w:val="20"/>
                                    <w:vertAlign w:val="subscript"/>
                                    <w:lang w:val="de-DE"/>
                                  </w:rPr>
                                  <m:t>R</m:t>
                                </m:r>
                                <m:ctrlPr>
                                  <w:rPr>
                                    <w:rFonts w:ascii="Cambria Math" w:hAnsi="Cambria Math" w:cs="Times New Roman" w:eastAsiaTheme="minorEastAsia"/>
                                    <w:i/>
                                    <w:sz w:val="20"/>
                                    <w:szCs w:val="20"/>
                                    <w:vertAlign w:val="subscript"/>
                                    <w:lang w:val="de-DE"/>
                                  </w:rPr>
                                </m:ctrlPr>
                              </m:e>
                              <m:sub>
                                <m:r>
                                  <m:rPr/>
                                  <w:rPr>
                                    <w:rFonts w:ascii="Cambria Math" w:hAnsi="Cambria Math" w:cs="Times New Roman" w:eastAsiaTheme="minorEastAsia"/>
                                    <w:sz w:val="20"/>
                                    <w:szCs w:val="20"/>
                                    <w:vertAlign w:val="subscript"/>
                                    <w:lang w:val="de-DE"/>
                                  </w:rPr>
                                  <m:t>k,k</m:t>
                                </m:r>
                                <m:ctrlPr>
                                  <w:rPr>
                                    <w:rFonts w:ascii="Cambria Math" w:hAnsi="Cambria Math" w:cs="Times New Roman" w:eastAsiaTheme="minorEastAsia"/>
                                    <w:i/>
                                    <w:sz w:val="20"/>
                                    <w:szCs w:val="20"/>
                                    <w:vertAlign w:val="subscript"/>
                                    <w:lang w:val="de-DE"/>
                                  </w:rPr>
                                </m:ctrlPr>
                              </m:sub>
                              <m:sup>
                                <m:r>
                                  <m:rPr/>
                                  <w:rPr>
                                    <w:rFonts w:ascii="Cambria Math" w:hAnsi="Cambria Math" w:cs="Times New Roman" w:eastAsiaTheme="minorEastAsia"/>
                                    <w:sz w:val="20"/>
                                    <w:szCs w:val="20"/>
                                    <w:vertAlign w:val="subscript"/>
                                    <w:lang w:val="de-DE"/>
                                  </w:rPr>
                                  <m:t>'</m:t>
                                </m:r>
                                <m:ctrlPr>
                                  <w:rPr>
                                    <w:rFonts w:ascii="Cambria Math" w:hAnsi="Cambria Math" w:cs="Times New Roman" w:eastAsiaTheme="minorEastAsia"/>
                                    <w:i/>
                                    <w:sz w:val="20"/>
                                    <w:szCs w:val="20"/>
                                    <w:vertAlign w:val="subscript"/>
                                    <w:lang w:val="de-DE"/>
                                  </w:rPr>
                                </m:ctrlPr>
                              </m:sup>
                            </m:sSubSup>
                            <m:d>
                              <m:dPr>
                                <m:begChr m:val="["/>
                                <m:endChr m:val="]"/>
                                <m:ctrlPr>
                                  <w:rPr>
                                    <w:rFonts w:ascii="Cambria Math" w:hAnsi="Cambria Math" w:cs="Times New Roman" w:eastAsiaTheme="minorEastAsia"/>
                                    <w:i/>
                                    <w:sz w:val="20"/>
                                    <w:szCs w:val="20"/>
                                    <w:vertAlign w:val="subscript"/>
                                    <w:lang w:val="de-DE"/>
                                  </w:rPr>
                                </m:ctrlPr>
                              </m:dPr>
                              <m:e>
                                <m:r>
                                  <m:rPr>
                                    <m:sty m:val="p"/>
                                  </m:rPr>
                                  <w:rPr>
                                    <w:rFonts w:ascii="Cambria Math" w:hAnsi="Cambria Math" w:cs="Times New Roman" w:eastAsiaTheme="minorEastAsia"/>
                                    <w:sz w:val="20"/>
                                    <w:szCs w:val="20"/>
                                    <w:vertAlign w:val="subscript"/>
                                    <w:lang w:val="de-DE"/>
                                  </w:rPr>
                                  <m:t>cos</m:t>
                                </m:r>
                                <m:d>
                                  <m:dPr>
                                    <m:ctrlPr>
                                      <w:rPr>
                                        <w:rFonts w:ascii="Cambria Math" w:hAnsi="Cambria Math" w:cs="Times New Roman" w:eastAsiaTheme="minorEastAsia"/>
                                        <w:i/>
                                        <w:sz w:val="20"/>
                                        <w:szCs w:val="20"/>
                                        <w:vertAlign w:val="subscript"/>
                                        <w:lang w:val="de-DE"/>
                                      </w:rPr>
                                    </m:ctrlPr>
                                  </m:dPr>
                                  <m:e>
                                    <m:sSub>
                                      <m:sSubPr>
                                        <m:ctrlPr>
                                          <w:rPr>
                                            <w:rFonts w:ascii="Cambria Math" w:hAnsi="Cambria Math" w:cs="Times New Roman" w:eastAsiaTheme="minorEastAsia"/>
                                            <w:i/>
                                            <w:sz w:val="20"/>
                                            <w:szCs w:val="20"/>
                                            <w:vertAlign w:val="subscript"/>
                                            <w:lang w:val="de-DE"/>
                                          </w:rPr>
                                        </m:ctrlPr>
                                      </m:sSubPr>
                                      <m:e>
                                        <m:r>
                                          <m:rPr/>
                                          <w:rPr>
                                            <w:rFonts w:ascii="Cambria Math" w:hAnsi="Cambria Math" w:cs="Times New Roman" w:eastAsiaTheme="minorEastAsia"/>
                                            <w:sz w:val="20"/>
                                            <w:szCs w:val="20"/>
                                            <w:vertAlign w:val="subscript"/>
                                            <w:lang w:val="de-DE"/>
                                          </w:rPr>
                                          <m:t>θ</m:t>
                                        </m:r>
                                        <m:ctrlPr>
                                          <w:rPr>
                                            <w:rFonts w:ascii="Cambria Math" w:hAnsi="Cambria Math" w:cs="Times New Roman" w:eastAsiaTheme="minorEastAsia"/>
                                            <w:i/>
                                            <w:sz w:val="20"/>
                                            <w:szCs w:val="20"/>
                                            <w:vertAlign w:val="subscript"/>
                                            <w:lang w:val="de-DE"/>
                                          </w:rPr>
                                        </m:ctrlPr>
                                      </m:e>
                                      <m:sub>
                                        <m:r>
                                          <m:rPr/>
                                          <w:rPr>
                                            <w:rFonts w:ascii="Cambria Math" w:hAnsi="Cambria Math" w:cs="Times New Roman" w:eastAsiaTheme="minorEastAsia"/>
                                            <w:sz w:val="20"/>
                                            <w:szCs w:val="20"/>
                                            <w:vertAlign w:val="subscript"/>
                                            <w:lang w:val="de-DE"/>
                                          </w:rPr>
                                          <m:t>j</m:t>
                                        </m:r>
                                        <m:ctrlPr>
                                          <w:rPr>
                                            <w:rFonts w:ascii="Cambria Math" w:hAnsi="Cambria Math" w:cs="Times New Roman" w:eastAsiaTheme="minorEastAsia"/>
                                            <w:i/>
                                            <w:sz w:val="20"/>
                                            <w:szCs w:val="20"/>
                                            <w:vertAlign w:val="subscript"/>
                                            <w:lang w:val="de-DE"/>
                                          </w:rPr>
                                        </m:ctrlPr>
                                      </m:sub>
                                    </m:sSub>
                                    <m:r>
                                      <m:rPr/>
                                      <w:rPr>
                                        <w:rFonts w:ascii="Cambria Math" w:hAnsi="Cambria Math" w:cs="Times New Roman" w:eastAsiaTheme="minorEastAsia"/>
                                        <w:sz w:val="20"/>
                                        <w:szCs w:val="20"/>
                                        <w:vertAlign w:val="subscript"/>
                                        <w:lang w:val="de-DE"/>
                                      </w:rPr>
                                      <m:t>+</m:t>
                                    </m:r>
                                    <m:sSub>
                                      <w:bookmarkStart w:id="60" w:name="OLE_LINK18"/>
                                      <m:sSubPr>
                                        <m:ctrlPr>
                                          <w:rPr>
                                            <w:rFonts w:ascii="Cambria Math" w:hAnsi="Cambria Math" w:cs="Times New Roman" w:eastAsiaTheme="minorEastAsia"/>
                                            <w:i/>
                                            <w:sz w:val="20"/>
                                            <w:szCs w:val="20"/>
                                            <w:vertAlign w:val="subscript"/>
                                            <w:lang w:val="de-DE"/>
                                          </w:rPr>
                                        </m:ctrlPr>
                                      </m:sSubPr>
                                      <m:e>
                                        <m:r>
                                          <m:rPr/>
                                          <w:rPr>
                                            <w:rFonts w:ascii="Cambria Math" w:hAnsi="Cambria Math" w:cs="Times New Roman" w:eastAsiaTheme="minorEastAsia"/>
                                            <w:sz w:val="20"/>
                                            <w:szCs w:val="20"/>
                                            <w:vertAlign w:val="subscript"/>
                                            <w:lang w:val="de-DE"/>
                                          </w:rPr>
                                          <m:t>α</m:t>
                                        </m:r>
                                        <m:ctrlPr>
                                          <w:rPr>
                                            <w:rFonts w:ascii="Cambria Math" w:hAnsi="Cambria Math" w:cs="Times New Roman" w:eastAsiaTheme="minorEastAsia"/>
                                            <w:i/>
                                            <w:sz w:val="20"/>
                                            <w:szCs w:val="20"/>
                                            <w:vertAlign w:val="subscript"/>
                                            <w:lang w:val="de-DE"/>
                                          </w:rPr>
                                        </m:ctrlPr>
                                      </m:e>
                                      <m:sub>
                                        <m:r>
                                          <m:rPr/>
                                          <w:rPr>
                                            <w:rFonts w:ascii="Cambria Math" w:hAnsi="Cambria Math" w:cs="Times New Roman" w:eastAsiaTheme="minorEastAsia"/>
                                            <w:sz w:val="20"/>
                                            <w:szCs w:val="20"/>
                                            <w:vertAlign w:val="subscript"/>
                                            <w:lang w:val="de-DE"/>
                                          </w:rPr>
                                          <m:t>k</m:t>
                                        </m:r>
                                        <w:bookmarkEnd w:id="60"/>
                                        <m:ctrlPr>
                                          <w:rPr>
                                            <w:rFonts w:ascii="Cambria Math" w:hAnsi="Cambria Math" w:cs="Times New Roman" w:eastAsiaTheme="minorEastAsia"/>
                                            <w:i/>
                                            <w:sz w:val="20"/>
                                            <w:szCs w:val="20"/>
                                            <w:vertAlign w:val="subscript"/>
                                            <w:lang w:val="de-DE"/>
                                          </w:rPr>
                                        </m:ctrlPr>
                                      </m:sub>
                                    </m:sSub>
                                    <m:ctrlPr>
                                      <w:rPr>
                                        <w:rFonts w:ascii="Cambria Math" w:hAnsi="Cambria Math" w:cs="Times New Roman" w:eastAsiaTheme="minorEastAsia"/>
                                        <w:i/>
                                        <w:sz w:val="20"/>
                                        <w:szCs w:val="20"/>
                                        <w:vertAlign w:val="subscript"/>
                                        <w:lang w:val="de-DE"/>
                                      </w:rPr>
                                    </m:ctrlPr>
                                  </m:e>
                                </m:d>
                                <m:r>
                                  <m:rPr/>
                                  <w:rPr>
                                    <w:rFonts w:ascii="Cambria Math" w:hAnsi="Cambria Math" w:cs="Times New Roman" w:eastAsiaTheme="minorEastAsia"/>
                                    <w:sz w:val="20"/>
                                    <w:szCs w:val="20"/>
                                    <w:vertAlign w:val="subscript"/>
                                    <w:lang w:val="de-DE"/>
                                  </w:rPr>
                                  <m:t>+</m:t>
                                </m:r>
                                <m:sSub>
                                  <m:sSubPr>
                                    <m:ctrlPr>
                                      <w:rPr>
                                        <w:rFonts w:ascii="Cambria Math" w:hAnsi="Cambria Math" w:cs="Times New Roman" w:eastAsiaTheme="minorEastAsia"/>
                                        <w:i/>
                                        <w:sz w:val="20"/>
                                        <w:szCs w:val="20"/>
                                        <w:vertAlign w:val="subscript"/>
                                        <w:lang w:val="de-DE"/>
                                      </w:rPr>
                                    </m:ctrlPr>
                                  </m:sSubPr>
                                  <m:e>
                                    <m:r>
                                      <m:rPr/>
                                      <w:rPr>
                                        <w:rFonts w:ascii="Cambria Math" w:hAnsi="Cambria Math" w:cs="Times New Roman" w:eastAsiaTheme="minorEastAsia"/>
                                        <w:sz w:val="20"/>
                                        <w:szCs w:val="20"/>
                                        <w:vertAlign w:val="subscript"/>
                                        <w:lang w:val="de-DE"/>
                                      </w:rPr>
                                      <m:t>δ</m:t>
                                    </m:r>
                                    <m:ctrlPr>
                                      <w:rPr>
                                        <w:rFonts w:ascii="Cambria Math" w:hAnsi="Cambria Math" w:cs="Times New Roman" w:eastAsiaTheme="minorEastAsia"/>
                                        <w:i/>
                                        <w:sz w:val="20"/>
                                        <w:szCs w:val="20"/>
                                        <w:vertAlign w:val="subscript"/>
                                        <w:lang w:val="de-DE"/>
                                      </w:rPr>
                                    </m:ctrlPr>
                                  </m:e>
                                  <m:sub>
                                    <m:r>
                                      <m:rPr/>
                                      <w:rPr>
                                        <w:rFonts w:ascii="Cambria Math" w:hAnsi="Cambria Math" w:cs="Times New Roman" w:eastAsiaTheme="minorEastAsia"/>
                                        <w:sz w:val="20"/>
                                        <w:szCs w:val="20"/>
                                        <w:vertAlign w:val="subscript"/>
                                        <w:lang w:val="de-DE"/>
                                      </w:rPr>
                                      <m:t>v</m:t>
                                    </m:r>
                                    <m:ctrlPr>
                                      <w:rPr>
                                        <w:rFonts w:ascii="Cambria Math" w:hAnsi="Cambria Math" w:cs="Times New Roman" w:eastAsiaTheme="minorEastAsia"/>
                                        <w:i/>
                                        <w:sz w:val="20"/>
                                        <w:szCs w:val="20"/>
                                        <w:vertAlign w:val="subscript"/>
                                        <w:lang w:val="de-DE"/>
                                      </w:rPr>
                                    </m:ctrlPr>
                                  </m:sub>
                                </m:sSub>
                                <m:ctrlPr>
                                  <w:rPr>
                                    <w:rFonts w:ascii="Cambria Math" w:hAnsi="Cambria Math" w:cs="Times New Roman" w:eastAsiaTheme="minorEastAsia"/>
                                    <w:i/>
                                    <w:sz w:val="20"/>
                                    <w:szCs w:val="20"/>
                                    <w:vertAlign w:val="subscript"/>
                                    <w:lang w:val="de-DE"/>
                                  </w:rPr>
                                </m:ctrlPr>
                              </m:e>
                            </m:d>
                            <m:r>
                              <m:rPr/>
                              <w:rPr>
                                <w:rFonts w:ascii="Cambria Math" w:hAnsi="Cambria Math" w:cs="Times New Roman" w:eastAsiaTheme="minorEastAsia"/>
                                <w:sz w:val="20"/>
                                <w:szCs w:val="20"/>
                                <w:vertAlign w:val="subscript"/>
                                <w:lang w:val="de-DE"/>
                              </w:rPr>
                              <m:t>/</m:t>
                            </m:r>
                            <m:sSub>
                              <m:sSubPr>
                                <m:ctrlPr>
                                  <w:rPr>
                                    <w:rFonts w:ascii="Cambria Math" w:hAnsi="Cambria Math" w:cs="Times New Roman" w:eastAsiaTheme="minorEastAsia"/>
                                    <w:i/>
                                    <w:sz w:val="20"/>
                                    <w:szCs w:val="20"/>
                                    <w:vertAlign w:val="subscript"/>
                                    <w:lang w:val="de-DE"/>
                                  </w:rPr>
                                </m:ctrlPr>
                              </m:sSubPr>
                              <m:e>
                                <m:r>
                                  <m:rPr/>
                                  <w:rPr>
                                    <w:rFonts w:ascii="Cambria Math" w:hAnsi="Cambria Math" w:cs="Times New Roman" w:eastAsiaTheme="minorEastAsia"/>
                                    <w:sz w:val="20"/>
                                    <w:szCs w:val="20"/>
                                    <w:vertAlign w:val="subscript"/>
                                    <w:lang w:val="de-DE"/>
                                  </w:rPr>
                                  <m:t>S</m:t>
                                </m:r>
                                <m:ctrlPr>
                                  <w:rPr>
                                    <w:rFonts w:ascii="Cambria Math" w:hAnsi="Cambria Math" w:cs="Times New Roman" w:eastAsiaTheme="minorEastAsia"/>
                                    <w:i/>
                                    <w:sz w:val="20"/>
                                    <w:szCs w:val="20"/>
                                    <w:vertAlign w:val="subscript"/>
                                    <w:lang w:val="de-DE"/>
                                  </w:rPr>
                                </m:ctrlPr>
                              </m:e>
                              <m:sub>
                                <m:r>
                                  <m:rPr/>
                                  <w:rPr>
                                    <w:rFonts w:ascii="Cambria Math" w:hAnsi="Cambria Math" w:cs="Times New Roman" w:eastAsiaTheme="minorEastAsia"/>
                                    <w:sz w:val="20"/>
                                    <w:szCs w:val="20"/>
                                    <w:vertAlign w:val="subscript"/>
                                    <w:lang w:val="de-DE"/>
                                  </w:rPr>
                                  <m:t>x,k</m:t>
                                </m:r>
                                <m:ctrlPr>
                                  <w:rPr>
                                    <w:rFonts w:ascii="Cambria Math" w:hAnsi="Cambria Math" w:cs="Times New Roman" w:eastAsiaTheme="minorEastAsia"/>
                                    <w:i/>
                                    <w:sz w:val="20"/>
                                    <w:szCs w:val="20"/>
                                    <w:vertAlign w:val="subscript"/>
                                    <w:lang w:val="de-DE"/>
                                  </w:rPr>
                                </m:ctrlPr>
                              </m:sub>
                            </m:sSub>
                            <m:ctrlPr>
                              <w:rPr>
                                <w:rFonts w:ascii="Cambria Math" w:hAnsi="Cambria Math" w:cs="Times New Roman" w:eastAsiaTheme="minorEastAsia"/>
                                <w:i/>
                                <w:sz w:val="20"/>
                                <w:szCs w:val="20"/>
                                <w:vertAlign w:val="subscript"/>
                                <w:lang w:val="de-DE"/>
                              </w:rPr>
                            </m:ctrlPr>
                          </m:e>
                        </m:nary>
                        <m:ctrlPr>
                          <w:rPr>
                            <w:rFonts w:ascii="Cambria Math" w:hAnsi="Cambria Math" w:cs="Times New Roman" w:eastAsiaTheme="minorEastAsia"/>
                            <w:i/>
                            <w:sz w:val="20"/>
                            <w:szCs w:val="20"/>
                            <w:vertAlign w:val="subscript"/>
                            <w:lang w:val="de-DE"/>
                          </w:rPr>
                        </m:ctrlPr>
                      </m:e>
                    </m:nary>
                    <m:ctrlPr>
                      <w:rPr>
                        <w:rFonts w:ascii="Cambria Math" w:hAnsi="Cambria Math" w:cs="Times New Roman" w:eastAsiaTheme="minorEastAsia"/>
                        <w:i/>
                        <w:sz w:val="20"/>
                        <w:szCs w:val="20"/>
                        <w:vertAlign w:val="subscript"/>
                        <w:lang w:val="de-DE"/>
                      </w:rPr>
                    </m:ctrlPr>
                  </m:num>
                  <m:den>
                    <m:nary>
                      <m:naryPr>
                        <m:chr m:val="∑"/>
                        <m:limLoc m:val="undOvr"/>
                        <m:subHide m:val="1"/>
                        <m:supHide m:val="1"/>
                        <m:ctrlPr>
                          <w:rPr>
                            <w:rFonts w:ascii="Cambria Math" w:hAnsi="Cambria Math" w:cs="Times New Roman" w:eastAsiaTheme="minorEastAsia"/>
                            <w:i/>
                            <w:sz w:val="20"/>
                            <w:szCs w:val="20"/>
                            <w:vertAlign w:val="subscript"/>
                            <w:lang w:val="de-DE"/>
                          </w:rPr>
                        </m:ctrlPr>
                      </m:naryPr>
                      <m:sub>
                        <m:ctrlPr>
                          <w:rPr>
                            <w:rFonts w:ascii="Cambria Math" w:hAnsi="Cambria Math" w:cs="Times New Roman" w:eastAsiaTheme="minorEastAsia"/>
                            <w:i/>
                            <w:sz w:val="20"/>
                            <w:szCs w:val="20"/>
                            <w:vertAlign w:val="subscript"/>
                            <w:lang w:val="de-DE"/>
                          </w:rPr>
                        </m:ctrlPr>
                      </m:sub>
                      <m:sup>
                        <m:ctrlPr>
                          <w:rPr>
                            <w:rFonts w:ascii="Cambria Math" w:hAnsi="Cambria Math" w:cs="Times New Roman" w:eastAsiaTheme="minorEastAsia"/>
                            <w:i/>
                            <w:sz w:val="20"/>
                            <w:szCs w:val="20"/>
                            <w:vertAlign w:val="subscript"/>
                            <w:lang w:val="de-DE"/>
                          </w:rPr>
                        </m:ctrlPr>
                      </m:sup>
                      <m:e>
                        <m:d>
                          <m:dPr>
                            <m:ctrlPr>
                              <w:rPr>
                                <w:rFonts w:ascii="Cambria Math" w:hAnsi="Cambria Math" w:cs="Times New Roman" w:eastAsiaTheme="minorEastAsia"/>
                                <w:i/>
                                <w:sz w:val="20"/>
                                <w:szCs w:val="20"/>
                                <w:vertAlign w:val="subscript"/>
                                <w:lang w:val="de-DE"/>
                              </w:rPr>
                            </m:ctrlPr>
                          </m:dPr>
                          <m:e>
                            <m:sSub>
                              <m:sSubPr>
                                <m:ctrlPr>
                                  <w:rPr>
                                    <w:rFonts w:ascii="Cambria Math" w:hAnsi="Cambria Math" w:cs="Times New Roman" w:eastAsiaTheme="minorEastAsia"/>
                                    <w:i/>
                                    <w:sz w:val="20"/>
                                    <w:szCs w:val="20"/>
                                    <w:vertAlign w:val="subscript"/>
                                    <w:lang w:val="de-DE"/>
                                  </w:rPr>
                                </m:ctrlPr>
                              </m:sSubPr>
                              <m:e>
                                <m:r>
                                  <m:rPr/>
                                  <w:rPr>
                                    <w:rFonts w:ascii="Cambria Math" w:hAnsi="Cambria Math" w:cs="Times New Roman" w:eastAsiaTheme="minorEastAsia"/>
                                    <w:sz w:val="20"/>
                                    <w:szCs w:val="20"/>
                                    <w:vertAlign w:val="subscript"/>
                                    <w:lang w:val="de-DE"/>
                                  </w:rPr>
                                  <m:t>q</m:t>
                                </m:r>
                                <m:ctrlPr>
                                  <w:rPr>
                                    <w:rFonts w:ascii="Cambria Math" w:hAnsi="Cambria Math" w:cs="Times New Roman" w:eastAsiaTheme="minorEastAsia"/>
                                    <w:i/>
                                    <w:sz w:val="20"/>
                                    <w:szCs w:val="20"/>
                                    <w:vertAlign w:val="subscript"/>
                                    <w:lang w:val="de-DE"/>
                                  </w:rPr>
                                </m:ctrlPr>
                              </m:e>
                              <m:sub>
                                <m:r>
                                  <m:rPr/>
                                  <w:rPr>
                                    <w:rFonts w:ascii="Cambria Math" w:hAnsi="Cambria Math" w:cs="Times New Roman" w:eastAsiaTheme="minorEastAsia"/>
                                    <w:sz w:val="20"/>
                                    <w:szCs w:val="20"/>
                                    <w:vertAlign w:val="subscript"/>
                                    <w:lang w:val="de-DE"/>
                                  </w:rPr>
                                  <m:t>j</m:t>
                                </m:r>
                                <m:ctrlPr>
                                  <w:rPr>
                                    <w:rFonts w:ascii="Cambria Math" w:hAnsi="Cambria Math" w:cs="Times New Roman" w:eastAsiaTheme="minorEastAsia"/>
                                    <w:i/>
                                    <w:sz w:val="20"/>
                                    <w:szCs w:val="20"/>
                                    <w:vertAlign w:val="subscript"/>
                                    <w:lang w:val="de-DE"/>
                                  </w:rPr>
                                </m:ctrlPr>
                              </m:sub>
                            </m:sSub>
                            <m:sSub>
                              <m:sSubPr>
                                <m:ctrlPr>
                                  <w:rPr>
                                    <w:rFonts w:ascii="Cambria Math" w:hAnsi="Cambria Math" w:cs="Times New Roman" w:eastAsiaTheme="minorEastAsia"/>
                                    <w:i/>
                                    <w:sz w:val="20"/>
                                    <w:szCs w:val="20"/>
                                    <w:vertAlign w:val="subscript"/>
                                    <w:lang w:val="de-DE"/>
                                  </w:rPr>
                                </m:ctrlPr>
                              </m:sSubPr>
                              <m:e>
                                <m:r>
                                  <m:rPr/>
                                  <w:rPr>
                                    <w:rFonts w:ascii="Cambria Math" w:hAnsi="Cambria Math" w:cs="Times New Roman" w:eastAsiaTheme="minorEastAsia"/>
                                    <w:sz w:val="20"/>
                                    <w:szCs w:val="20"/>
                                    <w:vertAlign w:val="subscript"/>
                                    <w:lang w:val="de-DE"/>
                                  </w:rPr>
                                  <m:t>b</m:t>
                                </m:r>
                                <m:ctrlPr>
                                  <w:rPr>
                                    <w:rFonts w:ascii="Cambria Math" w:hAnsi="Cambria Math" w:cs="Times New Roman" w:eastAsiaTheme="minorEastAsia"/>
                                    <w:i/>
                                    <w:sz w:val="20"/>
                                    <w:szCs w:val="20"/>
                                    <w:vertAlign w:val="subscript"/>
                                    <w:lang w:val="de-DE"/>
                                  </w:rPr>
                                </m:ctrlPr>
                              </m:e>
                              <m:sub>
                                <m:r>
                                  <m:rPr/>
                                  <w:rPr>
                                    <w:rFonts w:ascii="Cambria Math" w:hAnsi="Cambria Math" w:cs="Times New Roman" w:eastAsiaTheme="minorEastAsia"/>
                                    <w:sz w:val="20"/>
                                    <w:szCs w:val="20"/>
                                    <w:vertAlign w:val="subscript"/>
                                    <w:lang w:val="de-DE"/>
                                  </w:rPr>
                                  <m:t>j</m:t>
                                </m:r>
                                <m:ctrlPr>
                                  <w:rPr>
                                    <w:rFonts w:ascii="Cambria Math" w:hAnsi="Cambria Math" w:cs="Times New Roman" w:eastAsiaTheme="minorEastAsia"/>
                                    <w:i/>
                                    <w:sz w:val="20"/>
                                    <w:szCs w:val="20"/>
                                    <w:vertAlign w:val="subscript"/>
                                    <w:lang w:val="de-DE"/>
                                  </w:rPr>
                                </m:ctrlPr>
                              </m:sub>
                            </m:sSub>
                            <m:r>
                              <m:rPr/>
                              <w:rPr>
                                <w:rFonts w:ascii="Cambria Math" w:hAnsi="Cambria Math" w:cs="Times New Roman" w:eastAsiaTheme="minorEastAsia"/>
                                <w:sz w:val="20"/>
                                <w:szCs w:val="20"/>
                                <w:vertAlign w:val="subscript"/>
                                <w:lang w:val="de-DE"/>
                              </w:rPr>
                              <m:t>+∆</m:t>
                            </m:r>
                            <m:sSub>
                              <m:sSubPr>
                                <m:ctrlPr>
                                  <w:rPr>
                                    <w:rFonts w:ascii="Cambria Math" w:hAnsi="Cambria Math" w:cs="Times New Roman" w:eastAsiaTheme="minorEastAsia"/>
                                    <w:i/>
                                    <w:sz w:val="20"/>
                                    <w:szCs w:val="20"/>
                                    <w:vertAlign w:val="subscript"/>
                                    <w:lang w:val="de-DE"/>
                                  </w:rPr>
                                </m:ctrlPr>
                              </m:sSubPr>
                              <m:e>
                                <m:r>
                                  <m:rPr/>
                                  <w:rPr>
                                    <w:rFonts w:ascii="Cambria Math" w:hAnsi="Cambria Math" w:cs="Times New Roman" w:eastAsiaTheme="minorEastAsia"/>
                                    <w:sz w:val="20"/>
                                    <w:szCs w:val="20"/>
                                    <w:vertAlign w:val="subscript"/>
                                    <w:lang w:val="de-DE"/>
                                  </w:rPr>
                                  <m:t>G</m:t>
                                </m:r>
                                <m:ctrlPr>
                                  <w:rPr>
                                    <w:rFonts w:ascii="Cambria Math" w:hAnsi="Cambria Math" w:cs="Times New Roman" w:eastAsiaTheme="minorEastAsia"/>
                                    <w:i/>
                                    <w:sz w:val="20"/>
                                    <w:szCs w:val="20"/>
                                    <w:vertAlign w:val="subscript"/>
                                    <w:lang w:val="de-DE"/>
                                  </w:rPr>
                                </m:ctrlPr>
                              </m:e>
                              <m:sub>
                                <m:r>
                                  <m:rPr/>
                                  <w:rPr>
                                    <w:rFonts w:ascii="Cambria Math" w:hAnsi="Cambria Math" w:cs="Times New Roman" w:eastAsiaTheme="minorEastAsia"/>
                                    <w:sz w:val="20"/>
                                    <w:szCs w:val="20"/>
                                    <w:vertAlign w:val="subscript"/>
                                    <w:lang w:val="de-DE"/>
                                  </w:rPr>
                                  <m:t>j</m:t>
                                </m:r>
                                <m:ctrlPr>
                                  <w:rPr>
                                    <w:rFonts w:ascii="Cambria Math" w:hAnsi="Cambria Math" w:cs="Times New Roman" w:eastAsiaTheme="minorEastAsia"/>
                                    <w:i/>
                                    <w:sz w:val="20"/>
                                    <w:szCs w:val="20"/>
                                    <w:vertAlign w:val="subscript"/>
                                    <w:lang w:val="de-DE"/>
                                  </w:rPr>
                                </m:ctrlPr>
                              </m:sub>
                            </m:sSub>
                            <m:ctrlPr>
                              <w:rPr>
                                <w:rFonts w:ascii="Cambria Math" w:hAnsi="Cambria Math" w:cs="Times New Roman" w:eastAsiaTheme="minorEastAsia"/>
                                <w:i/>
                                <w:sz w:val="20"/>
                                <w:szCs w:val="20"/>
                                <w:vertAlign w:val="subscript"/>
                                <w:lang w:val="de-DE"/>
                              </w:rPr>
                            </m:ctrlPr>
                          </m:e>
                        </m:d>
                        <m:ctrlPr>
                          <w:rPr>
                            <w:rFonts w:ascii="Cambria Math" w:hAnsi="Cambria Math" w:cs="Times New Roman" w:eastAsiaTheme="minorEastAsia"/>
                            <w:i/>
                            <w:sz w:val="20"/>
                            <w:szCs w:val="20"/>
                            <w:vertAlign w:val="subscript"/>
                            <w:lang w:val="de-DE"/>
                          </w:rPr>
                        </m:ctrlPr>
                      </m:e>
                    </m:nary>
                    <m:r>
                      <m:rPr>
                        <m:sty m:val="p"/>
                      </m:rPr>
                      <w:rPr>
                        <w:rFonts w:ascii="Cambria Math" w:hAnsi="Cambria Math" w:cs="Times New Roman" w:eastAsiaTheme="minorEastAsia"/>
                        <w:sz w:val="20"/>
                        <w:szCs w:val="20"/>
                        <w:vertAlign w:val="subscript"/>
                        <w:lang w:val="de-DE"/>
                      </w:rPr>
                      <m:t>sin</m:t>
                    </m:r>
                    <m:sSub>
                      <m:sSubPr>
                        <m:ctrlPr>
                          <w:rPr>
                            <w:rFonts w:ascii="Cambria Math" w:hAnsi="Cambria Math" w:cs="Times New Roman" w:eastAsiaTheme="minorEastAsia"/>
                            <w:i/>
                            <w:sz w:val="20"/>
                            <w:szCs w:val="20"/>
                            <w:vertAlign w:val="subscript"/>
                            <w:lang w:val="de-DE"/>
                          </w:rPr>
                        </m:ctrlPr>
                      </m:sSubPr>
                      <m:e>
                        <m:r>
                          <m:rPr/>
                          <w:rPr>
                            <w:rFonts w:ascii="Cambria Math" w:hAnsi="Cambria Math" w:cs="Times New Roman" w:eastAsiaTheme="minorEastAsia"/>
                            <w:sz w:val="20"/>
                            <w:szCs w:val="20"/>
                            <w:vertAlign w:val="subscript"/>
                            <w:lang w:val="de-DE"/>
                          </w:rPr>
                          <m:t>θ</m:t>
                        </m:r>
                        <m:ctrlPr>
                          <w:rPr>
                            <w:rFonts w:ascii="Cambria Math" w:hAnsi="Cambria Math" w:cs="Times New Roman" w:eastAsiaTheme="minorEastAsia"/>
                            <w:i/>
                            <w:sz w:val="20"/>
                            <w:szCs w:val="20"/>
                            <w:vertAlign w:val="subscript"/>
                            <w:lang w:val="de-DE"/>
                          </w:rPr>
                        </m:ctrlPr>
                      </m:e>
                      <m:sub>
                        <m:r>
                          <m:rPr/>
                          <w:rPr>
                            <w:rFonts w:ascii="Cambria Math" w:hAnsi="Cambria Math" w:cs="Times New Roman" w:eastAsiaTheme="minorEastAsia"/>
                            <w:sz w:val="20"/>
                            <w:szCs w:val="20"/>
                            <w:vertAlign w:val="subscript"/>
                            <w:lang w:val="de-DE"/>
                          </w:rPr>
                          <m:t>j</m:t>
                        </m:r>
                        <m:ctrlPr>
                          <w:rPr>
                            <w:rFonts w:ascii="Cambria Math" w:hAnsi="Cambria Math" w:cs="Times New Roman" w:eastAsiaTheme="minorEastAsia"/>
                            <w:i/>
                            <w:sz w:val="20"/>
                            <w:szCs w:val="20"/>
                            <w:vertAlign w:val="subscript"/>
                            <w:lang w:val="de-DE"/>
                          </w:rPr>
                        </m:ctrlPr>
                      </m:sub>
                    </m:sSub>
                    <m:ctrlPr>
                      <w:rPr>
                        <w:rFonts w:ascii="Cambria Math" w:hAnsi="Cambria Math" w:cs="Times New Roman" w:eastAsiaTheme="minorEastAsia"/>
                        <w:i/>
                        <w:sz w:val="20"/>
                        <w:szCs w:val="20"/>
                        <w:vertAlign w:val="subscript"/>
                        <w:lang w:val="de-DE"/>
                      </w:rPr>
                    </m:ctrlPr>
                  </m:den>
                </m:f>
              </m:oMath>
            </m:oMathPara>
          </w:p>
        </w:tc>
        <w:tc>
          <w:tcPr>
            <w:tcW w:w="902" w:type="pct"/>
            <w:vAlign w:val="center"/>
          </w:tcPr>
          <w:p w14:paraId="7B4F4D2E">
            <w:pPr>
              <w:jc w:val="center"/>
              <w:rPr>
                <w:rFonts w:cs="Times New Roman" w:eastAsiaTheme="minorEastAsia"/>
              </w:rPr>
            </w:pPr>
            <w:r>
              <w:rPr>
                <w:rFonts w:cs="Times New Roman" w:eastAsiaTheme="minorEastAsia"/>
              </w:rPr>
              <w:t>（5.2.1</w:t>
            </w:r>
            <w:r>
              <w:rPr>
                <w:rFonts w:hint="eastAsia" w:cs="Times New Roman" w:eastAsiaTheme="minorEastAsia"/>
              </w:rPr>
              <w:t>0</w:t>
            </w:r>
            <w:r>
              <w:rPr>
                <w:rFonts w:cs="Times New Roman" w:eastAsiaTheme="minorEastAsia"/>
              </w:rPr>
              <w:t>-2）</w:t>
            </w:r>
          </w:p>
        </w:tc>
      </w:tr>
    </w:tbl>
    <w:tbl>
      <w:tblPr>
        <w:tblStyle w:val="13"/>
        <w:tblW w:w="4989" w:type="pct"/>
        <w:tblInd w:w="0" w:type="dxa"/>
        <w:tblLayout w:type="autofit"/>
        <w:tblCellMar>
          <w:top w:w="0" w:type="dxa"/>
          <w:left w:w="108" w:type="dxa"/>
          <w:bottom w:w="0" w:type="dxa"/>
          <w:right w:w="108" w:type="dxa"/>
        </w:tblCellMar>
      </w:tblPr>
      <w:tblGrid>
        <w:gridCol w:w="697"/>
        <w:gridCol w:w="789"/>
        <w:gridCol w:w="749"/>
        <w:gridCol w:w="6591"/>
      </w:tblGrid>
      <w:tr w14:paraId="08F157A2">
        <w:tblPrEx>
          <w:tblCellMar>
            <w:top w:w="0" w:type="dxa"/>
            <w:left w:w="108" w:type="dxa"/>
            <w:bottom w:w="0" w:type="dxa"/>
            <w:right w:w="108" w:type="dxa"/>
          </w:tblCellMar>
        </w:tblPrEx>
        <w:trPr>
          <w:trHeight w:val="12283" w:hRule="exact"/>
        </w:trPr>
        <w:tc>
          <w:tcPr>
            <w:tcW w:w="395" w:type="pct"/>
            <w:tcMar>
              <w:left w:w="0" w:type="dxa"/>
              <w:right w:w="28" w:type="dxa"/>
            </w:tcMar>
          </w:tcPr>
          <w:p w14:paraId="596A0569">
            <w:pPr>
              <w:rPr>
                <w:rFonts w:cs="Times New Roman" w:eastAsiaTheme="minorEastAsia"/>
              </w:rPr>
            </w:pPr>
            <w:r>
              <w:rPr>
                <w:rFonts w:cs="Times New Roman" w:eastAsiaTheme="minorEastAsia"/>
              </w:rPr>
              <w:t>式中：</w:t>
            </w:r>
          </w:p>
        </w:tc>
        <w:tc>
          <w:tcPr>
            <w:tcW w:w="447" w:type="pct"/>
            <w:tcMar>
              <w:left w:w="0" w:type="dxa"/>
              <w:right w:w="28" w:type="dxa"/>
            </w:tcMar>
          </w:tcPr>
          <w:p w14:paraId="04935A28">
            <w:pPr>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s</m:t>
                    </m:r>
                    <m:ctrlPr>
                      <w:rPr>
                        <w:rFonts w:ascii="Cambria Math" w:hAnsi="Cambria Math" w:cs="Times New Roman" w:eastAsiaTheme="minorEastAsia"/>
                        <w:i/>
                        <w:vertAlign w:val="subscript"/>
                        <w:lang w:val="de-DE"/>
                      </w:rPr>
                    </m:ctrlPr>
                  </m:sub>
                </m:sSub>
              </m:oMath>
            </m:oMathPara>
          </w:p>
          <w:p w14:paraId="426DC017">
            <w:pPr>
              <w:rPr>
                <w:rFonts w:cs="Times New Roman" w:eastAsiaTheme="minorEastAsia"/>
                <w:vertAlign w:val="subscript"/>
                <w:lang w:val="de-DE"/>
              </w:rPr>
            </w:pPr>
          </w:p>
          <w:p w14:paraId="036EF85E">
            <w:pPr>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s,i</m:t>
                    </m:r>
                    <m:ctrlPr>
                      <w:rPr>
                        <w:rFonts w:ascii="Cambria Math" w:hAnsi="Cambria Math" w:cs="Times New Roman" w:eastAsiaTheme="minorEastAsia"/>
                        <w:i/>
                        <w:vertAlign w:val="subscript"/>
                        <w:lang w:val="de-DE"/>
                      </w:rPr>
                    </m:ctrlPr>
                  </m:sub>
                </m:sSub>
              </m:oMath>
            </m:oMathPara>
          </w:p>
          <w:p w14:paraId="3494B707">
            <w:pPr>
              <w:rPr>
                <w:rFonts w:cs="Times New Roman" w:eastAsiaTheme="minorEastAsia"/>
                <w:vertAlign w:val="subscript"/>
                <w:lang w:val="de-DE"/>
              </w:rPr>
            </w:pPr>
          </w:p>
          <w:p w14:paraId="5C4187BB">
            <w:pPr>
              <w:rPr>
                <w:rFonts w:cs="Times New Roman" w:eastAsiaTheme="minorEastAsia"/>
                <w:vertAlign w:val="subscript"/>
                <w:lang w:val="de-DE"/>
              </w:rPr>
            </w:pPr>
          </w:p>
          <w:p w14:paraId="1A518178">
            <w:pPr>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c</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j</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φ</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j</m:t>
                    </m:r>
                    <m:ctrlPr>
                      <w:rPr>
                        <w:rFonts w:ascii="Cambria Math" w:hAnsi="Cambria Math" w:cs="Times New Roman" w:eastAsiaTheme="minorEastAsia"/>
                        <w:i/>
                        <w:vertAlign w:val="subscript"/>
                        <w:lang w:val="de-DE"/>
                      </w:rPr>
                    </m:ctrlPr>
                  </m:sub>
                </m:sSub>
              </m:oMath>
            </m:oMathPara>
          </w:p>
          <w:p w14:paraId="2E828CAB">
            <w:pPr>
              <w:rPr>
                <w:rFonts w:cs="Times New Roman" w:eastAsiaTheme="minorEastAsia"/>
                <w:sz w:val="36"/>
                <w:szCs w:val="36"/>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b</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j</m:t>
                    </m:r>
                    <m:ctrlPr>
                      <w:rPr>
                        <w:rFonts w:ascii="Cambria Math" w:hAnsi="Cambria Math" w:cs="Times New Roman" w:eastAsiaTheme="minorEastAsia"/>
                        <w:i/>
                        <w:vertAlign w:val="subscript"/>
                        <w:lang w:val="de-DE"/>
                      </w:rPr>
                    </m:ctrlPr>
                  </m:sub>
                </m:sSub>
              </m:oMath>
            </m:oMathPara>
          </w:p>
          <w:p w14:paraId="68C455E6">
            <w:pPr>
              <w:rPr>
                <w:rFonts w:cs="Times New Roman" w:eastAsiaTheme="minorEastAsia"/>
                <w:sz w:val="36"/>
                <w:szCs w:val="36"/>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θ</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j</m:t>
                    </m:r>
                    <m:ctrlPr>
                      <w:rPr>
                        <w:rFonts w:ascii="Cambria Math" w:hAnsi="Cambria Math" w:cs="Times New Roman" w:eastAsiaTheme="minorEastAsia"/>
                        <w:i/>
                        <w:vertAlign w:val="subscript"/>
                        <w:lang w:val="de-DE"/>
                      </w:rPr>
                    </m:ctrlPr>
                  </m:sub>
                </m:sSub>
              </m:oMath>
            </m:oMathPara>
          </w:p>
          <w:p w14:paraId="143F969D">
            <w:pPr>
              <w:rPr>
                <w:rFonts w:cs="Times New Roman" w:eastAsiaTheme="minorEastAsia"/>
                <w:sz w:val="36"/>
                <w:szCs w:val="36"/>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l</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j</m:t>
                    </m:r>
                    <m:ctrlPr>
                      <w:rPr>
                        <w:rFonts w:ascii="Cambria Math" w:hAnsi="Cambria Math" w:cs="Times New Roman" w:eastAsiaTheme="minorEastAsia"/>
                        <w:i/>
                        <w:vertAlign w:val="subscript"/>
                        <w:lang w:val="de-DE"/>
                      </w:rPr>
                    </m:ctrlPr>
                  </m:sub>
                </m:sSub>
              </m:oMath>
            </m:oMathPara>
          </w:p>
          <w:p w14:paraId="4BC2BFAA">
            <w:pPr>
              <w:rPr>
                <w:rFonts w:cs="Times New Roman" w:eastAsiaTheme="minorEastAsia"/>
                <w:sz w:val="36"/>
                <w:szCs w:val="36"/>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q</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j</m:t>
                    </m:r>
                    <m:ctrlPr>
                      <w:rPr>
                        <w:rFonts w:ascii="Cambria Math" w:hAnsi="Cambria Math" w:cs="Times New Roman" w:eastAsiaTheme="minorEastAsia"/>
                        <w:i/>
                        <w:vertAlign w:val="subscript"/>
                        <w:lang w:val="de-DE"/>
                      </w:rPr>
                    </m:ctrlPr>
                  </m:sub>
                </m:sSub>
              </m:oMath>
            </m:oMathPara>
          </w:p>
          <w:p w14:paraId="5E587964">
            <w:pPr>
              <w:rPr>
                <w:rFonts w:cs="Times New Roman" w:eastAsiaTheme="minorEastAsia"/>
                <w:vertAlign w:val="subscript"/>
                <w:lang w:val="de-DE"/>
              </w:rPr>
            </w:pPr>
            <m:oMathPara>
              <m:oMath>
                <m:r>
                  <m:rPr/>
                  <w:rPr>
                    <w:rFonts w:ascii="Cambria Math" w:hAnsi="Cambria Math" w:cs="Times New Roman" w:eastAsiaTheme="minorEastAsia"/>
                    <w:vertAlign w:val="subscript"/>
                    <w:lang w:val="de-DE"/>
                  </w:rPr>
                  <m:t>∆</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G</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j</m:t>
                    </m:r>
                    <m:ctrlPr>
                      <w:rPr>
                        <w:rFonts w:ascii="Cambria Math" w:hAnsi="Cambria Math" w:cs="Times New Roman" w:eastAsiaTheme="minorEastAsia"/>
                        <w:i/>
                        <w:vertAlign w:val="subscript"/>
                        <w:lang w:val="de-DE"/>
                      </w:rPr>
                    </m:ctrlPr>
                  </m:sub>
                </m:sSub>
              </m:oMath>
            </m:oMathPara>
          </w:p>
          <w:p w14:paraId="06B6B118">
            <w:pPr>
              <w:rPr>
                <w:rFonts w:cs="Times New Roman" w:eastAsiaTheme="minorEastAsia"/>
                <w:sz w:val="36"/>
                <w:szCs w:val="36"/>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u</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j</m:t>
                    </m:r>
                    <m:ctrlPr>
                      <w:rPr>
                        <w:rFonts w:ascii="Cambria Math" w:hAnsi="Cambria Math" w:cs="Times New Roman" w:eastAsiaTheme="minorEastAsia"/>
                        <w:i/>
                        <w:vertAlign w:val="subscript"/>
                        <w:lang w:val="de-DE"/>
                      </w:rPr>
                    </m:ctrlPr>
                  </m:sub>
                </m:sSub>
              </m:oMath>
            </m:oMathPara>
          </w:p>
          <w:p w14:paraId="45CE1F1B">
            <w:pPr>
              <w:rPr>
                <w:rFonts w:cs="Times New Roman" w:eastAsiaTheme="minorEastAsia"/>
                <w:vertAlign w:val="subscript"/>
                <w:lang w:val="de-DE"/>
              </w:rPr>
            </w:pPr>
          </w:p>
          <w:p w14:paraId="25FBA94E">
            <w:pPr>
              <w:rPr>
                <w:rFonts w:cs="Times New Roman" w:eastAsiaTheme="minorEastAsia"/>
                <w:vertAlign w:val="subscript"/>
                <w:lang w:val="de-DE"/>
              </w:rPr>
            </w:pPr>
          </w:p>
          <w:p w14:paraId="77CC8086">
            <w:pPr>
              <w:spacing w:line="480" w:lineRule="auto"/>
              <w:rPr>
                <w:rFonts w:hAnsi="Cambria Math" w:cs="Times New Roman" w:eastAsiaTheme="minorEastAsia"/>
                <w:vertAlign w:val="subscript"/>
                <w:lang w:val="de-DE"/>
              </w:rPr>
            </w:pPr>
          </w:p>
          <w:p w14:paraId="6BFFB842">
            <w:pPr>
              <w:rPr>
                <w:rFonts w:hAnsi="Cambria Math" w:cs="Times New Roman" w:eastAsiaTheme="minorEastAsia"/>
                <w:vertAlign w:val="subscript"/>
                <w:lang w:val="de-DE"/>
              </w:rPr>
            </w:pPr>
          </w:p>
          <w:p w14:paraId="1F9AAD2D">
            <w:pPr>
              <w:rPr>
                <w:rFonts w:cs="Times New Roman" w:eastAsiaTheme="minorEastAsia"/>
                <w:sz w:val="36"/>
                <w:szCs w:val="36"/>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r</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w</m:t>
                    </m:r>
                    <m:ctrlPr>
                      <w:rPr>
                        <w:rFonts w:ascii="Cambria Math" w:hAnsi="Cambria Math" w:cs="Times New Roman" w:eastAsiaTheme="minorEastAsia"/>
                        <w:i/>
                        <w:vertAlign w:val="subscript"/>
                        <w:lang w:val="de-DE"/>
                      </w:rPr>
                    </m:ctrlPr>
                  </m:sub>
                </m:sSub>
              </m:oMath>
            </m:oMathPara>
          </w:p>
          <w:p w14:paraId="1DD1250E">
            <w:pPr>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h</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wa,j</m:t>
                    </m:r>
                    <m:ctrlPr>
                      <w:rPr>
                        <w:rFonts w:ascii="Cambria Math" w:hAnsi="Cambria Math" w:cs="Times New Roman" w:eastAsiaTheme="minorEastAsia"/>
                        <w:i/>
                        <w:vertAlign w:val="subscript"/>
                        <w:lang w:val="de-DE"/>
                      </w:rPr>
                    </m:ctrlPr>
                  </m:sub>
                </m:sSub>
              </m:oMath>
            </m:oMathPara>
          </w:p>
          <w:p w14:paraId="6B1F88FF">
            <w:pPr>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h</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wp,j</m:t>
                    </m:r>
                    <m:ctrlPr>
                      <w:rPr>
                        <w:rFonts w:ascii="Cambria Math" w:hAnsi="Cambria Math" w:cs="Times New Roman" w:eastAsiaTheme="minorEastAsia"/>
                        <w:i/>
                        <w:vertAlign w:val="subscript"/>
                        <w:lang w:val="de-DE"/>
                      </w:rPr>
                    </m:ctrlPr>
                  </m:sub>
                </m:sSub>
              </m:oMath>
            </m:oMathPara>
          </w:p>
          <w:p w14:paraId="342E521C">
            <w:pPr>
              <w:rPr>
                <w:rFonts w:cs="Times New Roman" w:eastAsiaTheme="minorEastAsia"/>
                <w:vertAlign w:val="subscript"/>
                <w:lang w:val="de-DE"/>
              </w:rPr>
            </w:pPr>
            <m:oMathPara>
              <m:oMath>
                <m:sSubSup>
                  <m:sSubSupPr>
                    <m:ctrlPr>
                      <w:rPr>
                        <w:rFonts w:ascii="Cambria Math" w:hAnsi="Cambria Math" w:cs="Times New Roman" w:eastAsiaTheme="minorEastAsia"/>
                        <w:i/>
                        <w:vertAlign w:val="subscript"/>
                        <w:lang w:val="de-DE"/>
                      </w:rPr>
                    </m:ctrlPr>
                  </m:sSubSupPr>
                  <m:e>
                    <m:r>
                      <m:rPr/>
                      <w:rPr>
                        <w:rFonts w:ascii="Cambria Math" w:hAnsi="Cambria Math" w:cs="Times New Roman" w:eastAsiaTheme="minorEastAsia"/>
                        <w:vertAlign w:val="subscript"/>
                        <w:lang w:val="de-DE"/>
                      </w:rPr>
                      <m:t>R</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k,k</m:t>
                    </m:r>
                    <m:ctrlPr>
                      <w:rPr>
                        <w:rFonts w:ascii="Cambria Math" w:hAnsi="Cambria Math" w:cs="Times New Roman" w:eastAsiaTheme="minorEastAsia"/>
                        <w:i/>
                        <w:vertAlign w:val="subscript"/>
                        <w:lang w:val="de-DE"/>
                      </w:rPr>
                    </m:ctrlPr>
                  </m:sub>
                  <m:sup>
                    <m:r>
                      <m:rPr/>
                      <w:rPr>
                        <w:rFonts w:ascii="Cambria Math" w:hAnsi="Cambria Math" w:cs="Times New Roman" w:eastAsiaTheme="minorEastAsia"/>
                        <w:vertAlign w:val="subscript"/>
                        <w:lang w:val="de-DE"/>
                      </w:rPr>
                      <m:t>'</m:t>
                    </m:r>
                    <m:ctrlPr>
                      <w:rPr>
                        <w:rFonts w:ascii="Cambria Math" w:hAnsi="Cambria Math" w:cs="Times New Roman" w:eastAsiaTheme="minorEastAsia"/>
                        <w:i/>
                        <w:vertAlign w:val="subscript"/>
                        <w:lang w:val="de-DE"/>
                      </w:rPr>
                    </m:ctrlPr>
                  </m:sup>
                </m:sSubSup>
              </m:oMath>
            </m:oMathPara>
          </w:p>
        </w:tc>
        <w:tc>
          <w:tcPr>
            <w:tcW w:w="424" w:type="pct"/>
            <w:tcMar>
              <w:left w:w="28" w:type="dxa"/>
              <w:right w:w="0" w:type="dxa"/>
            </w:tcMar>
          </w:tcPr>
          <w:p w14:paraId="1A7F101D">
            <w:pPr>
              <w:rPr>
                <w:rFonts w:cs="Times New Roman" w:eastAsiaTheme="minorEastAsia"/>
                <w:lang w:val="de-DE"/>
              </w:rPr>
            </w:pPr>
            <w:r>
              <w:rPr>
                <w:rFonts w:cs="Times New Roman" w:eastAsiaTheme="minorEastAsia"/>
                <w:lang w:val="de-DE"/>
              </w:rPr>
              <w:t>——</w:t>
            </w:r>
          </w:p>
          <w:p w14:paraId="6CDCCEE0">
            <w:pPr>
              <w:rPr>
                <w:rFonts w:cs="Times New Roman" w:eastAsiaTheme="minorEastAsia"/>
                <w:lang w:val="de-DE"/>
              </w:rPr>
            </w:pPr>
          </w:p>
          <w:p w14:paraId="074EFD50">
            <w:pPr>
              <w:rPr>
                <w:rFonts w:cs="Times New Roman" w:eastAsiaTheme="minorEastAsia"/>
                <w:lang w:val="de-DE"/>
              </w:rPr>
            </w:pPr>
            <w:r>
              <w:rPr>
                <w:rFonts w:cs="Times New Roman" w:eastAsiaTheme="minorEastAsia"/>
                <w:lang w:val="de-DE"/>
              </w:rPr>
              <w:t>——</w:t>
            </w:r>
          </w:p>
          <w:p w14:paraId="022E9104">
            <w:pPr>
              <w:rPr>
                <w:rFonts w:cs="Times New Roman" w:eastAsiaTheme="minorEastAsia"/>
                <w:lang w:val="de-DE"/>
              </w:rPr>
            </w:pPr>
          </w:p>
          <w:p w14:paraId="0037CBDD">
            <w:pPr>
              <w:rPr>
                <w:rFonts w:cs="Times New Roman" w:eastAsiaTheme="minorEastAsia"/>
                <w:lang w:val="de-DE"/>
              </w:rPr>
            </w:pPr>
          </w:p>
          <w:p w14:paraId="77C67ACF">
            <w:pPr>
              <w:spacing w:line="480" w:lineRule="auto"/>
              <w:rPr>
                <w:rFonts w:cs="Times New Roman" w:eastAsiaTheme="minorEastAsia"/>
                <w:lang w:val="de-DE"/>
              </w:rPr>
            </w:pPr>
            <w:r>
              <w:rPr>
                <w:rFonts w:cs="Times New Roman" w:eastAsiaTheme="minorEastAsia"/>
                <w:lang w:val="de-DE"/>
              </w:rPr>
              <w:t>——</w:t>
            </w:r>
          </w:p>
          <w:p w14:paraId="5834B65E">
            <w:pPr>
              <w:spacing w:line="480" w:lineRule="auto"/>
              <w:rPr>
                <w:rFonts w:cs="Times New Roman" w:eastAsiaTheme="minorEastAsia"/>
                <w:lang w:val="de-DE"/>
              </w:rPr>
            </w:pPr>
            <w:r>
              <w:rPr>
                <w:rFonts w:cs="Times New Roman" w:eastAsiaTheme="minorEastAsia"/>
                <w:lang w:val="de-DE"/>
              </w:rPr>
              <w:t>——</w:t>
            </w:r>
          </w:p>
          <w:p w14:paraId="7CC5D8E8">
            <w:pPr>
              <w:spacing w:line="480" w:lineRule="auto"/>
              <w:rPr>
                <w:rFonts w:cs="Times New Roman" w:eastAsiaTheme="minorEastAsia"/>
                <w:lang w:val="de-DE"/>
              </w:rPr>
            </w:pPr>
            <w:r>
              <w:rPr>
                <w:rFonts w:cs="Times New Roman" w:eastAsiaTheme="minorEastAsia"/>
                <w:lang w:val="de-DE"/>
              </w:rPr>
              <w:t>——</w:t>
            </w:r>
          </w:p>
          <w:p w14:paraId="519127F3">
            <w:pPr>
              <w:spacing w:line="480" w:lineRule="auto"/>
              <w:rPr>
                <w:rFonts w:cs="Times New Roman" w:eastAsiaTheme="minorEastAsia"/>
                <w:lang w:val="de-DE"/>
              </w:rPr>
            </w:pPr>
            <w:r>
              <w:rPr>
                <w:rFonts w:cs="Times New Roman" w:eastAsiaTheme="minorEastAsia"/>
                <w:lang w:val="de-DE"/>
              </w:rPr>
              <w:t>——</w:t>
            </w:r>
          </w:p>
          <w:p w14:paraId="36BA1003">
            <w:pPr>
              <w:spacing w:line="480" w:lineRule="auto"/>
              <w:rPr>
                <w:rFonts w:cs="Times New Roman" w:eastAsiaTheme="minorEastAsia"/>
                <w:lang w:val="de-DE"/>
              </w:rPr>
            </w:pPr>
            <w:r>
              <w:rPr>
                <w:rFonts w:cs="Times New Roman" w:eastAsiaTheme="minorEastAsia"/>
                <w:lang w:val="de-DE"/>
              </w:rPr>
              <w:t>——</w:t>
            </w:r>
          </w:p>
          <w:p w14:paraId="6CF5FA98">
            <w:pPr>
              <w:spacing w:line="480" w:lineRule="auto"/>
              <w:rPr>
                <w:rFonts w:cs="Times New Roman" w:eastAsiaTheme="minorEastAsia"/>
                <w:lang w:val="de-DE"/>
              </w:rPr>
            </w:pPr>
            <w:r>
              <w:rPr>
                <w:rFonts w:cs="Times New Roman" w:eastAsiaTheme="minorEastAsia"/>
                <w:lang w:val="de-DE"/>
              </w:rPr>
              <w:t>——</w:t>
            </w:r>
          </w:p>
          <w:p w14:paraId="747DBFF1">
            <w:pPr>
              <w:spacing w:line="480" w:lineRule="auto"/>
              <w:rPr>
                <w:rFonts w:cs="Times New Roman" w:eastAsiaTheme="minorEastAsia"/>
                <w:lang w:val="de-DE"/>
              </w:rPr>
            </w:pPr>
            <w:r>
              <w:rPr>
                <w:rFonts w:cs="Times New Roman" w:eastAsiaTheme="minorEastAsia"/>
                <w:lang w:val="de-DE"/>
              </w:rPr>
              <w:t>——</w:t>
            </w:r>
          </w:p>
          <w:p w14:paraId="62F7BAEA">
            <w:pPr>
              <w:rPr>
                <w:rFonts w:cs="Times New Roman" w:eastAsiaTheme="minorEastAsia"/>
                <w:lang w:val="de-DE"/>
              </w:rPr>
            </w:pPr>
          </w:p>
          <w:p w14:paraId="6587C4EC">
            <w:pPr>
              <w:rPr>
                <w:rFonts w:cs="Times New Roman" w:eastAsiaTheme="minorEastAsia"/>
                <w:lang w:val="de-DE"/>
              </w:rPr>
            </w:pPr>
          </w:p>
          <w:p w14:paraId="1F903874">
            <w:pPr>
              <w:rPr>
                <w:rFonts w:cs="Times New Roman" w:eastAsiaTheme="minorEastAsia"/>
                <w:lang w:val="de-DE"/>
              </w:rPr>
            </w:pPr>
          </w:p>
          <w:p w14:paraId="38019918">
            <w:pPr>
              <w:rPr>
                <w:rFonts w:cs="Times New Roman" w:eastAsiaTheme="minorEastAsia"/>
                <w:lang w:val="de-DE"/>
              </w:rPr>
            </w:pPr>
          </w:p>
          <w:p w14:paraId="13FE2FB3">
            <w:pPr>
              <w:spacing w:line="480" w:lineRule="auto"/>
              <w:rPr>
                <w:rFonts w:cs="Times New Roman" w:eastAsiaTheme="minorEastAsia"/>
                <w:lang w:val="de-DE"/>
              </w:rPr>
            </w:pPr>
            <w:r>
              <w:rPr>
                <w:rFonts w:cs="Times New Roman" w:eastAsiaTheme="minorEastAsia"/>
                <w:lang w:val="de-DE"/>
              </w:rPr>
              <w:t>——</w:t>
            </w:r>
          </w:p>
          <w:p w14:paraId="695B7AA6">
            <w:pPr>
              <w:spacing w:line="480" w:lineRule="auto"/>
              <w:rPr>
                <w:rFonts w:cs="Times New Roman" w:eastAsiaTheme="minorEastAsia"/>
                <w:lang w:val="de-DE"/>
              </w:rPr>
            </w:pPr>
            <w:r>
              <w:rPr>
                <w:rFonts w:cs="Times New Roman" w:eastAsiaTheme="minorEastAsia"/>
                <w:lang w:val="de-DE"/>
              </w:rPr>
              <w:t>——</w:t>
            </w:r>
          </w:p>
          <w:p w14:paraId="7ADB40D6">
            <w:pPr>
              <w:spacing w:line="480" w:lineRule="auto"/>
              <w:rPr>
                <w:rFonts w:cs="Times New Roman" w:eastAsiaTheme="minorEastAsia"/>
                <w:lang w:val="de-DE"/>
              </w:rPr>
            </w:pPr>
            <w:r>
              <w:rPr>
                <w:rFonts w:cs="Times New Roman" w:eastAsiaTheme="minorEastAsia"/>
                <w:lang w:val="de-DE"/>
              </w:rPr>
              <w:t>——</w:t>
            </w:r>
          </w:p>
          <w:p w14:paraId="068464C8">
            <w:pPr>
              <w:spacing w:line="480" w:lineRule="auto"/>
              <w:rPr>
                <w:rFonts w:cs="Times New Roman" w:eastAsiaTheme="minorEastAsia"/>
                <w:lang w:val="de-DE"/>
              </w:rPr>
            </w:pPr>
            <w:r>
              <w:rPr>
                <w:rFonts w:cs="Times New Roman" w:eastAsiaTheme="minorEastAsia"/>
                <w:lang w:val="de-DE"/>
              </w:rPr>
              <w:t>——</w:t>
            </w:r>
          </w:p>
        </w:tc>
        <w:tc>
          <w:tcPr>
            <w:tcW w:w="3732" w:type="pct"/>
            <w:tcMar>
              <w:left w:w="0" w:type="dxa"/>
              <w:right w:w="0" w:type="dxa"/>
            </w:tcMar>
          </w:tcPr>
          <w:p w14:paraId="52B75549">
            <w:pPr>
              <w:rPr>
                <w:rFonts w:cs="Times New Roman" w:eastAsiaTheme="minorEastAsia"/>
              </w:rPr>
            </w:pPr>
            <w:r>
              <w:rPr>
                <w:rFonts w:cs="Times New Roman" w:eastAsiaTheme="minorEastAsia"/>
              </w:rPr>
              <w:t>圆弧滑动整体稳定安全系数；安全等级为一级、二级、三级的支挡结构，</w:t>
            </w:r>
            <w:r>
              <w:rPr>
                <w:rFonts w:cs="Times New Roman" w:eastAsiaTheme="minorEastAsia"/>
                <w:i/>
                <w:iCs/>
              </w:rPr>
              <w:t>K</w:t>
            </w:r>
            <w:r>
              <w:rPr>
                <w:rFonts w:cs="Times New Roman" w:eastAsiaTheme="minorEastAsia"/>
                <w:vertAlign w:val="subscript"/>
              </w:rPr>
              <w:t>s</w:t>
            </w:r>
            <w:r>
              <w:rPr>
                <w:rFonts w:cs="Times New Roman" w:eastAsiaTheme="minorEastAsia"/>
              </w:rPr>
              <w:t>分别不应小于1.35、1.3、1.25；</w:t>
            </w:r>
          </w:p>
          <w:p w14:paraId="28A0CE12">
            <w:pPr>
              <w:rPr>
                <w:rFonts w:cs="Times New Roman" w:eastAsiaTheme="minorEastAsia"/>
              </w:rPr>
            </w:pPr>
            <w:r>
              <w:rPr>
                <w:rFonts w:cs="Times New Roman" w:eastAsiaTheme="minorEastAsia"/>
              </w:rPr>
              <w:t>第</w:t>
            </w:r>
            <w:r>
              <w:rPr>
                <w:rFonts w:cs="Times New Roman" w:eastAsiaTheme="minorEastAsia"/>
                <w:i/>
                <w:iCs/>
              </w:rPr>
              <w:t>i</w:t>
            </w:r>
            <w:r>
              <w:rPr>
                <w:rFonts w:cs="Times New Roman" w:eastAsiaTheme="minorEastAsia"/>
              </w:rPr>
              <w:t>个滑动圆弧的抗滑力矩与滑动力矩的比值；抗滑力矩与滑动力矩之比的最小值宜通过搜索不同圆心及半径的所有潜在滑动圆弧确定；</w:t>
            </w:r>
          </w:p>
          <w:p w14:paraId="6231CA63">
            <w:pPr>
              <w:spacing w:line="480" w:lineRule="auto"/>
              <w:rPr>
                <w:rFonts w:cs="Times New Roman" w:eastAsiaTheme="minorEastAsia"/>
              </w:rPr>
            </w:pPr>
            <w:r>
              <w:rPr>
                <w:rFonts w:cs="Times New Roman" w:eastAsiaTheme="minorEastAsia"/>
              </w:rPr>
              <w:t>第</w:t>
            </w:r>
            <w:r>
              <w:rPr>
                <w:rFonts w:cs="Times New Roman" w:eastAsiaTheme="minorEastAsia"/>
                <w:i/>
                <w:iCs/>
              </w:rPr>
              <w:t>j</w:t>
            </w:r>
            <w:r>
              <w:rPr>
                <w:rFonts w:cs="Times New Roman" w:eastAsiaTheme="minorEastAsia"/>
              </w:rPr>
              <w:t>土条滑弧面处土的粘聚力(kPa)、内摩擦角(°)；</w:t>
            </w:r>
          </w:p>
          <w:p w14:paraId="680AAB9A">
            <w:pPr>
              <w:spacing w:line="480" w:lineRule="auto"/>
              <w:rPr>
                <w:rFonts w:cs="Times New Roman" w:eastAsiaTheme="minorEastAsia"/>
              </w:rPr>
            </w:pPr>
            <w:r>
              <w:rPr>
                <w:rFonts w:cs="Times New Roman" w:eastAsiaTheme="minorEastAsia"/>
              </w:rPr>
              <w:t>第</w:t>
            </w:r>
            <w:r>
              <w:rPr>
                <w:rFonts w:cs="Times New Roman" w:eastAsiaTheme="minorEastAsia"/>
                <w:i/>
                <w:iCs/>
              </w:rPr>
              <w:t>j</w:t>
            </w:r>
            <w:r>
              <w:rPr>
                <w:rFonts w:cs="Times New Roman" w:eastAsiaTheme="minorEastAsia"/>
              </w:rPr>
              <w:t>土条的宽度(m)；</w:t>
            </w:r>
          </w:p>
          <w:p w14:paraId="2997B744">
            <w:pPr>
              <w:spacing w:line="480" w:lineRule="auto"/>
              <w:rPr>
                <w:rFonts w:cs="Times New Roman" w:eastAsiaTheme="minorEastAsia"/>
              </w:rPr>
            </w:pPr>
            <w:r>
              <w:rPr>
                <w:rFonts w:cs="Times New Roman" w:eastAsiaTheme="minorEastAsia"/>
              </w:rPr>
              <w:t>第</w:t>
            </w:r>
            <w:r>
              <w:rPr>
                <w:rFonts w:cs="Times New Roman" w:eastAsiaTheme="minorEastAsia"/>
                <w:i/>
                <w:iCs/>
              </w:rPr>
              <w:t>j</w:t>
            </w:r>
            <w:r>
              <w:rPr>
                <w:rFonts w:cs="Times New Roman" w:eastAsiaTheme="minorEastAsia"/>
              </w:rPr>
              <w:t>土条滑弧面中点处的法线与垂直面的夹角(°)；</w:t>
            </w:r>
          </w:p>
          <w:p w14:paraId="71E6F4E5">
            <w:pPr>
              <w:spacing w:line="480" w:lineRule="auto"/>
              <w:rPr>
                <w:rFonts w:cs="Times New Roman" w:eastAsiaTheme="minorEastAsia"/>
                <w:sz w:val="36"/>
                <w:szCs w:val="36"/>
                <w:vertAlign w:val="subscript"/>
                <w:lang w:val="de-DE"/>
              </w:rPr>
            </w:pPr>
            <w:r>
              <w:rPr>
                <w:rFonts w:cs="Times New Roman" w:eastAsiaTheme="minorEastAsia"/>
              </w:rPr>
              <w:t>第</w:t>
            </w:r>
            <w:r>
              <w:rPr>
                <w:rFonts w:cs="Times New Roman" w:eastAsiaTheme="minorEastAsia"/>
                <w:i/>
                <w:iCs/>
              </w:rPr>
              <w:t>j</w:t>
            </w:r>
            <w:r>
              <w:rPr>
                <w:rFonts w:cs="Times New Roman" w:eastAsiaTheme="minorEastAsia"/>
              </w:rPr>
              <w:t>土条的滑弧段长度(m)，取</w:t>
            </w:r>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l</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j</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b</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j</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r>
                <m:rPr>
                  <m:sty m:val="p"/>
                </m:rPr>
                <w:rPr>
                  <w:rFonts w:ascii="Cambria Math" w:hAnsi="Cambria Math" w:cs="Times New Roman" w:eastAsiaTheme="minorEastAsia"/>
                  <w:vertAlign w:val="subscript"/>
                  <w:lang w:val="de-DE"/>
                </w:rPr>
                <m:t>cos</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θ</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j</m:t>
                  </m:r>
                  <m:ctrlPr>
                    <w:rPr>
                      <w:rFonts w:ascii="Cambria Math" w:hAnsi="Cambria Math" w:cs="Times New Roman" w:eastAsiaTheme="minorEastAsia"/>
                      <w:i/>
                      <w:vertAlign w:val="subscript"/>
                      <w:lang w:val="de-DE"/>
                    </w:rPr>
                  </m:ctrlPr>
                </m:sub>
              </m:sSub>
              <m:r>
                <m:rPr>
                  <m:sty m:val="p"/>
                </m:rPr>
                <w:rPr>
                  <w:rFonts w:ascii="Cambria Math" w:hAnsi="Cambria Math" w:cs="Times New Roman" w:eastAsiaTheme="minorEastAsia"/>
                  <w:vertAlign w:val="subscript"/>
                  <w:lang w:val="de-DE"/>
                </w:rPr>
                <m:t>；</m:t>
              </m:r>
            </m:oMath>
          </w:p>
          <w:p w14:paraId="34605470">
            <w:pPr>
              <w:spacing w:line="480" w:lineRule="auto"/>
              <w:rPr>
                <w:rFonts w:cs="Times New Roman" w:eastAsiaTheme="minorEastAsia"/>
              </w:rPr>
            </w:pPr>
            <w:r>
              <w:rPr>
                <w:rFonts w:cs="Times New Roman" w:eastAsiaTheme="minorEastAsia"/>
              </w:rPr>
              <w:t>作用在第</w:t>
            </w:r>
            <w:r>
              <w:rPr>
                <w:rFonts w:cs="Times New Roman" w:eastAsiaTheme="minorEastAsia"/>
                <w:i/>
                <w:iCs/>
              </w:rPr>
              <w:t>j</w:t>
            </w:r>
            <w:r>
              <w:rPr>
                <w:rFonts w:cs="Times New Roman" w:eastAsiaTheme="minorEastAsia"/>
              </w:rPr>
              <w:t>土条上的附加分布荷载标准值(kPa)；</w:t>
            </w:r>
          </w:p>
          <w:p w14:paraId="78535DD4">
            <w:pPr>
              <w:spacing w:line="480" w:lineRule="auto"/>
              <w:rPr>
                <w:rFonts w:cs="Times New Roman" w:eastAsiaTheme="minorEastAsia"/>
              </w:rPr>
            </w:pPr>
            <w:r>
              <w:rPr>
                <w:rFonts w:cs="Times New Roman" w:eastAsiaTheme="minorEastAsia"/>
              </w:rPr>
              <w:t>第</w:t>
            </w:r>
            <w:r>
              <w:rPr>
                <w:rFonts w:cs="Times New Roman" w:eastAsiaTheme="minorEastAsia"/>
                <w:i/>
                <w:iCs/>
              </w:rPr>
              <w:t>j</w:t>
            </w:r>
            <w:r>
              <w:rPr>
                <w:rFonts w:cs="Times New Roman" w:eastAsiaTheme="minorEastAsia"/>
              </w:rPr>
              <w:t>土条的自重(kN)，按天然重度计算；</w:t>
            </w:r>
          </w:p>
          <w:p w14:paraId="658BA678">
            <w:pPr>
              <w:spacing w:line="480" w:lineRule="auto"/>
              <w:rPr>
                <w:rFonts w:cs="Times New Roman" w:eastAsiaTheme="minorEastAsia"/>
              </w:rPr>
            </w:pPr>
            <w:r>
              <w:rPr>
                <w:rFonts w:cs="Times New Roman" w:eastAsiaTheme="minorEastAsia"/>
              </w:rPr>
              <w:t>第</w:t>
            </w:r>
            <w:r>
              <w:rPr>
                <w:rFonts w:cs="Times New Roman" w:eastAsiaTheme="minorEastAsia"/>
                <w:i/>
                <w:iCs/>
              </w:rPr>
              <w:t>j</w:t>
            </w:r>
            <w:r>
              <w:rPr>
                <w:rFonts w:cs="Times New Roman" w:eastAsiaTheme="minorEastAsia"/>
              </w:rPr>
              <w:t>土条在滑弧面上的孔隙水压力(kPa)；基坑采用落底式截水帷幕时，对地下水位以下的砂土、碎石土、粉土，在基坑外侧，可取</w:t>
            </w:r>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u</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j</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r</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w</m:t>
                  </m:r>
                  <m:ctrlPr>
                    <w:rPr>
                      <w:rFonts w:ascii="Cambria Math" w:hAnsi="Cambria Math" w:cs="Times New Roman" w:eastAsiaTheme="minorEastAsia"/>
                      <w:i/>
                      <w:vertAlign w:val="subscript"/>
                      <w:lang w:val="de-DE"/>
                    </w:rPr>
                  </m:ctrlPr>
                </m:sub>
              </m:sSub>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h</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wa,j</m:t>
                  </m:r>
                  <m:ctrlPr>
                    <w:rPr>
                      <w:rFonts w:ascii="Cambria Math" w:hAnsi="Cambria Math" w:cs="Times New Roman" w:eastAsiaTheme="minorEastAsia"/>
                      <w:i/>
                      <w:vertAlign w:val="subscript"/>
                      <w:lang w:val="de-DE"/>
                    </w:rPr>
                  </m:ctrlPr>
                </m:sub>
              </m:sSub>
            </m:oMath>
            <w:r>
              <w:rPr>
                <w:rFonts w:cs="Times New Roman" w:eastAsiaTheme="minorEastAsia"/>
              </w:rPr>
              <w:t>，在基坑内侧，可取</w:t>
            </w:r>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u</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j</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r</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w</m:t>
                  </m:r>
                  <m:ctrlPr>
                    <w:rPr>
                      <w:rFonts w:ascii="Cambria Math" w:hAnsi="Cambria Math" w:cs="Times New Roman" w:eastAsiaTheme="minorEastAsia"/>
                      <w:i/>
                      <w:vertAlign w:val="subscript"/>
                      <w:lang w:val="de-DE"/>
                    </w:rPr>
                  </m:ctrlPr>
                </m:sub>
              </m:sSub>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h</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wp,j</m:t>
                  </m:r>
                  <m:ctrlPr>
                    <w:rPr>
                      <w:rFonts w:ascii="Cambria Math" w:hAnsi="Cambria Math" w:cs="Times New Roman" w:eastAsiaTheme="minorEastAsia"/>
                      <w:i/>
                      <w:vertAlign w:val="subscript"/>
                      <w:lang w:val="de-DE"/>
                    </w:rPr>
                  </m:ctrlPr>
                </m:sub>
              </m:sSub>
            </m:oMath>
            <w:r>
              <w:rPr>
                <w:rFonts w:cs="Times New Roman" w:eastAsiaTheme="minorEastAsia"/>
              </w:rPr>
              <w:t>；在地下水位以上或对地下水位以下的粘性土，取</w:t>
            </w:r>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u</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j</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=0</m:t>
              </m:r>
            </m:oMath>
            <w:r>
              <w:rPr>
                <w:rFonts w:cs="Times New Roman" w:eastAsiaTheme="minorEastAsia"/>
              </w:rPr>
              <w:t>；</w:t>
            </w:r>
          </w:p>
          <w:p w14:paraId="0D28A075">
            <w:pPr>
              <w:spacing w:line="480" w:lineRule="auto"/>
              <w:rPr>
                <w:rFonts w:cs="Times New Roman" w:eastAsiaTheme="minorEastAsia"/>
              </w:rPr>
            </w:pPr>
            <w:r>
              <w:rPr>
                <w:rFonts w:cs="Times New Roman" w:eastAsiaTheme="minorEastAsia"/>
              </w:rPr>
              <w:t>地下水重度（kN/m</w:t>
            </w:r>
            <w:r>
              <w:rPr>
                <w:rFonts w:cs="Times New Roman" w:eastAsiaTheme="minorEastAsia"/>
                <w:vertAlign w:val="superscript"/>
              </w:rPr>
              <w:t>3</w:t>
            </w:r>
            <w:r>
              <w:rPr>
                <w:rFonts w:cs="Times New Roman" w:eastAsiaTheme="minorEastAsia"/>
              </w:rPr>
              <w:t>）；</w:t>
            </w:r>
          </w:p>
          <w:p w14:paraId="5BEB83B5">
            <w:pPr>
              <w:spacing w:line="480" w:lineRule="auto"/>
              <w:rPr>
                <w:rFonts w:cs="Times New Roman" w:eastAsiaTheme="minorEastAsia"/>
              </w:rPr>
            </w:pPr>
            <w:r>
              <w:rPr>
                <w:rFonts w:cs="Times New Roman" w:eastAsiaTheme="minorEastAsia"/>
              </w:rPr>
              <w:t>基坑外地下水位至第</w:t>
            </w:r>
            <w:r>
              <w:rPr>
                <w:rFonts w:cs="Times New Roman" w:eastAsiaTheme="minorEastAsia"/>
                <w:i/>
                <w:iCs/>
              </w:rPr>
              <w:t>j</w:t>
            </w:r>
            <w:r>
              <w:rPr>
                <w:rFonts w:cs="Times New Roman" w:eastAsiaTheme="minorEastAsia"/>
              </w:rPr>
              <w:t>土条滑弧面中点的垂直距离(m)；</w:t>
            </w:r>
          </w:p>
          <w:p w14:paraId="49D68E15">
            <w:pPr>
              <w:spacing w:line="480" w:lineRule="auto"/>
              <w:rPr>
                <w:rFonts w:cs="Times New Roman" w:eastAsiaTheme="minorEastAsia"/>
              </w:rPr>
            </w:pPr>
            <w:r>
              <w:rPr>
                <w:rFonts w:cs="Times New Roman" w:eastAsiaTheme="minorEastAsia"/>
              </w:rPr>
              <w:t>基坑内地下水位至第</w:t>
            </w:r>
            <w:r>
              <w:rPr>
                <w:rFonts w:cs="Times New Roman" w:eastAsiaTheme="minorEastAsia"/>
                <w:i/>
                <w:iCs/>
              </w:rPr>
              <w:t>j</w:t>
            </w:r>
            <w:r>
              <w:rPr>
                <w:rFonts w:cs="Times New Roman" w:eastAsiaTheme="minorEastAsia"/>
              </w:rPr>
              <w:t>土条滑弧面中点的垂直距离(m)；</w:t>
            </w:r>
          </w:p>
          <w:p w14:paraId="04148B82">
            <w:pPr>
              <w:spacing w:line="480" w:lineRule="auto"/>
              <w:rPr>
                <w:rFonts w:cs="Times New Roman" w:eastAsiaTheme="minorEastAsia"/>
              </w:rPr>
            </w:pPr>
            <w:r>
              <w:rPr>
                <w:rFonts w:cs="Times New Roman" w:eastAsiaTheme="minorEastAsia"/>
              </w:rPr>
              <w:t>第k层锚杆对圆弧滑动体的极限拉力值(kN);应取锚杆在滑动面以外的锚固体极限抗拔承载力标准值与锚杆杆体受拉承载力标准值的较小值；</w:t>
            </w:r>
          </w:p>
        </w:tc>
      </w:tr>
      <w:tr w14:paraId="4EE37267">
        <w:tblPrEx>
          <w:tblCellMar>
            <w:top w:w="0" w:type="dxa"/>
            <w:left w:w="108" w:type="dxa"/>
            <w:bottom w:w="0" w:type="dxa"/>
            <w:right w:w="108" w:type="dxa"/>
          </w:tblCellMar>
        </w:tblPrEx>
        <w:trPr>
          <w:trHeight w:val="1946" w:hRule="exact"/>
        </w:trPr>
        <w:tc>
          <w:tcPr>
            <w:tcW w:w="395" w:type="pct"/>
            <w:tcMar>
              <w:left w:w="0" w:type="dxa"/>
              <w:right w:w="28" w:type="dxa"/>
            </w:tcMar>
          </w:tcPr>
          <w:p w14:paraId="5B9E161F">
            <w:pPr>
              <w:rPr>
                <w:rFonts w:cs="Times New Roman" w:eastAsiaTheme="minorEastAsia"/>
              </w:rPr>
            </w:pPr>
          </w:p>
        </w:tc>
        <w:tc>
          <w:tcPr>
            <w:tcW w:w="447" w:type="pct"/>
            <w:tcMar>
              <w:left w:w="0" w:type="dxa"/>
              <w:right w:w="28" w:type="dxa"/>
            </w:tcMar>
          </w:tcPr>
          <w:p w14:paraId="6BD3B68F">
            <w:pPr>
              <w:rPr>
                <w:rFonts w:cs="Times New Roman" w:eastAsiaTheme="minorEastAsia"/>
                <w:sz w:val="36"/>
                <w:szCs w:val="36"/>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α</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sub>
                </m:sSub>
              </m:oMath>
            </m:oMathPara>
          </w:p>
          <w:p w14:paraId="0C9A9B1C">
            <w:pPr>
              <w:rPr>
                <w:rFonts w:cs="Times New Roman" w:eastAsiaTheme="minorEastAsia"/>
                <w:sz w:val="48"/>
                <w:szCs w:val="48"/>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S</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x,k</m:t>
                    </m:r>
                    <m:ctrlPr>
                      <w:rPr>
                        <w:rFonts w:ascii="Cambria Math" w:hAnsi="Cambria Math" w:cs="Times New Roman" w:eastAsiaTheme="minorEastAsia"/>
                        <w:i/>
                        <w:vertAlign w:val="subscript"/>
                        <w:lang w:val="de-DE"/>
                      </w:rPr>
                    </m:ctrlPr>
                  </m:sub>
                </m:sSub>
              </m:oMath>
            </m:oMathPara>
          </w:p>
          <w:p w14:paraId="32FDD077">
            <w:pPr>
              <w:rPr>
                <w:rFonts w:ascii="Cambria Math" w:hAnsi="Cambria Math" w:cs="Times New Roman" w:eastAsiaTheme="minorEastAsia"/>
                <w:sz w:val="36"/>
                <w:szCs w:val="36"/>
                <w:vertAlign w:val="subscript"/>
                <w:lang w:val="de-DE"/>
                <w:oMath/>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δ</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v</m:t>
                    </m:r>
                    <m:ctrlPr>
                      <w:rPr>
                        <w:rFonts w:ascii="Cambria Math" w:hAnsi="Cambria Math" w:cs="Times New Roman" w:eastAsiaTheme="minorEastAsia"/>
                        <w:i/>
                        <w:vertAlign w:val="subscript"/>
                        <w:lang w:val="de-DE"/>
                      </w:rPr>
                    </m:ctrlPr>
                  </m:sub>
                </m:sSub>
              </m:oMath>
            </m:oMathPara>
          </w:p>
          <w:p w14:paraId="7FFF9070">
            <w:pPr>
              <w:rPr>
                <w:rFonts w:ascii="Cambria Math" w:hAnsi="Cambria Math" w:cs="Times New Roman" w:eastAsiaTheme="minorEastAsia"/>
                <w:vertAlign w:val="subscript"/>
                <w:lang w:val="de-DE"/>
                <w:oMath/>
              </w:rPr>
            </w:pPr>
          </w:p>
        </w:tc>
        <w:tc>
          <w:tcPr>
            <w:tcW w:w="424" w:type="pct"/>
            <w:tcMar>
              <w:left w:w="28" w:type="dxa"/>
              <w:right w:w="0" w:type="dxa"/>
            </w:tcMar>
          </w:tcPr>
          <w:p w14:paraId="3DE1C453">
            <w:pPr>
              <w:rPr>
                <w:rFonts w:cs="Times New Roman" w:eastAsiaTheme="minorEastAsia"/>
                <w:lang w:val="de-DE"/>
              </w:rPr>
            </w:pPr>
            <w:r>
              <w:rPr>
                <w:rFonts w:cs="Times New Roman" w:eastAsiaTheme="minorEastAsia"/>
                <w:lang w:val="de-DE"/>
              </w:rPr>
              <w:t>——</w:t>
            </w:r>
          </w:p>
          <w:p w14:paraId="72DF5B0E">
            <w:pPr>
              <w:rPr>
                <w:rFonts w:cs="Times New Roman" w:eastAsiaTheme="minorEastAsia"/>
                <w:lang w:val="de-DE"/>
              </w:rPr>
            </w:pPr>
            <w:r>
              <w:rPr>
                <w:rFonts w:cs="Times New Roman" w:eastAsiaTheme="minorEastAsia"/>
                <w:lang w:val="de-DE"/>
              </w:rPr>
              <w:t>——</w:t>
            </w:r>
          </w:p>
          <w:p w14:paraId="1D712F80">
            <w:pPr>
              <w:rPr>
                <w:rFonts w:cs="Times New Roman" w:eastAsiaTheme="minorEastAsia"/>
                <w:lang w:val="de-DE"/>
              </w:rPr>
            </w:pPr>
            <w:r>
              <w:rPr>
                <w:rFonts w:cs="Times New Roman" w:eastAsiaTheme="minorEastAsia"/>
                <w:lang w:val="de-DE"/>
              </w:rPr>
              <w:t>——</w:t>
            </w:r>
          </w:p>
          <w:p w14:paraId="2A0A23C7">
            <w:pPr>
              <w:rPr>
                <w:rFonts w:cs="Times New Roman" w:eastAsiaTheme="minorEastAsia"/>
                <w:lang w:val="de-DE"/>
              </w:rPr>
            </w:pPr>
          </w:p>
        </w:tc>
        <w:tc>
          <w:tcPr>
            <w:tcW w:w="3732" w:type="pct"/>
            <w:tcMar>
              <w:left w:w="0" w:type="dxa"/>
              <w:right w:w="0" w:type="dxa"/>
            </w:tcMar>
          </w:tcPr>
          <w:p w14:paraId="09317BD8">
            <w:pPr>
              <w:rPr>
                <w:rFonts w:cs="Times New Roman" w:eastAsiaTheme="minorEastAsia"/>
              </w:rPr>
            </w:pPr>
            <w:r>
              <w:rPr>
                <w:rFonts w:cs="Times New Roman" w:eastAsiaTheme="minorEastAsia"/>
              </w:rPr>
              <w:t>第k层锚杆的倾角(°)；</w:t>
            </w:r>
          </w:p>
          <w:p w14:paraId="34C6EED0">
            <w:pPr>
              <w:rPr>
                <w:rFonts w:cs="Times New Roman" w:eastAsiaTheme="minorEastAsia"/>
              </w:rPr>
            </w:pPr>
            <w:r>
              <w:rPr>
                <w:rFonts w:cs="Times New Roman" w:eastAsiaTheme="minorEastAsia"/>
              </w:rPr>
              <w:t>第k层锚杆的水平间距(m)；</w:t>
            </w:r>
          </w:p>
          <w:p w14:paraId="3E0A0278">
            <w:pPr>
              <w:rPr>
                <w:rFonts w:cs="Times New Roman" w:eastAsiaTheme="minorEastAsia"/>
              </w:rPr>
            </w:pPr>
            <w:r>
              <w:rPr>
                <w:rFonts w:cs="Times New Roman" w:eastAsiaTheme="minorEastAsia"/>
              </w:rPr>
              <w:t>计算系数；可按</w:t>
            </w:r>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δ</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v</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=0.5sin</m:t>
              </m:r>
              <m:d>
                <m:dPr>
                  <m:ctrlPr>
                    <w:rPr>
                      <w:rFonts w:ascii="Cambria Math" w:hAnsi="Cambria Math" w:cs="Times New Roman" w:eastAsiaTheme="minorEastAsia"/>
                      <w:i/>
                      <w:vertAlign w:val="subscript"/>
                      <w:lang w:val="de-DE"/>
                    </w:rPr>
                  </m:ctrlPr>
                </m:dPr>
                <m:e>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θ</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α</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sub>
                  </m:sSub>
                  <m:ctrlPr>
                    <w:rPr>
                      <w:rFonts w:ascii="Cambria Math" w:hAnsi="Cambria Math" w:cs="Times New Roman" w:eastAsiaTheme="minorEastAsia"/>
                      <w:i/>
                      <w:vertAlign w:val="subscript"/>
                      <w:lang w:val="de-DE"/>
                    </w:rPr>
                  </m:ctrlPr>
                </m:e>
              </m:d>
              <m:r>
                <m:rPr/>
                <w:rPr>
                  <w:rFonts w:ascii="Cambria Math" w:hAnsi="Cambria Math" w:cs="Times New Roman" w:eastAsiaTheme="minorEastAsia"/>
                  <w:vertAlign w:val="subscript"/>
                  <w:lang w:val="de-DE"/>
                </w:rPr>
                <m:t>tanφ</m:t>
              </m:r>
            </m:oMath>
            <w:r>
              <w:rPr>
                <w:rFonts w:cs="Times New Roman" w:eastAsiaTheme="minorEastAsia"/>
              </w:rPr>
              <w:t>取值，此处，</w:t>
            </w:r>
            <m:oMath>
              <m:r>
                <m:rPr/>
                <w:rPr>
                  <w:rFonts w:ascii="Cambria Math" w:hAnsi="Cambria Math" w:cs="Times New Roman" w:eastAsiaTheme="minorEastAsia"/>
                  <w:vertAlign w:val="subscript"/>
                  <w:lang w:val="de-DE"/>
                </w:rPr>
                <m:t>φ</m:t>
              </m:r>
            </m:oMath>
            <w:r>
              <w:rPr>
                <w:rFonts w:cs="Times New Roman" w:eastAsiaTheme="minorEastAsia"/>
              </w:rPr>
              <w:t>为第k 层锚杆与滑弧交点处土的内摩擦角。</w:t>
            </w:r>
          </w:p>
        </w:tc>
      </w:tr>
    </w:tbl>
    <w:p w14:paraId="23694C2B">
      <w:pPr>
        <w:ind w:firstLine="480" w:firstLineChars="200"/>
        <w:rPr>
          <w:rFonts w:cs="Times New Roman" w:eastAsiaTheme="minorEastAsia"/>
        </w:rPr>
      </w:pPr>
      <w:r>
        <w:rPr>
          <w:rFonts w:cs="Times New Roman" w:eastAsiaTheme="minorEastAsia"/>
          <w:szCs w:val="21"/>
        </w:rPr>
        <w:t>注：对悬臂式、双排桩支挡结构，采用公式(5.2.11-2)时不考虑</w:t>
      </w:r>
      <m:oMath>
        <m:nary>
          <m:naryPr>
            <m:chr m:val="∑"/>
            <m:limLoc m:val="undOvr"/>
            <m:subHide m:val="1"/>
            <m:supHide m:val="1"/>
            <m:ctrlPr>
              <w:rPr>
                <w:rFonts w:ascii="Cambria Math" w:hAnsi="Cambria Math" w:cs="Times New Roman" w:eastAsiaTheme="minorEastAsia"/>
                <w:i/>
                <w:szCs w:val="21"/>
                <w:vertAlign w:val="subscript"/>
                <w:lang w:val="de-DE"/>
              </w:rPr>
            </m:ctrlPr>
          </m:naryPr>
          <m:sub>
            <m:ctrlPr>
              <w:rPr>
                <w:rFonts w:ascii="Cambria Math" w:hAnsi="Cambria Math" w:cs="Times New Roman" w:eastAsiaTheme="minorEastAsia"/>
                <w:i/>
                <w:szCs w:val="21"/>
                <w:vertAlign w:val="subscript"/>
                <w:lang w:val="de-DE"/>
              </w:rPr>
            </m:ctrlPr>
          </m:sub>
          <m:sup>
            <m:ctrlPr>
              <w:rPr>
                <w:rFonts w:ascii="Cambria Math" w:hAnsi="Cambria Math" w:cs="Times New Roman" w:eastAsiaTheme="minorEastAsia"/>
                <w:i/>
                <w:szCs w:val="21"/>
                <w:vertAlign w:val="subscript"/>
                <w:lang w:val="de-DE"/>
              </w:rPr>
            </m:ctrlPr>
          </m:sup>
          <m:e>
            <m:sSubSup>
              <m:sSubSupPr>
                <m:ctrlPr>
                  <w:rPr>
                    <w:rFonts w:ascii="Cambria Math" w:hAnsi="Cambria Math" w:cs="Times New Roman" w:eastAsiaTheme="minorEastAsia"/>
                    <w:i/>
                    <w:szCs w:val="21"/>
                    <w:vertAlign w:val="subscript"/>
                    <w:lang w:val="de-DE"/>
                  </w:rPr>
                </m:ctrlPr>
              </m:sSubSupPr>
              <m:e>
                <m:r>
                  <m:rPr/>
                  <w:rPr>
                    <w:rFonts w:ascii="Cambria Math" w:hAnsi="Cambria Math" w:cs="Times New Roman" w:eastAsiaTheme="minorEastAsia"/>
                    <w:szCs w:val="21"/>
                    <w:vertAlign w:val="subscript"/>
                    <w:lang w:val="de-DE"/>
                  </w:rPr>
                  <m:t>R</m:t>
                </m:r>
                <m:ctrlPr>
                  <w:rPr>
                    <w:rFonts w:ascii="Cambria Math" w:hAnsi="Cambria Math" w:cs="Times New Roman" w:eastAsiaTheme="minorEastAsia"/>
                    <w:i/>
                    <w:szCs w:val="21"/>
                    <w:vertAlign w:val="subscript"/>
                    <w:lang w:val="de-DE"/>
                  </w:rPr>
                </m:ctrlPr>
              </m:e>
              <m:sub>
                <m:r>
                  <m:rPr/>
                  <w:rPr>
                    <w:rFonts w:ascii="Cambria Math" w:hAnsi="Cambria Math" w:cs="Times New Roman" w:eastAsiaTheme="minorEastAsia"/>
                    <w:szCs w:val="21"/>
                    <w:vertAlign w:val="subscript"/>
                    <w:lang w:val="de-DE"/>
                  </w:rPr>
                  <m:t>k,k</m:t>
                </m:r>
                <m:ctrlPr>
                  <w:rPr>
                    <w:rFonts w:ascii="Cambria Math" w:hAnsi="Cambria Math" w:cs="Times New Roman" w:eastAsiaTheme="minorEastAsia"/>
                    <w:i/>
                    <w:szCs w:val="21"/>
                    <w:vertAlign w:val="subscript"/>
                    <w:lang w:val="de-DE"/>
                  </w:rPr>
                </m:ctrlPr>
              </m:sub>
              <m:sup>
                <m:r>
                  <m:rPr/>
                  <w:rPr>
                    <w:rFonts w:ascii="Cambria Math" w:hAnsi="Cambria Math" w:cs="Times New Roman" w:eastAsiaTheme="minorEastAsia"/>
                    <w:szCs w:val="21"/>
                    <w:vertAlign w:val="subscript"/>
                    <w:lang w:val="de-DE"/>
                  </w:rPr>
                  <m:t>'</m:t>
                </m:r>
                <m:ctrlPr>
                  <w:rPr>
                    <w:rFonts w:ascii="Cambria Math" w:hAnsi="Cambria Math" w:cs="Times New Roman" w:eastAsiaTheme="minorEastAsia"/>
                    <w:i/>
                    <w:szCs w:val="21"/>
                    <w:vertAlign w:val="subscript"/>
                    <w:lang w:val="de-DE"/>
                  </w:rPr>
                </m:ctrlPr>
              </m:sup>
            </m:sSubSup>
            <m:d>
              <m:dPr>
                <m:begChr m:val="["/>
                <m:endChr m:val="]"/>
                <m:ctrlPr>
                  <w:rPr>
                    <w:rFonts w:ascii="Cambria Math" w:hAnsi="Cambria Math" w:cs="Times New Roman" w:eastAsiaTheme="minorEastAsia"/>
                    <w:i/>
                    <w:szCs w:val="21"/>
                    <w:vertAlign w:val="subscript"/>
                    <w:lang w:val="de-DE"/>
                  </w:rPr>
                </m:ctrlPr>
              </m:dPr>
              <m:e>
                <m:r>
                  <m:rPr>
                    <m:sty m:val="p"/>
                  </m:rPr>
                  <w:rPr>
                    <w:rFonts w:ascii="Cambria Math" w:hAnsi="Cambria Math" w:cs="Times New Roman" w:eastAsiaTheme="minorEastAsia"/>
                    <w:szCs w:val="21"/>
                    <w:vertAlign w:val="subscript"/>
                    <w:lang w:val="de-DE"/>
                  </w:rPr>
                  <m:t>cos</m:t>
                </m:r>
                <m:d>
                  <m:dPr>
                    <m:ctrlPr>
                      <w:rPr>
                        <w:rFonts w:ascii="Cambria Math" w:hAnsi="Cambria Math" w:cs="Times New Roman" w:eastAsiaTheme="minorEastAsia"/>
                        <w:i/>
                        <w:szCs w:val="21"/>
                        <w:vertAlign w:val="subscript"/>
                        <w:lang w:val="de-DE"/>
                      </w:rPr>
                    </m:ctrlPr>
                  </m:dPr>
                  <m:e>
                    <m:sSub>
                      <m:sSubPr>
                        <m:ctrlPr>
                          <w:rPr>
                            <w:rFonts w:ascii="Cambria Math" w:hAnsi="Cambria Math" w:cs="Times New Roman" w:eastAsiaTheme="minorEastAsia"/>
                            <w:i/>
                            <w:szCs w:val="21"/>
                            <w:vertAlign w:val="subscript"/>
                            <w:lang w:val="de-DE"/>
                          </w:rPr>
                        </m:ctrlPr>
                      </m:sSubPr>
                      <m:e>
                        <m:r>
                          <m:rPr/>
                          <w:rPr>
                            <w:rFonts w:ascii="Cambria Math" w:hAnsi="Cambria Math" w:cs="Times New Roman" w:eastAsiaTheme="minorEastAsia"/>
                            <w:szCs w:val="21"/>
                            <w:vertAlign w:val="subscript"/>
                            <w:lang w:val="de-DE"/>
                          </w:rPr>
                          <m:t>θ</m:t>
                        </m:r>
                        <m:ctrlPr>
                          <w:rPr>
                            <w:rFonts w:ascii="Cambria Math" w:hAnsi="Cambria Math" w:cs="Times New Roman" w:eastAsiaTheme="minorEastAsia"/>
                            <w:i/>
                            <w:szCs w:val="21"/>
                            <w:vertAlign w:val="subscript"/>
                            <w:lang w:val="de-DE"/>
                          </w:rPr>
                        </m:ctrlPr>
                      </m:e>
                      <m:sub>
                        <m:r>
                          <m:rPr/>
                          <w:rPr>
                            <w:rFonts w:ascii="Cambria Math" w:hAnsi="Cambria Math" w:cs="Times New Roman" w:eastAsiaTheme="minorEastAsia"/>
                            <w:szCs w:val="21"/>
                            <w:vertAlign w:val="subscript"/>
                            <w:lang w:val="de-DE"/>
                          </w:rPr>
                          <m:t>j</m:t>
                        </m:r>
                        <m:ctrlPr>
                          <w:rPr>
                            <w:rFonts w:ascii="Cambria Math" w:hAnsi="Cambria Math" w:cs="Times New Roman" w:eastAsiaTheme="minorEastAsia"/>
                            <w:i/>
                            <w:szCs w:val="21"/>
                            <w:vertAlign w:val="subscript"/>
                            <w:lang w:val="de-DE"/>
                          </w:rPr>
                        </m:ctrlPr>
                      </m:sub>
                    </m:sSub>
                    <m:r>
                      <m:rPr/>
                      <w:rPr>
                        <w:rFonts w:ascii="Cambria Math" w:hAnsi="Cambria Math" w:cs="Times New Roman" w:eastAsiaTheme="minorEastAsia"/>
                        <w:szCs w:val="21"/>
                        <w:vertAlign w:val="subscript"/>
                        <w:lang w:val="de-DE"/>
                      </w:rPr>
                      <m:t>+</m:t>
                    </m:r>
                    <m:sSub>
                      <m:sSubPr>
                        <m:ctrlPr>
                          <w:rPr>
                            <w:rFonts w:ascii="Cambria Math" w:hAnsi="Cambria Math" w:cs="Times New Roman" w:eastAsiaTheme="minorEastAsia"/>
                            <w:i/>
                            <w:szCs w:val="21"/>
                            <w:vertAlign w:val="subscript"/>
                            <w:lang w:val="de-DE"/>
                          </w:rPr>
                        </m:ctrlPr>
                      </m:sSubPr>
                      <m:e>
                        <m:r>
                          <m:rPr/>
                          <w:rPr>
                            <w:rFonts w:ascii="Cambria Math" w:hAnsi="Cambria Math" w:cs="Times New Roman" w:eastAsiaTheme="minorEastAsia"/>
                            <w:szCs w:val="21"/>
                            <w:vertAlign w:val="subscript"/>
                            <w:lang w:val="de-DE"/>
                          </w:rPr>
                          <m:t>α</m:t>
                        </m:r>
                        <m:ctrlPr>
                          <w:rPr>
                            <w:rFonts w:ascii="Cambria Math" w:hAnsi="Cambria Math" w:cs="Times New Roman" w:eastAsiaTheme="minorEastAsia"/>
                            <w:i/>
                            <w:szCs w:val="21"/>
                            <w:vertAlign w:val="subscript"/>
                            <w:lang w:val="de-DE"/>
                          </w:rPr>
                        </m:ctrlPr>
                      </m:e>
                      <m:sub>
                        <m:r>
                          <m:rPr/>
                          <w:rPr>
                            <w:rFonts w:ascii="Cambria Math" w:hAnsi="Cambria Math" w:cs="Times New Roman" w:eastAsiaTheme="minorEastAsia"/>
                            <w:szCs w:val="21"/>
                            <w:vertAlign w:val="subscript"/>
                            <w:lang w:val="de-DE"/>
                          </w:rPr>
                          <m:t>k</m:t>
                        </m:r>
                        <m:ctrlPr>
                          <w:rPr>
                            <w:rFonts w:ascii="Cambria Math" w:hAnsi="Cambria Math" w:cs="Times New Roman" w:eastAsiaTheme="minorEastAsia"/>
                            <w:i/>
                            <w:szCs w:val="21"/>
                            <w:vertAlign w:val="subscript"/>
                            <w:lang w:val="de-DE"/>
                          </w:rPr>
                        </m:ctrlPr>
                      </m:sub>
                    </m:sSub>
                    <m:ctrlPr>
                      <w:rPr>
                        <w:rFonts w:ascii="Cambria Math" w:hAnsi="Cambria Math" w:cs="Times New Roman" w:eastAsiaTheme="minorEastAsia"/>
                        <w:i/>
                        <w:szCs w:val="21"/>
                        <w:vertAlign w:val="subscript"/>
                        <w:lang w:val="de-DE"/>
                      </w:rPr>
                    </m:ctrlPr>
                  </m:e>
                </m:d>
                <m:r>
                  <m:rPr/>
                  <w:rPr>
                    <w:rFonts w:ascii="Cambria Math" w:hAnsi="Cambria Math" w:cs="Times New Roman" w:eastAsiaTheme="minorEastAsia"/>
                    <w:szCs w:val="21"/>
                    <w:vertAlign w:val="subscript"/>
                    <w:lang w:val="de-DE"/>
                  </w:rPr>
                  <m:t>+</m:t>
                </m:r>
                <m:sSub>
                  <m:sSubPr>
                    <m:ctrlPr>
                      <w:rPr>
                        <w:rFonts w:ascii="Cambria Math" w:hAnsi="Cambria Math" w:cs="Times New Roman" w:eastAsiaTheme="minorEastAsia"/>
                        <w:i/>
                        <w:szCs w:val="21"/>
                        <w:vertAlign w:val="subscript"/>
                        <w:lang w:val="de-DE"/>
                      </w:rPr>
                    </m:ctrlPr>
                  </m:sSubPr>
                  <m:e>
                    <m:r>
                      <m:rPr/>
                      <w:rPr>
                        <w:rFonts w:ascii="Cambria Math" w:hAnsi="Cambria Math" w:cs="Times New Roman" w:eastAsiaTheme="minorEastAsia"/>
                        <w:szCs w:val="21"/>
                        <w:vertAlign w:val="subscript"/>
                        <w:lang w:val="de-DE"/>
                      </w:rPr>
                      <m:t>δ</m:t>
                    </m:r>
                    <m:ctrlPr>
                      <w:rPr>
                        <w:rFonts w:ascii="Cambria Math" w:hAnsi="Cambria Math" w:cs="Times New Roman" w:eastAsiaTheme="minorEastAsia"/>
                        <w:i/>
                        <w:szCs w:val="21"/>
                        <w:vertAlign w:val="subscript"/>
                        <w:lang w:val="de-DE"/>
                      </w:rPr>
                    </m:ctrlPr>
                  </m:e>
                  <m:sub>
                    <m:r>
                      <m:rPr/>
                      <w:rPr>
                        <w:rFonts w:ascii="Cambria Math" w:hAnsi="Cambria Math" w:cs="Times New Roman" w:eastAsiaTheme="minorEastAsia"/>
                        <w:szCs w:val="21"/>
                        <w:vertAlign w:val="subscript"/>
                        <w:lang w:val="de-DE"/>
                      </w:rPr>
                      <m:t>v</m:t>
                    </m:r>
                    <m:ctrlPr>
                      <w:rPr>
                        <w:rFonts w:ascii="Cambria Math" w:hAnsi="Cambria Math" w:cs="Times New Roman" w:eastAsiaTheme="minorEastAsia"/>
                        <w:i/>
                        <w:szCs w:val="21"/>
                        <w:vertAlign w:val="subscript"/>
                        <w:lang w:val="de-DE"/>
                      </w:rPr>
                    </m:ctrlPr>
                  </m:sub>
                </m:sSub>
                <m:ctrlPr>
                  <w:rPr>
                    <w:rFonts w:ascii="Cambria Math" w:hAnsi="Cambria Math" w:cs="Times New Roman" w:eastAsiaTheme="minorEastAsia"/>
                    <w:i/>
                    <w:szCs w:val="21"/>
                    <w:vertAlign w:val="subscript"/>
                    <w:lang w:val="de-DE"/>
                  </w:rPr>
                </m:ctrlPr>
              </m:e>
            </m:d>
            <m:r>
              <m:rPr/>
              <w:rPr>
                <w:rFonts w:ascii="Cambria Math" w:hAnsi="Cambria Math" w:cs="Times New Roman" w:eastAsiaTheme="minorEastAsia"/>
                <w:szCs w:val="21"/>
                <w:vertAlign w:val="subscript"/>
                <w:lang w:val="de-DE"/>
              </w:rPr>
              <m:t>/</m:t>
            </m:r>
            <m:sSub>
              <m:sSubPr>
                <m:ctrlPr>
                  <w:rPr>
                    <w:rFonts w:ascii="Cambria Math" w:hAnsi="Cambria Math" w:cs="Times New Roman" w:eastAsiaTheme="minorEastAsia"/>
                    <w:i/>
                    <w:szCs w:val="21"/>
                    <w:vertAlign w:val="subscript"/>
                    <w:lang w:val="de-DE"/>
                  </w:rPr>
                </m:ctrlPr>
              </m:sSubPr>
              <m:e>
                <m:r>
                  <m:rPr/>
                  <w:rPr>
                    <w:rFonts w:ascii="Cambria Math" w:hAnsi="Cambria Math" w:cs="Times New Roman" w:eastAsiaTheme="minorEastAsia"/>
                    <w:szCs w:val="21"/>
                    <w:vertAlign w:val="subscript"/>
                    <w:lang w:val="de-DE"/>
                  </w:rPr>
                  <m:t>S</m:t>
                </m:r>
                <m:ctrlPr>
                  <w:rPr>
                    <w:rFonts w:ascii="Cambria Math" w:hAnsi="Cambria Math" w:cs="Times New Roman" w:eastAsiaTheme="minorEastAsia"/>
                    <w:i/>
                    <w:szCs w:val="21"/>
                    <w:vertAlign w:val="subscript"/>
                    <w:lang w:val="de-DE"/>
                  </w:rPr>
                </m:ctrlPr>
              </m:e>
              <m:sub>
                <m:r>
                  <m:rPr/>
                  <w:rPr>
                    <w:rFonts w:ascii="Cambria Math" w:hAnsi="Cambria Math" w:cs="Times New Roman" w:eastAsiaTheme="minorEastAsia"/>
                    <w:szCs w:val="21"/>
                    <w:vertAlign w:val="subscript"/>
                    <w:lang w:val="de-DE"/>
                  </w:rPr>
                  <m:t>x,k</m:t>
                </m:r>
                <m:ctrlPr>
                  <w:rPr>
                    <w:rFonts w:ascii="Cambria Math" w:hAnsi="Cambria Math" w:cs="Times New Roman" w:eastAsiaTheme="minorEastAsia"/>
                    <w:i/>
                    <w:szCs w:val="21"/>
                    <w:vertAlign w:val="subscript"/>
                    <w:lang w:val="de-DE"/>
                  </w:rPr>
                </m:ctrlPr>
              </m:sub>
            </m:sSub>
            <m:ctrlPr>
              <w:rPr>
                <w:rFonts w:ascii="Cambria Math" w:hAnsi="Cambria Math" w:cs="Times New Roman" w:eastAsiaTheme="minorEastAsia"/>
                <w:i/>
                <w:szCs w:val="21"/>
                <w:vertAlign w:val="subscript"/>
                <w:lang w:val="de-DE"/>
              </w:rPr>
            </m:ctrlPr>
          </m:e>
        </m:nary>
      </m:oMath>
      <w:r>
        <w:rPr>
          <w:rFonts w:cs="Times New Roman" w:eastAsiaTheme="minorEastAsia"/>
          <w:szCs w:val="21"/>
        </w:rPr>
        <w:t>项。</w:t>
      </w:r>
    </w:p>
    <w:p w14:paraId="00570BEC">
      <w:pPr>
        <w:ind w:firstLine="360" w:firstLineChars="150"/>
        <w:rPr>
          <w:rFonts w:cs="Times New Roman" w:eastAsiaTheme="minorEastAsia"/>
        </w:rPr>
      </w:pPr>
      <w:r>
        <w:rPr>
          <w:rFonts w:cs="Times New Roman" w:eastAsiaTheme="minorEastAsia"/>
          <w:b w:val="0"/>
          <w:bCs w:val="0"/>
        </w:rPr>
        <w:t>2</w:t>
      </w:r>
      <w:r>
        <w:rPr>
          <w:rFonts w:cs="Times New Roman" w:eastAsiaTheme="minorEastAsia"/>
          <w:b/>
          <w:bCs/>
        </w:rPr>
        <w:t xml:space="preserve">  </w:t>
      </w:r>
      <w:r>
        <w:rPr>
          <w:rFonts w:cs="Times New Roman" w:eastAsiaTheme="minorEastAsia"/>
        </w:rPr>
        <w:t>锚拉结构内部滑动稳定性验算应符合下列规定：</w:t>
      </w:r>
    </w:p>
    <w:p w14:paraId="19FB7109">
      <w:pPr>
        <w:ind w:firstLine="840" w:firstLineChars="350"/>
        <w:rPr>
          <w:rFonts w:cs="Times New Roman" w:eastAsiaTheme="minorEastAsia"/>
        </w:rPr>
      </w:pPr>
      <w:r>
        <w:rPr>
          <w:rFonts w:cs="Times New Roman" w:eastAsiaTheme="minorEastAsia"/>
        </w:rPr>
        <w:t>1）单层锚杆稳定性验算可按下式计算：</w:t>
      </w:r>
    </w:p>
    <w:p w14:paraId="07378EAA">
      <w:pPr>
        <w:jc w:val="center"/>
        <w:rPr>
          <w:rFonts w:cs="Times New Roman" w:eastAsiaTheme="minorEastAsia"/>
        </w:rPr>
      </w:pPr>
      <w:r>
        <w:rPr>
          <w:rFonts w:cs="Times New Roman"/>
        </w:rPr>
        <w:drawing>
          <wp:inline distT="0" distB="0" distL="0" distR="0">
            <wp:extent cx="2941955" cy="1541145"/>
            <wp:effectExtent l="0" t="0" r="0" b="1905"/>
            <wp:docPr id="17244009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00924" name="图片 1"/>
                    <pic:cNvPicPr>
                      <a:picLocks noChangeAspect="1"/>
                    </pic:cNvPicPr>
                  </pic:nvPicPr>
                  <pic:blipFill>
                    <a:blip r:embed="rId13">
                      <a:extLst>
                        <a:ext uri="{28A0092B-C50C-407E-A947-70E740481C1C}">
                          <a14:useLocalDpi xmlns:a14="http://schemas.microsoft.com/office/drawing/2010/main" val="0"/>
                        </a:ext>
                      </a:extLst>
                    </a:blip>
                    <a:srcRect b="52707"/>
                    <a:stretch>
                      <a:fillRect/>
                    </a:stretch>
                  </pic:blipFill>
                  <pic:spPr>
                    <a:xfrm>
                      <a:off x="0" y="0"/>
                      <a:ext cx="2975543" cy="1559234"/>
                    </a:xfrm>
                    <a:prstGeom prst="rect">
                      <a:avLst/>
                    </a:prstGeom>
                    <a:ln>
                      <a:noFill/>
                    </a:ln>
                  </pic:spPr>
                </pic:pic>
              </a:graphicData>
            </a:graphic>
          </wp:inline>
        </w:drawing>
      </w:r>
    </w:p>
    <w:p w14:paraId="51853945">
      <w:pPr>
        <w:jc w:val="center"/>
        <w:rPr>
          <w:rFonts w:cs="Times New Roman" w:eastAsiaTheme="minorEastAsia"/>
        </w:rPr>
      </w:pPr>
      <w:r>
        <w:rPr>
          <w:rFonts w:cs="Times New Roman" w:eastAsiaTheme="minorEastAsia"/>
        </w:rPr>
        <w:t>图5.2.11</w:t>
      </w:r>
      <w:r>
        <w:rPr>
          <w:rFonts w:hint="eastAsia" w:cs="Times New Roman" w:eastAsiaTheme="minorEastAsia"/>
        </w:rPr>
        <w:t>-2</w:t>
      </w:r>
      <w:r>
        <w:rPr>
          <w:rFonts w:cs="Times New Roman" w:eastAsiaTheme="minorEastAsia"/>
        </w:rPr>
        <w:t xml:space="preserve">  </w:t>
      </w:r>
      <w:r>
        <w:rPr>
          <w:rFonts w:hint="eastAsia" w:cs="Times New Roman" w:eastAsiaTheme="minorEastAsia"/>
        </w:rPr>
        <w:t>单层锚杆深部破裂的稳定性验算</w:t>
      </w:r>
    </w:p>
    <w:tbl>
      <w:tblPr>
        <w:tblStyle w:val="1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91"/>
        <w:gridCol w:w="1970"/>
      </w:tblGrid>
      <w:tr w14:paraId="5092D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3913" w:type="pct"/>
            <w:vAlign w:val="center"/>
          </w:tcPr>
          <w:p w14:paraId="64EFCBFF">
            <w:pPr>
              <w:jc w:val="right"/>
              <w:rPr>
                <w:rFonts w:cs="Times New Roman" w:eastAsiaTheme="minorEastAsia"/>
              </w:rPr>
            </w:pPr>
            <m:oMathPara>
              <m:oMathParaPr>
                <m:jc m:val="center"/>
              </m:oMathParaPr>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s</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f>
                  <m:fPr>
                    <m:ctrlPr>
                      <w:rPr>
                        <w:rFonts w:ascii="Cambria Math" w:hAnsi="Cambria Math" w:cs="Times New Roman" w:eastAsiaTheme="minorEastAsia"/>
                        <w:i/>
                        <w:vertAlign w:val="subscript"/>
                        <w:lang w:val="de-DE"/>
                      </w:rPr>
                    </m:ctrlPr>
                  </m:fPr>
                  <m:num>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R</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tmax</m:t>
                        </m:r>
                        <m:ctrlPr>
                          <w:rPr>
                            <w:rFonts w:ascii="Cambria Math" w:hAnsi="Cambria Math" w:cs="Times New Roman" w:eastAsiaTheme="minorEastAsia"/>
                            <w:i/>
                            <w:vertAlign w:val="subscript"/>
                            <w:lang w:val="de-DE"/>
                          </w:rPr>
                        </m:ctrlPr>
                      </m:sub>
                    </m:sSub>
                    <w:bookmarkStart w:id="61" w:name="OLE_LINK48"/>
                    <m:ctrlPr>
                      <w:rPr>
                        <w:rFonts w:ascii="Cambria Math" w:hAnsi="Cambria Math" w:cs="Times New Roman" w:eastAsiaTheme="minorEastAsia"/>
                        <w:i/>
                        <w:vertAlign w:val="subscript"/>
                        <w:lang w:val="de-DE"/>
                      </w:rPr>
                    </m:ctrlPr>
                  </m:num>
                  <m:den>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N</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t</m:t>
                        </m:r>
                        <w:bookmarkEnd w:id="61"/>
                        <m:ctrlPr>
                          <w:rPr>
                            <w:rFonts w:ascii="Cambria Math" w:hAnsi="Cambria Math" w:cs="Times New Roman" w:eastAsiaTheme="minorEastAsia"/>
                            <w:i/>
                            <w:vertAlign w:val="subscript"/>
                            <w:lang w:val="de-DE"/>
                          </w:rPr>
                        </m:ctrlPr>
                      </m:sub>
                    </m:sSub>
                    <m:ctrlPr>
                      <w:rPr>
                        <w:rFonts w:ascii="Cambria Math" w:hAnsi="Cambria Math" w:cs="Times New Roman" w:eastAsiaTheme="minorEastAsia"/>
                        <w:i/>
                        <w:vertAlign w:val="subscript"/>
                        <w:lang w:val="de-DE"/>
                      </w:rPr>
                    </m:ctrlPr>
                  </m:den>
                </m:f>
                <m:r>
                  <m:rPr/>
                  <w:rPr>
                    <w:rFonts w:ascii="Cambria Math" w:hAnsi="Cambria Math" w:cs="Times New Roman" w:eastAsiaTheme="minorEastAsia"/>
                    <w:vertAlign w:val="subscript"/>
                    <w:lang w:val="de-DE"/>
                  </w:rPr>
                  <m:t>≥1.5</m:t>
                </m:r>
              </m:oMath>
            </m:oMathPara>
          </w:p>
        </w:tc>
        <w:tc>
          <w:tcPr>
            <w:tcW w:w="1087" w:type="pct"/>
            <w:vAlign w:val="center"/>
          </w:tcPr>
          <w:p w14:paraId="5E71D8B1">
            <w:pPr>
              <w:jc w:val="center"/>
              <w:rPr>
                <w:rFonts w:cs="Times New Roman" w:eastAsiaTheme="minorEastAsia"/>
              </w:rPr>
            </w:pPr>
            <w:r>
              <w:rPr>
                <w:rFonts w:cs="Times New Roman" w:eastAsiaTheme="minorEastAsia"/>
              </w:rPr>
              <w:t>（5.2.1</w:t>
            </w:r>
            <w:r>
              <w:rPr>
                <w:rFonts w:hint="eastAsia" w:cs="Times New Roman" w:eastAsiaTheme="minorEastAsia"/>
              </w:rPr>
              <w:t>0</w:t>
            </w:r>
            <w:r>
              <w:rPr>
                <w:rFonts w:cs="Times New Roman" w:eastAsiaTheme="minorEastAsia"/>
              </w:rPr>
              <w:t>-3）</w:t>
            </w:r>
          </w:p>
        </w:tc>
      </w:tr>
    </w:tbl>
    <w:tbl>
      <w:tblPr>
        <w:tblStyle w:val="13"/>
        <w:tblW w:w="4884" w:type="pct"/>
        <w:tblInd w:w="0" w:type="dxa"/>
        <w:tblLayout w:type="fixed"/>
        <w:tblCellMar>
          <w:top w:w="0" w:type="dxa"/>
          <w:left w:w="108" w:type="dxa"/>
          <w:bottom w:w="0" w:type="dxa"/>
          <w:right w:w="108" w:type="dxa"/>
        </w:tblCellMar>
      </w:tblPr>
      <w:tblGrid>
        <w:gridCol w:w="988"/>
        <w:gridCol w:w="994"/>
        <w:gridCol w:w="710"/>
        <w:gridCol w:w="5948"/>
      </w:tblGrid>
      <w:tr w14:paraId="73F26B9A">
        <w:tblPrEx>
          <w:tblCellMar>
            <w:top w:w="0" w:type="dxa"/>
            <w:left w:w="108" w:type="dxa"/>
            <w:bottom w:w="0" w:type="dxa"/>
            <w:right w:w="108" w:type="dxa"/>
          </w:tblCellMar>
        </w:tblPrEx>
        <w:trPr>
          <w:trHeight w:val="577" w:hRule="exact"/>
        </w:trPr>
        <w:tc>
          <w:tcPr>
            <w:tcW w:w="572" w:type="pct"/>
            <w:tcMar>
              <w:left w:w="0" w:type="dxa"/>
              <w:right w:w="28" w:type="dxa"/>
            </w:tcMar>
          </w:tcPr>
          <w:p w14:paraId="560A8259">
            <w:pPr>
              <w:rPr>
                <w:rFonts w:cs="Times New Roman" w:eastAsiaTheme="minorEastAsia"/>
              </w:rPr>
            </w:pPr>
            <w:r>
              <w:rPr>
                <w:rFonts w:hint="eastAsia" w:cs="Times New Roman" w:eastAsiaTheme="minorEastAsia"/>
              </w:rPr>
              <w:t>式中：</w:t>
            </w:r>
          </w:p>
          <w:p w14:paraId="6C377ED9">
            <w:pPr>
              <w:spacing w:line="530" w:lineRule="exact"/>
              <w:rPr>
                <w:rFonts w:cs="Times New Roman" w:eastAsiaTheme="minorEastAsia"/>
              </w:rPr>
            </w:pPr>
          </w:p>
        </w:tc>
        <w:tc>
          <w:tcPr>
            <w:tcW w:w="575" w:type="pct"/>
            <w:tcMar>
              <w:left w:w="0" w:type="dxa"/>
              <w:right w:w="28" w:type="dxa"/>
            </w:tcMar>
          </w:tcPr>
          <w:p w14:paraId="2D778F65">
            <w:pPr>
              <w:spacing w:line="530" w:lineRule="exact"/>
              <w:rPr>
                <w:rFonts w:cs="Times New Roman" w:eastAsiaTheme="minorEastAsia"/>
                <w:i/>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R</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tmax</m:t>
                    </m:r>
                    <m:ctrlPr>
                      <w:rPr>
                        <w:rFonts w:ascii="Cambria Math" w:hAnsi="Cambria Math" w:cs="Times New Roman" w:eastAsiaTheme="minorEastAsia"/>
                        <w:i/>
                        <w:vertAlign w:val="subscript"/>
                        <w:lang w:val="de-DE"/>
                      </w:rPr>
                    </m:ctrlPr>
                  </m:sub>
                </m:sSub>
              </m:oMath>
            </m:oMathPara>
          </w:p>
        </w:tc>
        <w:tc>
          <w:tcPr>
            <w:tcW w:w="411" w:type="pct"/>
            <w:tcMar>
              <w:left w:w="28" w:type="dxa"/>
              <w:right w:w="0" w:type="dxa"/>
            </w:tcMar>
          </w:tcPr>
          <w:p w14:paraId="42BEB63E">
            <w:pPr>
              <w:rPr>
                <w:rFonts w:cs="Times New Roman" w:eastAsiaTheme="minorEastAsia"/>
                <w:lang w:val="de-DE"/>
              </w:rPr>
            </w:pPr>
            <w:r>
              <w:rPr>
                <w:rFonts w:cs="Times New Roman" w:eastAsiaTheme="minorEastAsia"/>
                <w:lang w:val="de-DE"/>
              </w:rPr>
              <w:t>——</w:t>
            </w:r>
          </w:p>
        </w:tc>
        <w:tc>
          <w:tcPr>
            <w:tcW w:w="3442" w:type="pct"/>
            <w:tcMar>
              <w:left w:w="0" w:type="dxa"/>
              <w:right w:w="0" w:type="dxa"/>
            </w:tcMar>
          </w:tcPr>
          <w:p w14:paraId="3BFCFFE9">
            <w:pPr>
              <w:rPr>
                <w:rFonts w:cs="Times New Roman" w:eastAsiaTheme="minorEastAsia"/>
              </w:rPr>
            </w:pPr>
            <w:r>
              <w:rPr>
                <w:rFonts w:hint="eastAsia" w:cs="Times New Roman" w:eastAsiaTheme="minorEastAsia"/>
              </w:rPr>
              <w:t>锚杆所承受的最大拉力（kN）</w:t>
            </w:r>
            <w:r>
              <w:rPr>
                <w:rFonts w:cs="Times New Roman" w:eastAsiaTheme="minorEastAsia"/>
              </w:rPr>
              <w:t>；</w:t>
            </w:r>
          </w:p>
        </w:tc>
      </w:tr>
      <w:tr w14:paraId="071DF881">
        <w:tblPrEx>
          <w:tblCellMar>
            <w:top w:w="0" w:type="dxa"/>
            <w:left w:w="108" w:type="dxa"/>
            <w:bottom w:w="0" w:type="dxa"/>
            <w:right w:w="108" w:type="dxa"/>
          </w:tblCellMar>
        </w:tblPrEx>
        <w:trPr>
          <w:trHeight w:val="571" w:hRule="exact"/>
        </w:trPr>
        <w:tc>
          <w:tcPr>
            <w:tcW w:w="572" w:type="pct"/>
            <w:vMerge w:val="restart"/>
            <w:tcMar>
              <w:left w:w="0" w:type="dxa"/>
              <w:right w:w="28" w:type="dxa"/>
            </w:tcMar>
          </w:tcPr>
          <w:p w14:paraId="3616EA9B">
            <w:pPr>
              <w:spacing w:line="530" w:lineRule="exact"/>
              <w:rPr>
                <w:rFonts w:cs="Times New Roman" w:eastAsiaTheme="minorEastAsia"/>
              </w:rPr>
            </w:pPr>
          </w:p>
        </w:tc>
        <w:tc>
          <w:tcPr>
            <w:tcW w:w="575" w:type="pct"/>
            <w:tcMar>
              <w:left w:w="0" w:type="dxa"/>
              <w:right w:w="28" w:type="dxa"/>
            </w:tcMar>
          </w:tcPr>
          <w:p w14:paraId="79325E1D">
            <w:pPr>
              <w:spacing w:line="530" w:lineRule="exact"/>
              <w:rPr>
                <w:rFonts w:cs="Times New Roman" w:eastAsiaTheme="minorEastAsia"/>
                <w:i/>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N</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t</m:t>
                    </m:r>
                    <m:ctrlPr>
                      <w:rPr>
                        <w:rFonts w:ascii="Cambria Math" w:hAnsi="Cambria Math" w:cs="Times New Roman" w:eastAsiaTheme="minorEastAsia"/>
                        <w:i/>
                        <w:vertAlign w:val="subscript"/>
                        <w:lang w:val="de-DE"/>
                      </w:rPr>
                    </m:ctrlPr>
                  </m:sub>
                </m:sSub>
              </m:oMath>
            </m:oMathPara>
          </w:p>
        </w:tc>
        <w:tc>
          <w:tcPr>
            <w:tcW w:w="411" w:type="pct"/>
            <w:tcMar>
              <w:left w:w="28" w:type="dxa"/>
              <w:right w:w="0" w:type="dxa"/>
            </w:tcMar>
          </w:tcPr>
          <w:p w14:paraId="2D8C17FF">
            <w:pPr>
              <w:rPr>
                <w:rFonts w:cs="Times New Roman" w:eastAsiaTheme="minorEastAsia"/>
                <w:lang w:val="de-DE"/>
              </w:rPr>
            </w:pPr>
            <w:r>
              <w:rPr>
                <w:rFonts w:cs="Times New Roman" w:eastAsiaTheme="minorEastAsia"/>
                <w:lang w:val="de-DE"/>
              </w:rPr>
              <w:t>——</w:t>
            </w:r>
          </w:p>
        </w:tc>
        <w:tc>
          <w:tcPr>
            <w:tcW w:w="3442" w:type="pct"/>
            <w:tcMar>
              <w:left w:w="0" w:type="dxa"/>
              <w:right w:w="0" w:type="dxa"/>
            </w:tcMar>
          </w:tcPr>
          <w:p w14:paraId="6A277770">
            <w:pPr>
              <w:rPr>
                <w:rFonts w:cs="Times New Roman" w:eastAsiaTheme="minorEastAsia"/>
              </w:rPr>
            </w:pPr>
            <w:r>
              <w:rPr>
                <w:rFonts w:hint="eastAsia" w:cs="Times New Roman" w:eastAsiaTheme="minorEastAsia"/>
              </w:rPr>
              <w:t>锚杆锚固力设计值（kN）</w:t>
            </w:r>
            <w:r>
              <w:rPr>
                <w:rFonts w:cs="Times New Roman" w:eastAsiaTheme="minorEastAsia"/>
              </w:rPr>
              <w:t>；</w:t>
            </w:r>
          </w:p>
        </w:tc>
      </w:tr>
      <w:tr w14:paraId="0B41454F">
        <w:tblPrEx>
          <w:tblCellMar>
            <w:top w:w="0" w:type="dxa"/>
            <w:left w:w="108" w:type="dxa"/>
            <w:bottom w:w="0" w:type="dxa"/>
            <w:right w:w="108" w:type="dxa"/>
          </w:tblCellMar>
        </w:tblPrEx>
        <w:trPr>
          <w:trHeight w:val="609" w:hRule="exact"/>
        </w:trPr>
        <w:tc>
          <w:tcPr>
            <w:tcW w:w="572" w:type="pct"/>
            <w:vMerge w:val="continue"/>
            <w:tcMar>
              <w:left w:w="0" w:type="dxa"/>
              <w:right w:w="28" w:type="dxa"/>
            </w:tcMar>
          </w:tcPr>
          <w:p w14:paraId="23D32729">
            <w:pPr>
              <w:rPr>
                <w:rFonts w:cs="Times New Roman" w:eastAsiaTheme="minorEastAsia"/>
              </w:rPr>
            </w:pPr>
          </w:p>
        </w:tc>
        <w:tc>
          <w:tcPr>
            <w:tcW w:w="575" w:type="pct"/>
            <w:tcMar>
              <w:left w:w="0" w:type="dxa"/>
              <w:right w:w="28" w:type="dxa"/>
            </w:tcMar>
            <w:vAlign w:val="center"/>
          </w:tcPr>
          <w:p w14:paraId="76920F81">
            <w:pPr>
              <w:spacing w:line="530" w:lineRule="exact"/>
              <w:rPr>
                <w:rFonts w:cs="Times New Roman" w:eastAsiaTheme="minorEastAsia"/>
                <w:i/>
                <w:vertAlign w:val="subscript"/>
                <w:lang w:val="de-DE"/>
              </w:rPr>
            </w:pPr>
            <m:oMathPara>
              <m:oMath>
                <m:r>
                  <m:rPr/>
                  <w:rPr>
                    <w:rFonts w:ascii="Cambria Math" w:hAnsi="Cambria Math" w:cs="Times New Roman" w:eastAsiaTheme="minorEastAsia"/>
                    <w:vertAlign w:val="subscript"/>
                    <w:lang w:val="de-DE"/>
                  </w:rPr>
                  <m:t>G</m:t>
                </m:r>
              </m:oMath>
            </m:oMathPara>
          </w:p>
        </w:tc>
        <w:tc>
          <w:tcPr>
            <w:tcW w:w="411" w:type="pct"/>
            <w:tcMar>
              <w:left w:w="28" w:type="dxa"/>
              <w:right w:w="0" w:type="dxa"/>
            </w:tcMar>
            <w:vAlign w:val="center"/>
          </w:tcPr>
          <w:p w14:paraId="5C69D03B">
            <w:pPr>
              <w:rPr>
                <w:rFonts w:cs="Times New Roman" w:eastAsiaTheme="minorEastAsia"/>
                <w:lang w:val="de-DE"/>
              </w:rPr>
            </w:pPr>
            <w:r>
              <w:rPr>
                <w:rFonts w:cs="Times New Roman" w:eastAsiaTheme="minorEastAsia"/>
                <w:lang w:val="de-DE"/>
              </w:rPr>
              <w:t>——</w:t>
            </w:r>
          </w:p>
        </w:tc>
        <w:tc>
          <w:tcPr>
            <w:tcW w:w="3442" w:type="pct"/>
            <w:tcMar>
              <w:left w:w="0" w:type="dxa"/>
              <w:right w:w="0" w:type="dxa"/>
            </w:tcMar>
            <w:vAlign w:val="center"/>
          </w:tcPr>
          <w:p w14:paraId="626657C0">
            <w:pPr>
              <w:rPr>
                <w:rFonts w:cs="Times New Roman" w:eastAsiaTheme="minorEastAsia"/>
              </w:rPr>
            </w:pPr>
            <w:r>
              <w:rPr>
                <w:rFonts w:hint="eastAsia" w:cs="Times New Roman" w:eastAsiaTheme="minorEastAsia"/>
              </w:rPr>
              <w:t>深部破裂面范围内土体重量（kN）</w:t>
            </w:r>
            <w:r>
              <w:rPr>
                <w:rFonts w:cs="Times New Roman" w:eastAsiaTheme="minorEastAsia"/>
              </w:rPr>
              <w:t>；</w:t>
            </w:r>
          </w:p>
        </w:tc>
      </w:tr>
      <w:tr w14:paraId="4A87766B">
        <w:tblPrEx>
          <w:tblCellMar>
            <w:top w:w="0" w:type="dxa"/>
            <w:left w:w="108" w:type="dxa"/>
            <w:bottom w:w="0" w:type="dxa"/>
            <w:right w:w="108" w:type="dxa"/>
          </w:tblCellMar>
        </w:tblPrEx>
        <w:trPr>
          <w:trHeight w:val="575" w:hRule="exact"/>
        </w:trPr>
        <w:tc>
          <w:tcPr>
            <w:tcW w:w="572" w:type="pct"/>
            <w:vMerge w:val="continue"/>
            <w:tcMar>
              <w:left w:w="0" w:type="dxa"/>
              <w:right w:w="28" w:type="dxa"/>
            </w:tcMar>
          </w:tcPr>
          <w:p w14:paraId="620C9208">
            <w:pPr>
              <w:rPr>
                <w:rFonts w:cs="Times New Roman" w:eastAsiaTheme="minorEastAsia"/>
              </w:rPr>
            </w:pPr>
          </w:p>
        </w:tc>
        <w:tc>
          <w:tcPr>
            <w:tcW w:w="575" w:type="pct"/>
            <w:tcMar>
              <w:left w:w="0" w:type="dxa"/>
              <w:right w:w="28" w:type="dxa"/>
            </w:tcMar>
          </w:tcPr>
          <w:p w14:paraId="174B2ECD">
            <w:pPr>
              <w:spacing w:line="530" w:lineRule="exact"/>
              <w:rPr>
                <w:rFonts w:cs="Times New Roman" w:eastAsiaTheme="minorEastAsia"/>
                <w:i/>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E</m:t>
                    </m:r>
                    <m:ctrlPr>
                      <w:rPr>
                        <w:rFonts w:ascii="Cambria Math" w:hAnsi="Cambria Math" w:cs="Times New Roman" w:eastAsiaTheme="minorEastAsia"/>
                        <w:i/>
                        <w:vertAlign w:val="subscript"/>
                        <w:lang w:val="de-DE"/>
                      </w:rPr>
                    </m:ctrlPr>
                  </m:e>
                  <m:sub>
                    <m:r>
                      <m:rPr/>
                      <w:rPr>
                        <w:rFonts w:hint="eastAsia" w:ascii="Cambria Math" w:hAnsi="Cambria Math" w:cs="Times New Roman" w:eastAsiaTheme="minorEastAsia"/>
                        <w:vertAlign w:val="subscript"/>
                        <w:lang w:val="de-DE"/>
                      </w:rPr>
                      <m:t>a</m:t>
                    </m:r>
                    <m:ctrlPr>
                      <w:rPr>
                        <w:rFonts w:ascii="Cambria Math" w:hAnsi="Cambria Math" w:cs="Times New Roman" w:eastAsiaTheme="minorEastAsia"/>
                        <w:i/>
                        <w:vertAlign w:val="subscript"/>
                        <w:lang w:val="de-DE"/>
                      </w:rPr>
                    </m:ctrlPr>
                  </m:sub>
                </m:sSub>
              </m:oMath>
            </m:oMathPara>
          </w:p>
        </w:tc>
        <w:tc>
          <w:tcPr>
            <w:tcW w:w="411" w:type="pct"/>
            <w:tcMar>
              <w:left w:w="28" w:type="dxa"/>
              <w:right w:w="0" w:type="dxa"/>
            </w:tcMar>
          </w:tcPr>
          <w:p w14:paraId="3A4F258C">
            <w:pPr>
              <w:rPr>
                <w:rFonts w:cs="Times New Roman" w:eastAsiaTheme="minorEastAsia"/>
              </w:rPr>
            </w:pPr>
            <w:r>
              <w:rPr>
                <w:rFonts w:cs="Times New Roman" w:eastAsiaTheme="minorEastAsia"/>
                <w:lang w:val="de-DE"/>
              </w:rPr>
              <w:t>——</w:t>
            </w:r>
          </w:p>
        </w:tc>
        <w:tc>
          <w:tcPr>
            <w:tcW w:w="3442" w:type="pct"/>
            <w:tcMar>
              <w:left w:w="0" w:type="dxa"/>
              <w:right w:w="0" w:type="dxa"/>
            </w:tcMar>
          </w:tcPr>
          <w:p w14:paraId="096032BF">
            <w:pPr>
              <w:rPr>
                <w:rFonts w:cs="Times New Roman" w:eastAsiaTheme="minorEastAsia"/>
              </w:rPr>
            </w:pPr>
            <w:r>
              <w:rPr>
                <w:rFonts w:hint="eastAsia" w:cs="Times New Roman" w:eastAsiaTheme="minorEastAsia"/>
              </w:rPr>
              <w:t>作用在基坑支护上的主动土压力的反力（kN）</w:t>
            </w:r>
            <w:r>
              <w:rPr>
                <w:rFonts w:cs="Times New Roman" w:eastAsiaTheme="minorEastAsia"/>
              </w:rPr>
              <w:t>；</w:t>
            </w:r>
          </w:p>
        </w:tc>
      </w:tr>
      <w:tr w14:paraId="05585FA7">
        <w:tblPrEx>
          <w:tblCellMar>
            <w:top w:w="0" w:type="dxa"/>
            <w:left w:w="108" w:type="dxa"/>
            <w:bottom w:w="0" w:type="dxa"/>
            <w:right w:w="108" w:type="dxa"/>
          </w:tblCellMar>
        </w:tblPrEx>
        <w:trPr>
          <w:trHeight w:val="555" w:hRule="exact"/>
        </w:trPr>
        <w:tc>
          <w:tcPr>
            <w:tcW w:w="572" w:type="pct"/>
            <w:vMerge w:val="continue"/>
            <w:tcMar>
              <w:left w:w="0" w:type="dxa"/>
              <w:right w:w="28" w:type="dxa"/>
            </w:tcMar>
          </w:tcPr>
          <w:p w14:paraId="49D6C714">
            <w:pPr>
              <w:rPr>
                <w:rFonts w:cs="Times New Roman" w:eastAsiaTheme="minorEastAsia"/>
              </w:rPr>
            </w:pPr>
          </w:p>
        </w:tc>
        <w:tc>
          <w:tcPr>
            <w:tcW w:w="575" w:type="pct"/>
            <w:tcMar>
              <w:left w:w="0" w:type="dxa"/>
              <w:right w:w="28" w:type="dxa"/>
            </w:tcMar>
            <w:vAlign w:val="center"/>
          </w:tcPr>
          <w:p w14:paraId="4FA02CCC">
            <w:pPr>
              <w:spacing w:line="530" w:lineRule="exact"/>
              <w:rPr>
                <w:rFonts w:cs="Times New Roman" w:eastAsiaTheme="minorEastAsia"/>
                <w:i/>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E</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1</m:t>
                    </m:r>
                    <m:ctrlPr>
                      <w:rPr>
                        <w:rFonts w:ascii="Cambria Math" w:hAnsi="Cambria Math" w:cs="Times New Roman" w:eastAsiaTheme="minorEastAsia"/>
                        <w:i/>
                        <w:vertAlign w:val="subscript"/>
                        <w:lang w:val="de-DE"/>
                      </w:rPr>
                    </m:ctrlPr>
                  </m:sub>
                </m:sSub>
              </m:oMath>
            </m:oMathPara>
          </w:p>
        </w:tc>
        <w:tc>
          <w:tcPr>
            <w:tcW w:w="411" w:type="pct"/>
            <w:tcMar>
              <w:left w:w="28" w:type="dxa"/>
              <w:right w:w="0" w:type="dxa"/>
            </w:tcMar>
            <w:vAlign w:val="center"/>
          </w:tcPr>
          <w:p w14:paraId="4EE3627A">
            <w:pPr>
              <w:rPr>
                <w:rFonts w:cs="Times New Roman" w:eastAsiaTheme="minorEastAsia"/>
              </w:rPr>
            </w:pPr>
            <w:r>
              <w:rPr>
                <w:rFonts w:cs="Times New Roman" w:eastAsiaTheme="minorEastAsia"/>
                <w:lang w:val="de-DE"/>
              </w:rPr>
              <w:t>——</w:t>
            </w:r>
          </w:p>
        </w:tc>
        <w:tc>
          <w:tcPr>
            <w:tcW w:w="3442" w:type="pct"/>
            <w:tcMar>
              <w:left w:w="0" w:type="dxa"/>
              <w:right w:w="0" w:type="dxa"/>
            </w:tcMar>
            <w:vAlign w:val="center"/>
          </w:tcPr>
          <w:p w14:paraId="0445D065">
            <w:pPr>
              <w:rPr>
                <w:rFonts w:cs="Times New Roman" w:eastAsiaTheme="minorEastAsia"/>
              </w:rPr>
            </w:pPr>
            <w:r>
              <w:rPr>
                <w:rFonts w:hint="eastAsia" w:cs="Times New Roman" w:eastAsiaTheme="minorEastAsia"/>
              </w:rPr>
              <w:t>作用在</w:t>
            </w:r>
            <w:r>
              <w:rPr>
                <w:rFonts w:hint="eastAsia" w:cs="Times New Roman" w:eastAsiaTheme="minorEastAsia"/>
                <w:i/>
                <w:iCs/>
              </w:rPr>
              <w:t>cd</w:t>
            </w:r>
            <w:r>
              <w:rPr>
                <w:rFonts w:hint="eastAsia" w:cs="Times New Roman" w:eastAsiaTheme="minorEastAsia"/>
              </w:rPr>
              <w:t>面上的主动土压力（kN）</w:t>
            </w:r>
            <w:r>
              <w:rPr>
                <w:rFonts w:cs="Times New Roman" w:eastAsiaTheme="minorEastAsia"/>
              </w:rPr>
              <w:t>；</w:t>
            </w:r>
          </w:p>
        </w:tc>
      </w:tr>
      <w:tr w14:paraId="08C1A503">
        <w:tblPrEx>
          <w:tblCellMar>
            <w:top w:w="0" w:type="dxa"/>
            <w:left w:w="108" w:type="dxa"/>
            <w:bottom w:w="0" w:type="dxa"/>
            <w:right w:w="108" w:type="dxa"/>
          </w:tblCellMar>
        </w:tblPrEx>
        <w:trPr>
          <w:trHeight w:val="555" w:hRule="exact"/>
        </w:trPr>
        <w:tc>
          <w:tcPr>
            <w:tcW w:w="572" w:type="pct"/>
            <w:vMerge w:val="continue"/>
            <w:tcMar>
              <w:left w:w="0" w:type="dxa"/>
              <w:right w:w="28" w:type="dxa"/>
            </w:tcMar>
          </w:tcPr>
          <w:p w14:paraId="2A5A3C8C">
            <w:pPr>
              <w:rPr>
                <w:rFonts w:cs="Times New Roman" w:eastAsiaTheme="minorEastAsia"/>
              </w:rPr>
            </w:pPr>
          </w:p>
        </w:tc>
        <w:tc>
          <w:tcPr>
            <w:tcW w:w="575" w:type="pct"/>
            <w:tcMar>
              <w:left w:w="0" w:type="dxa"/>
              <w:right w:w="28" w:type="dxa"/>
            </w:tcMar>
            <w:vAlign w:val="center"/>
          </w:tcPr>
          <w:p w14:paraId="62D18725">
            <w:pPr>
              <w:spacing w:line="530" w:lineRule="exact"/>
              <w:rPr>
                <w:rFonts w:cs="Times New Roman"/>
                <w:vertAlign w:val="subscript"/>
                <w:lang w:val="de-DE"/>
              </w:rPr>
            </w:pPr>
            <m:oMathPara>
              <m:oMath>
                <m:r>
                  <m:rPr/>
                  <w:rPr>
                    <w:rFonts w:ascii="Cambria Math" w:hAnsi="Cambria Math" w:cs="Times New Roman" w:eastAsiaTheme="minorEastAsia"/>
                    <w:vertAlign w:val="subscript"/>
                    <w:lang w:val="de-DE"/>
                  </w:rPr>
                  <m:t>F</m:t>
                </m:r>
              </m:oMath>
            </m:oMathPara>
          </w:p>
        </w:tc>
        <w:tc>
          <w:tcPr>
            <w:tcW w:w="411" w:type="pct"/>
            <w:tcMar>
              <w:left w:w="28" w:type="dxa"/>
              <w:right w:w="0" w:type="dxa"/>
            </w:tcMar>
            <w:vAlign w:val="center"/>
          </w:tcPr>
          <w:p w14:paraId="1B3A90CD">
            <w:pPr>
              <w:rPr>
                <w:rFonts w:cs="Times New Roman" w:eastAsiaTheme="minorEastAsia"/>
                <w:lang w:val="de-DE"/>
              </w:rPr>
            </w:pPr>
            <w:r>
              <w:rPr>
                <w:rFonts w:cs="Times New Roman" w:eastAsiaTheme="minorEastAsia"/>
                <w:lang w:val="de-DE"/>
              </w:rPr>
              <w:t>——</w:t>
            </w:r>
          </w:p>
        </w:tc>
        <w:tc>
          <w:tcPr>
            <w:tcW w:w="3442" w:type="pct"/>
            <w:tcMar>
              <w:left w:w="0" w:type="dxa"/>
              <w:right w:w="0" w:type="dxa"/>
            </w:tcMar>
            <w:vAlign w:val="center"/>
          </w:tcPr>
          <w:p w14:paraId="30D1D3B4">
            <w:pPr>
              <w:rPr>
                <w:rFonts w:cs="Times New Roman" w:eastAsiaTheme="minorEastAsia"/>
                <w:lang w:val="de-DE"/>
              </w:rPr>
            </w:pPr>
            <w:r>
              <w:rPr>
                <w:rFonts w:hint="eastAsia" w:cs="Times New Roman" w:eastAsiaTheme="minorEastAsia"/>
                <w:i/>
                <w:iCs/>
                <w:lang w:val="de-DE"/>
              </w:rPr>
              <w:t>bc</w:t>
            </w:r>
            <w:r>
              <w:rPr>
                <w:rFonts w:hint="eastAsia" w:cs="Times New Roman" w:eastAsiaTheme="minorEastAsia"/>
              </w:rPr>
              <w:t>面上的反力的合力</w:t>
            </w:r>
            <w:r>
              <w:rPr>
                <w:rFonts w:hint="eastAsia" w:cs="Times New Roman" w:eastAsiaTheme="minorEastAsia"/>
                <w:lang w:val="de-DE"/>
              </w:rPr>
              <w:t>（kN）</w:t>
            </w:r>
            <w:r>
              <w:rPr>
                <w:rFonts w:cs="Times New Roman" w:eastAsiaTheme="minorEastAsia"/>
                <w:lang w:val="de-DE"/>
              </w:rPr>
              <w:t>；</w:t>
            </w:r>
          </w:p>
          <w:p w14:paraId="7CB361F3">
            <w:pPr>
              <w:rPr>
                <w:rFonts w:cs="Times New Roman" w:eastAsiaTheme="minorEastAsia"/>
                <w:lang w:val="de-DE"/>
              </w:rPr>
            </w:pPr>
          </w:p>
        </w:tc>
      </w:tr>
      <w:tr w14:paraId="0E26157F">
        <w:tblPrEx>
          <w:tblCellMar>
            <w:top w:w="0" w:type="dxa"/>
            <w:left w:w="108" w:type="dxa"/>
            <w:bottom w:w="0" w:type="dxa"/>
            <w:right w:w="108" w:type="dxa"/>
          </w:tblCellMar>
        </w:tblPrEx>
        <w:trPr>
          <w:trHeight w:val="541" w:hRule="exact"/>
        </w:trPr>
        <w:tc>
          <w:tcPr>
            <w:tcW w:w="572" w:type="pct"/>
            <w:vMerge w:val="continue"/>
            <w:tcMar>
              <w:left w:w="0" w:type="dxa"/>
              <w:right w:w="28" w:type="dxa"/>
            </w:tcMar>
          </w:tcPr>
          <w:p w14:paraId="07E40FC7">
            <w:pPr>
              <w:rPr>
                <w:rFonts w:cs="Times New Roman" w:eastAsiaTheme="minorEastAsia"/>
                <w:lang w:val="de-DE"/>
              </w:rPr>
            </w:pPr>
          </w:p>
        </w:tc>
        <w:tc>
          <w:tcPr>
            <w:tcW w:w="575" w:type="pct"/>
            <w:tcMar>
              <w:left w:w="0" w:type="dxa"/>
              <w:right w:w="28" w:type="dxa"/>
            </w:tcMar>
            <w:vAlign w:val="center"/>
          </w:tcPr>
          <w:p w14:paraId="118D6459">
            <w:pPr>
              <w:spacing w:line="530" w:lineRule="exact"/>
              <w:rPr>
                <w:rFonts w:cs="Times New Roman"/>
                <w:vertAlign w:val="subscript"/>
                <w:lang w:val="de-DE"/>
              </w:rPr>
            </w:pPr>
            <m:oMathPara>
              <m:oMath>
                <m:r>
                  <m:rPr/>
                  <w:rPr>
                    <w:rFonts w:ascii="Cambria Math" w:hAnsi="Cambria Math" w:cs="Times New Roman" w:eastAsiaTheme="minorEastAsia"/>
                    <w:vertAlign w:val="subscript"/>
                    <w:lang w:val="de-DE"/>
                  </w:rPr>
                  <m:t>φ</m:t>
                </m:r>
              </m:oMath>
            </m:oMathPara>
          </w:p>
        </w:tc>
        <w:tc>
          <w:tcPr>
            <w:tcW w:w="411" w:type="pct"/>
            <w:tcMar>
              <w:left w:w="28" w:type="dxa"/>
              <w:right w:w="0" w:type="dxa"/>
            </w:tcMar>
            <w:vAlign w:val="center"/>
          </w:tcPr>
          <w:p w14:paraId="784F64B3">
            <w:pPr>
              <w:rPr>
                <w:rFonts w:cs="Times New Roman" w:eastAsiaTheme="minorEastAsia"/>
                <w:lang w:val="de-DE"/>
              </w:rPr>
            </w:pPr>
            <w:r>
              <w:rPr>
                <w:rFonts w:cs="Times New Roman" w:eastAsiaTheme="minorEastAsia"/>
                <w:lang w:val="de-DE"/>
              </w:rPr>
              <w:t>——</w:t>
            </w:r>
          </w:p>
        </w:tc>
        <w:tc>
          <w:tcPr>
            <w:tcW w:w="3442" w:type="pct"/>
            <w:tcMar>
              <w:left w:w="0" w:type="dxa"/>
              <w:right w:w="0" w:type="dxa"/>
            </w:tcMar>
            <w:vAlign w:val="center"/>
          </w:tcPr>
          <w:p w14:paraId="18D713FA">
            <w:pPr>
              <w:rPr>
                <w:rFonts w:cs="Times New Roman" w:eastAsiaTheme="minorEastAsia"/>
              </w:rPr>
            </w:pPr>
            <w:r>
              <w:rPr>
                <w:rFonts w:hint="eastAsia" w:cs="Times New Roman" w:eastAsiaTheme="minorEastAsia"/>
              </w:rPr>
              <w:t>土的内摩擦角（°）</w:t>
            </w:r>
            <w:r>
              <w:rPr>
                <w:rFonts w:cs="Times New Roman" w:eastAsiaTheme="minorEastAsia"/>
              </w:rPr>
              <w:t>；</w:t>
            </w:r>
          </w:p>
        </w:tc>
      </w:tr>
      <w:tr w14:paraId="7FD3E055">
        <w:tblPrEx>
          <w:tblCellMar>
            <w:top w:w="0" w:type="dxa"/>
            <w:left w:w="108" w:type="dxa"/>
            <w:bottom w:w="0" w:type="dxa"/>
            <w:right w:w="108" w:type="dxa"/>
          </w:tblCellMar>
        </w:tblPrEx>
        <w:trPr>
          <w:trHeight w:val="555" w:hRule="exact"/>
        </w:trPr>
        <w:tc>
          <w:tcPr>
            <w:tcW w:w="572" w:type="pct"/>
            <w:vMerge w:val="continue"/>
            <w:tcMar>
              <w:left w:w="0" w:type="dxa"/>
              <w:right w:w="28" w:type="dxa"/>
            </w:tcMar>
          </w:tcPr>
          <w:p w14:paraId="66135B09">
            <w:pPr>
              <w:rPr>
                <w:rFonts w:cs="Times New Roman" w:eastAsiaTheme="minorEastAsia"/>
              </w:rPr>
            </w:pPr>
          </w:p>
        </w:tc>
        <w:tc>
          <w:tcPr>
            <w:tcW w:w="575" w:type="pct"/>
            <w:tcMar>
              <w:left w:w="0" w:type="dxa"/>
              <w:right w:w="28" w:type="dxa"/>
            </w:tcMar>
            <w:vAlign w:val="center"/>
          </w:tcPr>
          <w:p w14:paraId="64C47D70">
            <w:pPr>
              <w:spacing w:line="530" w:lineRule="exact"/>
              <w:rPr>
                <w:rFonts w:cs="Times New Roman"/>
                <w:vertAlign w:val="subscript"/>
                <w:lang w:val="de-DE"/>
              </w:rPr>
            </w:pPr>
            <m:oMathPara>
              <m:oMath>
                <m:r>
                  <m:rPr/>
                  <w:rPr>
                    <w:rFonts w:ascii="Cambria Math" w:hAnsi="Cambria Math" w:cs="Times New Roman" w:eastAsiaTheme="minorEastAsia"/>
                    <w:vertAlign w:val="subscript"/>
                    <w:lang w:val="de-DE"/>
                  </w:rPr>
                  <m:t>δ</m:t>
                </m:r>
              </m:oMath>
            </m:oMathPara>
          </w:p>
        </w:tc>
        <w:tc>
          <w:tcPr>
            <w:tcW w:w="411" w:type="pct"/>
            <w:tcMar>
              <w:left w:w="28" w:type="dxa"/>
              <w:right w:w="0" w:type="dxa"/>
            </w:tcMar>
            <w:vAlign w:val="center"/>
          </w:tcPr>
          <w:p w14:paraId="610D1E68">
            <w:pPr>
              <w:rPr>
                <w:rFonts w:cs="Times New Roman" w:eastAsiaTheme="minorEastAsia"/>
                <w:lang w:val="de-DE"/>
              </w:rPr>
            </w:pPr>
            <w:r>
              <w:rPr>
                <w:rFonts w:cs="Times New Roman" w:eastAsiaTheme="minorEastAsia"/>
                <w:lang w:val="de-DE"/>
              </w:rPr>
              <w:t>——</w:t>
            </w:r>
          </w:p>
        </w:tc>
        <w:tc>
          <w:tcPr>
            <w:tcW w:w="3442" w:type="pct"/>
            <w:tcMar>
              <w:left w:w="0" w:type="dxa"/>
              <w:right w:w="0" w:type="dxa"/>
            </w:tcMar>
            <w:vAlign w:val="center"/>
          </w:tcPr>
          <w:p w14:paraId="4F546B20">
            <w:pPr>
              <w:rPr>
                <w:rFonts w:cs="Times New Roman" w:eastAsiaTheme="minorEastAsia"/>
              </w:rPr>
            </w:pPr>
            <w:r>
              <w:rPr>
                <w:rFonts w:hint="eastAsia" w:cs="Times New Roman" w:eastAsiaTheme="minorEastAsia"/>
              </w:rPr>
              <w:t>基坑支护与土体间的摩擦角（°）</w:t>
            </w:r>
            <w:r>
              <w:rPr>
                <w:rFonts w:cs="Times New Roman" w:eastAsiaTheme="minorEastAsia"/>
              </w:rPr>
              <w:t>；</w:t>
            </w:r>
          </w:p>
          <w:p w14:paraId="749E8150">
            <w:pPr>
              <w:rPr>
                <w:rFonts w:cs="Times New Roman" w:eastAsiaTheme="minorEastAsia"/>
              </w:rPr>
            </w:pPr>
          </w:p>
        </w:tc>
      </w:tr>
      <w:tr w14:paraId="40ECDB9F">
        <w:tblPrEx>
          <w:tblCellMar>
            <w:top w:w="0" w:type="dxa"/>
            <w:left w:w="108" w:type="dxa"/>
            <w:bottom w:w="0" w:type="dxa"/>
            <w:right w:w="108" w:type="dxa"/>
          </w:tblCellMar>
        </w:tblPrEx>
        <w:trPr>
          <w:trHeight w:val="585" w:hRule="exact"/>
        </w:trPr>
        <w:tc>
          <w:tcPr>
            <w:tcW w:w="572" w:type="pct"/>
            <w:vMerge w:val="continue"/>
            <w:tcMar>
              <w:left w:w="0" w:type="dxa"/>
              <w:right w:w="28" w:type="dxa"/>
            </w:tcMar>
          </w:tcPr>
          <w:p w14:paraId="7E5209E5">
            <w:pPr>
              <w:rPr>
                <w:rFonts w:cs="Times New Roman" w:eastAsiaTheme="minorEastAsia"/>
              </w:rPr>
            </w:pPr>
          </w:p>
        </w:tc>
        <w:tc>
          <w:tcPr>
            <w:tcW w:w="575" w:type="pct"/>
            <w:tcMar>
              <w:left w:w="0" w:type="dxa"/>
              <w:right w:w="28" w:type="dxa"/>
            </w:tcMar>
            <w:vAlign w:val="center"/>
          </w:tcPr>
          <w:p w14:paraId="2C52A17C">
            <w:pPr>
              <w:spacing w:line="500" w:lineRule="exact"/>
              <w:rPr>
                <w:rFonts w:cs="Times New Roman" w:eastAsiaTheme="minorEastAsia"/>
                <w:i/>
              </w:rPr>
            </w:pPr>
            <m:oMathPara>
              <m:oMath>
                <m:r>
                  <m:rPr/>
                  <w:rPr>
                    <w:rFonts w:ascii="Cambria Math" w:hAnsi="Cambria Math" w:cs="Times New Roman" w:eastAsiaTheme="minorEastAsia"/>
                    <w:vertAlign w:val="subscript"/>
                    <w:lang w:val="de-DE"/>
                  </w:rPr>
                  <m:t>θ</m:t>
                </m:r>
              </m:oMath>
            </m:oMathPara>
          </w:p>
        </w:tc>
        <w:tc>
          <w:tcPr>
            <w:tcW w:w="411" w:type="pct"/>
            <w:tcMar>
              <w:left w:w="28" w:type="dxa"/>
              <w:right w:w="0" w:type="dxa"/>
            </w:tcMar>
            <w:vAlign w:val="center"/>
          </w:tcPr>
          <w:p w14:paraId="7909DF4B">
            <w:pPr>
              <w:rPr>
                <w:rFonts w:cs="Times New Roman" w:eastAsiaTheme="minorEastAsia"/>
              </w:rPr>
            </w:pPr>
            <w:r>
              <w:rPr>
                <w:rFonts w:cs="Times New Roman" w:eastAsiaTheme="minorEastAsia"/>
                <w:lang w:val="de-DE"/>
              </w:rPr>
              <w:t>——</w:t>
            </w:r>
          </w:p>
        </w:tc>
        <w:tc>
          <w:tcPr>
            <w:tcW w:w="3442" w:type="pct"/>
            <w:tcMar>
              <w:left w:w="0" w:type="dxa"/>
              <w:right w:w="0" w:type="dxa"/>
            </w:tcMar>
            <w:vAlign w:val="center"/>
          </w:tcPr>
          <w:p w14:paraId="0AC84ADE">
            <w:pPr>
              <w:rPr>
                <w:rFonts w:cs="Times New Roman" w:eastAsiaTheme="minorEastAsia"/>
              </w:rPr>
            </w:pPr>
            <w:r>
              <w:rPr>
                <w:rFonts w:hint="eastAsia" w:cs="Times New Roman" w:eastAsiaTheme="minorEastAsia"/>
              </w:rPr>
              <w:t>深部破裂面与水平的交角（°）</w:t>
            </w:r>
            <w:r>
              <w:rPr>
                <w:rFonts w:cs="Times New Roman" w:eastAsiaTheme="minorEastAsia"/>
              </w:rPr>
              <w:t>；</w:t>
            </w:r>
          </w:p>
        </w:tc>
      </w:tr>
      <w:tr w14:paraId="64A79494">
        <w:tblPrEx>
          <w:tblCellMar>
            <w:top w:w="0" w:type="dxa"/>
            <w:left w:w="108" w:type="dxa"/>
            <w:bottom w:w="0" w:type="dxa"/>
            <w:right w:w="108" w:type="dxa"/>
          </w:tblCellMar>
        </w:tblPrEx>
        <w:trPr>
          <w:trHeight w:val="585" w:hRule="exact"/>
        </w:trPr>
        <w:tc>
          <w:tcPr>
            <w:tcW w:w="572" w:type="pct"/>
            <w:tcMar>
              <w:left w:w="0" w:type="dxa"/>
              <w:right w:w="28" w:type="dxa"/>
            </w:tcMar>
          </w:tcPr>
          <w:p w14:paraId="7D88F152">
            <w:pPr>
              <w:rPr>
                <w:rFonts w:cs="Times New Roman" w:eastAsiaTheme="minorEastAsia"/>
              </w:rPr>
            </w:pPr>
          </w:p>
        </w:tc>
        <w:tc>
          <w:tcPr>
            <w:tcW w:w="575" w:type="pct"/>
            <w:tcMar>
              <w:left w:w="0" w:type="dxa"/>
              <w:right w:w="28" w:type="dxa"/>
            </w:tcMar>
            <w:vAlign w:val="center"/>
          </w:tcPr>
          <w:p w14:paraId="099ECFA7">
            <w:pPr>
              <w:spacing w:line="500" w:lineRule="exact"/>
              <w:rPr>
                <w:rFonts w:cs="Times New Roman"/>
                <w:vertAlign w:val="subscript"/>
                <w:lang w:val="de-DE"/>
              </w:rPr>
            </w:pPr>
            <m:oMathPara>
              <m:oMath>
                <m:r>
                  <m:rPr/>
                  <w:rPr>
                    <w:rFonts w:ascii="Cambria Math" w:hAnsi="Cambria Math" w:cs="Times New Roman" w:eastAsiaTheme="minorEastAsia"/>
                    <w:vertAlign w:val="subscript"/>
                    <w:lang w:val="de-DE"/>
                  </w:rPr>
                  <m:t>α</m:t>
                </m:r>
              </m:oMath>
            </m:oMathPara>
          </w:p>
        </w:tc>
        <w:tc>
          <w:tcPr>
            <w:tcW w:w="411" w:type="pct"/>
            <w:tcMar>
              <w:left w:w="28" w:type="dxa"/>
              <w:right w:w="0" w:type="dxa"/>
            </w:tcMar>
            <w:vAlign w:val="center"/>
          </w:tcPr>
          <w:p w14:paraId="2C90ECB2">
            <w:pPr>
              <w:rPr>
                <w:rFonts w:cs="Times New Roman" w:eastAsiaTheme="minorEastAsia"/>
                <w:lang w:val="de-DE"/>
              </w:rPr>
            </w:pPr>
            <w:r>
              <w:rPr>
                <w:rFonts w:cs="Times New Roman" w:eastAsiaTheme="minorEastAsia"/>
                <w:lang w:val="de-DE"/>
              </w:rPr>
              <w:t>——</w:t>
            </w:r>
          </w:p>
        </w:tc>
        <w:tc>
          <w:tcPr>
            <w:tcW w:w="3442" w:type="pct"/>
            <w:tcMar>
              <w:left w:w="0" w:type="dxa"/>
              <w:right w:w="0" w:type="dxa"/>
            </w:tcMar>
            <w:vAlign w:val="center"/>
          </w:tcPr>
          <w:p w14:paraId="4ED536E3">
            <w:pPr>
              <w:rPr>
                <w:rFonts w:cs="Times New Roman" w:eastAsiaTheme="minorEastAsia"/>
                <w:lang w:val="de-DE"/>
              </w:rPr>
            </w:pPr>
            <w:r>
              <w:rPr>
                <w:rFonts w:hint="eastAsia" w:cs="Times New Roman" w:eastAsiaTheme="minorEastAsia"/>
              </w:rPr>
              <w:t>锚杆倾角（°）</w:t>
            </w:r>
            <w:r>
              <w:rPr>
                <w:rFonts w:cs="Times New Roman" w:eastAsiaTheme="minorEastAsia"/>
                <w:lang w:val="de-DE"/>
              </w:rPr>
              <w:t>；</w:t>
            </w:r>
          </w:p>
        </w:tc>
      </w:tr>
    </w:tbl>
    <w:p w14:paraId="7D24DBD6">
      <w:pPr>
        <w:ind w:firstLine="840" w:firstLineChars="350"/>
        <w:rPr>
          <w:rFonts w:cs="Times New Roman" w:eastAsiaTheme="minorEastAsia"/>
        </w:rPr>
      </w:pPr>
      <w:r>
        <w:rPr>
          <w:rFonts w:cs="Times New Roman" w:eastAsiaTheme="minorEastAsia"/>
        </w:rPr>
        <w:t>2）多层锚杆稳定性验算可按下式计算：</w:t>
      </w:r>
    </w:p>
    <w:p w14:paraId="73C3DCBB">
      <w:pPr>
        <w:jc w:val="center"/>
        <w:rPr>
          <w:rFonts w:cs="Times New Roman" w:eastAsiaTheme="minorEastAsia"/>
        </w:rPr>
      </w:pPr>
      <w:r>
        <w:rPr>
          <w:rFonts w:cs="Times New Roman"/>
        </w:rPr>
        <w:drawing>
          <wp:inline distT="0" distB="0" distL="0" distR="0">
            <wp:extent cx="3188970" cy="1524000"/>
            <wp:effectExtent l="0" t="0" r="0" b="0"/>
            <wp:docPr id="4341835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83517" name="图片 1"/>
                    <pic:cNvPicPr>
                      <a:picLocks noChangeAspect="1"/>
                    </pic:cNvPicPr>
                  </pic:nvPicPr>
                  <pic:blipFill>
                    <a:blip r:embed="rId14">
                      <a:extLst>
                        <a:ext uri="{28A0092B-C50C-407E-A947-70E740481C1C}">
                          <a14:useLocalDpi xmlns:a14="http://schemas.microsoft.com/office/drawing/2010/main" val="0"/>
                        </a:ext>
                      </a:extLst>
                    </a:blip>
                    <a:srcRect b="25177"/>
                    <a:stretch>
                      <a:fillRect/>
                    </a:stretch>
                  </pic:blipFill>
                  <pic:spPr>
                    <a:xfrm>
                      <a:off x="0" y="0"/>
                      <a:ext cx="3225125" cy="1541730"/>
                    </a:xfrm>
                    <a:prstGeom prst="rect">
                      <a:avLst/>
                    </a:prstGeom>
                    <a:ln>
                      <a:noFill/>
                    </a:ln>
                  </pic:spPr>
                </pic:pic>
              </a:graphicData>
            </a:graphic>
          </wp:inline>
        </w:drawing>
      </w:r>
    </w:p>
    <w:p w14:paraId="72DD97F3">
      <w:pPr>
        <w:jc w:val="center"/>
        <w:rPr>
          <w:rFonts w:cs="Times New Roman" w:eastAsiaTheme="minorEastAsia"/>
        </w:rPr>
      </w:pPr>
      <w:r>
        <w:rPr>
          <w:rFonts w:cs="Times New Roman" w:eastAsiaTheme="minorEastAsia"/>
        </w:rPr>
        <w:t>图5.2.11</w:t>
      </w:r>
      <w:r>
        <w:rPr>
          <w:rFonts w:hint="eastAsia" w:cs="Times New Roman" w:eastAsiaTheme="minorEastAsia"/>
        </w:rPr>
        <w:t>-3</w:t>
      </w:r>
      <w:r>
        <w:rPr>
          <w:rFonts w:cs="Times New Roman" w:eastAsiaTheme="minorEastAsia"/>
        </w:rPr>
        <w:t xml:space="preserve">  </w:t>
      </w:r>
      <w:r>
        <w:rPr>
          <w:rFonts w:hint="eastAsia" w:cs="Times New Roman" w:eastAsiaTheme="minorEastAsia"/>
        </w:rPr>
        <w:t>多层锚杆深部破裂的稳定性验算</w:t>
      </w:r>
    </w:p>
    <w:tbl>
      <w:tblPr>
        <w:tblStyle w:val="1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91"/>
        <w:gridCol w:w="1970"/>
      </w:tblGrid>
      <w:tr w14:paraId="133D4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43" w:hRule="atLeast"/>
        </w:trPr>
        <w:tc>
          <w:tcPr>
            <w:tcW w:w="3913" w:type="pct"/>
            <w:vAlign w:val="center"/>
          </w:tcPr>
          <w:p w14:paraId="008B3BB3">
            <w:pPr>
              <w:jc w:val="right"/>
              <w:rPr>
                <w:rFonts w:cs="Times New Roman" w:eastAsiaTheme="minorEastAsia"/>
              </w:rPr>
            </w:pPr>
            <m:oMathPara>
              <m:oMathParaPr>
                <m:jc m:val="center"/>
              </m:oMathParaPr>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s</m:t>
                    </m:r>
                    <m:r>
                      <m:rPr>
                        <m:sty m:val="p"/>
                      </m:rPr>
                      <w:rPr>
                        <w:rFonts w:ascii="Cambria Math" w:hAnsi="Cambria Math" w:cs="Times New Roman" w:eastAsiaTheme="minorEastAsia"/>
                        <w:vertAlign w:val="subscript"/>
                        <w:lang w:val="de-DE"/>
                      </w:rPr>
                      <m:t>(bc)</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f>
                  <m:fPr>
                    <m:ctrlPr>
                      <w:rPr>
                        <w:rFonts w:ascii="Cambria Math" w:hAnsi="Cambria Math" w:cs="Times New Roman" w:eastAsiaTheme="minorEastAsia"/>
                        <w:i/>
                        <w:vertAlign w:val="subscript"/>
                        <w:lang w:val="de-DE"/>
                      </w:rPr>
                    </m:ctrlPr>
                  </m:fPr>
                  <m:num>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R</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t(bc)max</m:t>
                        </m:r>
                        <m:ctrlPr>
                          <w:rPr>
                            <w:rFonts w:ascii="Cambria Math" w:hAnsi="Cambria Math" w:cs="Times New Roman" w:eastAsiaTheme="minorEastAsia"/>
                            <w:i/>
                            <w:vertAlign w:val="subscript"/>
                            <w:lang w:val="de-DE"/>
                          </w:rPr>
                        </m:ctrlPr>
                      </m:sub>
                    </m:sSub>
                    <m:ctrlPr>
                      <w:rPr>
                        <w:rFonts w:ascii="Cambria Math" w:hAnsi="Cambria Math" w:cs="Times New Roman" w:eastAsiaTheme="minorEastAsia"/>
                        <w:i/>
                        <w:vertAlign w:val="subscript"/>
                        <w:lang w:val="de-DE"/>
                      </w:rPr>
                    </m:ctrlPr>
                  </m:num>
                  <m:den>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N</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t</m:t>
                        </m:r>
                        <m:ctrlPr>
                          <w:rPr>
                            <w:rFonts w:ascii="Cambria Math" w:hAnsi="Cambria Math" w:cs="Times New Roman" w:eastAsiaTheme="minorEastAsia"/>
                            <w:i/>
                            <w:vertAlign w:val="subscript"/>
                            <w:lang w:val="de-DE"/>
                          </w:rPr>
                        </m:ctrlPr>
                      </m:sub>
                    </m:sSub>
                    <m:ctrlPr>
                      <w:rPr>
                        <w:rFonts w:ascii="Cambria Math" w:hAnsi="Cambria Math" w:cs="Times New Roman" w:eastAsiaTheme="minorEastAsia"/>
                        <w:i/>
                        <w:vertAlign w:val="subscript"/>
                        <w:lang w:val="de-DE"/>
                      </w:rPr>
                    </m:ctrlPr>
                  </m:den>
                </m:f>
                <m:r>
                  <m:rPr/>
                  <w:rPr>
                    <w:rFonts w:ascii="Cambria Math" w:hAnsi="Cambria Math" w:cs="Times New Roman" w:eastAsiaTheme="minorEastAsia"/>
                    <w:vertAlign w:val="subscript"/>
                    <w:lang w:val="de-DE"/>
                  </w:rPr>
                  <m:t>≥1.5</m:t>
                </m:r>
              </m:oMath>
            </m:oMathPara>
          </w:p>
        </w:tc>
        <w:tc>
          <w:tcPr>
            <w:tcW w:w="1087" w:type="pct"/>
            <w:vAlign w:val="center"/>
          </w:tcPr>
          <w:p w14:paraId="787DF56D">
            <w:pPr>
              <w:jc w:val="center"/>
              <w:rPr>
                <w:rFonts w:cs="Times New Roman" w:eastAsiaTheme="minorEastAsia"/>
              </w:rPr>
            </w:pPr>
            <w:r>
              <w:rPr>
                <w:rFonts w:cs="Times New Roman" w:eastAsiaTheme="minorEastAsia"/>
              </w:rPr>
              <w:t>（5.2.1</w:t>
            </w:r>
            <w:r>
              <w:rPr>
                <w:rFonts w:hint="eastAsia" w:cs="Times New Roman" w:eastAsiaTheme="minorEastAsia"/>
              </w:rPr>
              <w:t>0</w:t>
            </w:r>
            <w:r>
              <w:rPr>
                <w:rFonts w:cs="Times New Roman" w:eastAsiaTheme="minorEastAsia"/>
              </w:rPr>
              <w:t>-4）</w:t>
            </w:r>
          </w:p>
        </w:tc>
      </w:tr>
      <w:tr w14:paraId="5162C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3913" w:type="pct"/>
            <w:vAlign w:val="center"/>
          </w:tcPr>
          <w:p w14:paraId="4A40118E">
            <w:pPr>
              <w:jc w:val="right"/>
              <w:rPr>
                <w:rFonts w:cs="Times New Roman"/>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s</m:t>
                    </m:r>
                    <m:r>
                      <m:rPr>
                        <m:sty m:val="p"/>
                      </m:rPr>
                      <w:rPr>
                        <w:rFonts w:ascii="Cambria Math" w:hAnsi="Cambria Math" w:cs="Times New Roman" w:eastAsiaTheme="minorEastAsia"/>
                        <w:vertAlign w:val="subscript"/>
                        <w:lang w:val="de-DE"/>
                      </w:rPr>
                      <m:t>(be)</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f>
                  <m:fPr>
                    <m:ctrlPr>
                      <w:rPr>
                        <w:rFonts w:ascii="Cambria Math" w:hAnsi="Cambria Math" w:cs="Times New Roman" w:eastAsiaTheme="minorEastAsia"/>
                        <w:i/>
                        <w:vertAlign w:val="subscript"/>
                        <w:lang w:val="de-DE"/>
                      </w:rPr>
                    </m:ctrlPr>
                  </m:fPr>
                  <m:num>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R</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t(be)max</m:t>
                        </m:r>
                        <m:ctrlPr>
                          <w:rPr>
                            <w:rFonts w:ascii="Cambria Math" w:hAnsi="Cambria Math" w:cs="Times New Roman" w:eastAsiaTheme="minorEastAsia"/>
                            <w:i/>
                            <w:vertAlign w:val="subscript"/>
                            <w:lang w:val="de-DE"/>
                          </w:rPr>
                        </m:ctrlPr>
                      </m:sub>
                    </m:sSub>
                    <m:ctrlPr>
                      <w:rPr>
                        <w:rFonts w:ascii="Cambria Math" w:hAnsi="Cambria Math" w:cs="Times New Roman" w:eastAsiaTheme="minorEastAsia"/>
                        <w:i/>
                        <w:vertAlign w:val="subscript"/>
                        <w:lang w:val="de-DE"/>
                      </w:rPr>
                    </m:ctrlPr>
                  </m:num>
                  <m:den>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N</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t</m:t>
                        </m:r>
                        <m:ctrlPr>
                          <w:rPr>
                            <w:rFonts w:ascii="Cambria Math" w:hAnsi="Cambria Math" w:cs="Times New Roman" w:eastAsiaTheme="minorEastAsia"/>
                            <w:i/>
                            <w:vertAlign w:val="subscript"/>
                            <w:lang w:val="de-DE"/>
                          </w:rPr>
                        </m:ctrlPr>
                      </m:sub>
                    </m:sSub>
                    <m:ctrlPr>
                      <w:rPr>
                        <w:rFonts w:ascii="Cambria Math" w:hAnsi="Cambria Math" w:cs="Times New Roman" w:eastAsiaTheme="minorEastAsia"/>
                        <w:i/>
                        <w:vertAlign w:val="subscript"/>
                        <w:lang w:val="de-DE"/>
                      </w:rPr>
                    </m:ctrlPr>
                  </m:den>
                </m:f>
                <m:r>
                  <m:rPr/>
                  <w:rPr>
                    <w:rFonts w:ascii="Cambria Math" w:hAnsi="Cambria Math" w:cs="Times New Roman" w:eastAsiaTheme="minorEastAsia"/>
                    <w:vertAlign w:val="subscript"/>
                    <w:lang w:val="de-DE"/>
                  </w:rPr>
                  <m:t>≥1.5</m:t>
                </m:r>
              </m:oMath>
            </m:oMathPara>
          </w:p>
        </w:tc>
        <w:tc>
          <w:tcPr>
            <w:tcW w:w="1087" w:type="pct"/>
            <w:vAlign w:val="center"/>
          </w:tcPr>
          <w:p w14:paraId="16EE5C97">
            <w:pPr>
              <w:jc w:val="center"/>
              <w:rPr>
                <w:rFonts w:cs="Times New Roman" w:eastAsiaTheme="minorEastAsia"/>
              </w:rPr>
            </w:pPr>
            <w:r>
              <w:rPr>
                <w:rFonts w:cs="Times New Roman" w:eastAsiaTheme="minorEastAsia"/>
              </w:rPr>
              <w:t>（5.2.1</w:t>
            </w:r>
            <w:r>
              <w:rPr>
                <w:rFonts w:hint="eastAsia" w:cs="Times New Roman" w:eastAsiaTheme="minorEastAsia"/>
              </w:rPr>
              <w:t>0</w:t>
            </w:r>
            <w:r>
              <w:rPr>
                <w:rFonts w:cs="Times New Roman" w:eastAsiaTheme="minorEastAsia"/>
              </w:rPr>
              <w:t>-5）</w:t>
            </w:r>
          </w:p>
        </w:tc>
      </w:tr>
      <w:tr w14:paraId="01C41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3913" w:type="pct"/>
            <w:vAlign w:val="center"/>
          </w:tcPr>
          <w:p w14:paraId="5B4F316D">
            <w:pPr>
              <w:jc w:val="right"/>
              <w:rPr>
                <w:rFonts w:cs="Times New Roman"/>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s</m:t>
                    </m:r>
                    <m:r>
                      <m:rPr>
                        <m:sty m:val="p"/>
                      </m:rPr>
                      <w:rPr>
                        <w:rFonts w:ascii="Cambria Math" w:hAnsi="Cambria Math" w:cs="Times New Roman" w:eastAsiaTheme="minorEastAsia"/>
                        <w:vertAlign w:val="subscript"/>
                        <w:lang w:val="de-DE"/>
                      </w:rPr>
                      <m:t>(bec)</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f>
                  <m:fPr>
                    <m:ctrlPr>
                      <w:rPr>
                        <w:rFonts w:ascii="Cambria Math" w:hAnsi="Cambria Math" w:cs="Times New Roman" w:eastAsiaTheme="minorEastAsia"/>
                        <w:i/>
                        <w:vertAlign w:val="subscript"/>
                        <w:lang w:val="de-DE"/>
                      </w:rPr>
                    </m:ctrlPr>
                  </m:fPr>
                  <m:num>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R</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t(bec)max</m:t>
                        </m:r>
                        <m:ctrlPr>
                          <w:rPr>
                            <w:rFonts w:ascii="Cambria Math" w:hAnsi="Cambria Math" w:cs="Times New Roman" w:eastAsiaTheme="minorEastAsia"/>
                            <w:i/>
                            <w:vertAlign w:val="subscript"/>
                            <w:lang w:val="de-DE"/>
                          </w:rPr>
                        </m:ctrlPr>
                      </m:sub>
                    </m:sSub>
                    <m:ctrlPr>
                      <w:rPr>
                        <w:rFonts w:ascii="Cambria Math" w:hAnsi="Cambria Math" w:cs="Times New Roman" w:eastAsiaTheme="minorEastAsia"/>
                        <w:i/>
                        <w:vertAlign w:val="subscript"/>
                        <w:lang w:val="de-DE"/>
                      </w:rPr>
                    </m:ctrlPr>
                  </m:num>
                  <m:den>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N</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t</m:t>
                        </m:r>
                        <m:ctrlPr>
                          <w:rPr>
                            <w:rFonts w:ascii="Cambria Math" w:hAnsi="Cambria Math" w:cs="Times New Roman" w:eastAsiaTheme="minorEastAsia"/>
                            <w:i/>
                            <w:vertAlign w:val="subscript"/>
                            <w:lang w:val="de-DE"/>
                          </w:rPr>
                        </m:ctrlPr>
                      </m:sub>
                    </m:sSub>
                    <m:ctrlPr>
                      <w:rPr>
                        <w:rFonts w:ascii="Cambria Math" w:hAnsi="Cambria Math" w:cs="Times New Roman" w:eastAsiaTheme="minorEastAsia"/>
                        <w:i/>
                        <w:vertAlign w:val="subscript"/>
                        <w:lang w:val="de-DE"/>
                      </w:rPr>
                    </m:ctrlPr>
                  </m:den>
                </m:f>
                <m:r>
                  <m:rPr/>
                  <w:rPr>
                    <w:rFonts w:ascii="Cambria Math" w:hAnsi="Cambria Math" w:cs="Times New Roman" w:eastAsiaTheme="minorEastAsia"/>
                    <w:vertAlign w:val="subscript"/>
                    <w:lang w:val="de-DE"/>
                  </w:rPr>
                  <m:t>≥1.5</m:t>
                </m:r>
              </m:oMath>
            </m:oMathPara>
          </w:p>
        </w:tc>
        <w:tc>
          <w:tcPr>
            <w:tcW w:w="1087" w:type="pct"/>
            <w:vAlign w:val="center"/>
          </w:tcPr>
          <w:p w14:paraId="0828013C">
            <w:pPr>
              <w:jc w:val="center"/>
              <w:rPr>
                <w:rFonts w:cs="Times New Roman" w:eastAsiaTheme="minorEastAsia"/>
              </w:rPr>
            </w:pPr>
            <w:r>
              <w:rPr>
                <w:rFonts w:cs="Times New Roman" w:eastAsiaTheme="minorEastAsia"/>
              </w:rPr>
              <w:t>（5.2.1</w:t>
            </w:r>
            <w:r>
              <w:rPr>
                <w:rFonts w:hint="eastAsia" w:cs="Times New Roman" w:eastAsiaTheme="minorEastAsia"/>
              </w:rPr>
              <w:t>0</w:t>
            </w:r>
            <w:r>
              <w:rPr>
                <w:rFonts w:cs="Times New Roman" w:eastAsiaTheme="minorEastAsia"/>
              </w:rPr>
              <w:t>-6）</w:t>
            </w:r>
          </w:p>
        </w:tc>
      </w:tr>
    </w:tbl>
    <w:tbl>
      <w:tblPr>
        <w:tblStyle w:val="13"/>
        <w:tblW w:w="4771" w:type="pct"/>
        <w:tblInd w:w="0" w:type="dxa"/>
        <w:tblLayout w:type="fixed"/>
        <w:tblCellMar>
          <w:top w:w="0" w:type="dxa"/>
          <w:left w:w="108" w:type="dxa"/>
          <w:bottom w:w="0" w:type="dxa"/>
          <w:right w:w="108" w:type="dxa"/>
        </w:tblCellMar>
      </w:tblPr>
      <w:tblGrid>
        <w:gridCol w:w="848"/>
        <w:gridCol w:w="1089"/>
        <w:gridCol w:w="614"/>
        <w:gridCol w:w="5889"/>
      </w:tblGrid>
      <w:tr w14:paraId="403BB73A">
        <w:tblPrEx>
          <w:tblCellMar>
            <w:top w:w="0" w:type="dxa"/>
            <w:left w:w="108" w:type="dxa"/>
            <w:bottom w:w="0" w:type="dxa"/>
            <w:right w:w="108" w:type="dxa"/>
          </w:tblCellMar>
        </w:tblPrEx>
        <w:trPr>
          <w:trHeight w:val="577" w:hRule="exact"/>
        </w:trPr>
        <w:tc>
          <w:tcPr>
            <w:tcW w:w="502" w:type="pct"/>
            <w:tcMar>
              <w:left w:w="0" w:type="dxa"/>
              <w:right w:w="28" w:type="dxa"/>
            </w:tcMar>
          </w:tcPr>
          <w:p w14:paraId="2FB5A35B">
            <w:pPr>
              <w:rPr>
                <w:rFonts w:cs="Times New Roman" w:eastAsiaTheme="minorEastAsia"/>
              </w:rPr>
            </w:pPr>
            <w:bookmarkStart w:id="62" w:name="OLE_LINK50"/>
            <w:r>
              <w:rPr>
                <w:rFonts w:hint="eastAsia" w:cs="Times New Roman" w:eastAsiaTheme="minorEastAsia"/>
              </w:rPr>
              <w:t>式中：</w:t>
            </w:r>
          </w:p>
          <w:p w14:paraId="6648AF2D">
            <w:pPr>
              <w:spacing w:line="530" w:lineRule="exact"/>
              <w:rPr>
                <w:rFonts w:cs="Times New Roman" w:eastAsiaTheme="minorEastAsia"/>
              </w:rPr>
            </w:pPr>
          </w:p>
        </w:tc>
        <w:tc>
          <w:tcPr>
            <w:tcW w:w="645" w:type="pct"/>
            <w:tcMar>
              <w:left w:w="0" w:type="dxa"/>
              <w:right w:w="28" w:type="dxa"/>
            </w:tcMar>
          </w:tcPr>
          <w:p w14:paraId="0D753861">
            <w:pPr>
              <w:spacing w:line="530" w:lineRule="exact"/>
              <w:rPr>
                <w:rFonts w:cs="Times New Roman" w:eastAsiaTheme="minorEastAsia"/>
                <w:i/>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R</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t(</m:t>
                    </m:r>
                    <m:r>
                      <m:rPr/>
                      <w:rPr>
                        <w:rFonts w:hint="eastAsia" w:ascii="Cambria Math" w:hAnsi="Cambria Math" w:cs="Times New Roman" w:eastAsiaTheme="minorEastAsia"/>
                        <w:vertAlign w:val="subscript"/>
                        <w:lang w:val="de-DE"/>
                      </w:rPr>
                      <m:t>bc</m:t>
                    </m:r>
                    <m:r>
                      <m:rPr/>
                      <w:rPr>
                        <w:rFonts w:ascii="Cambria Math" w:hAnsi="Cambria Math" w:cs="Times New Roman" w:eastAsiaTheme="minorEastAsia"/>
                        <w:vertAlign w:val="subscript"/>
                        <w:lang w:val="de-DE"/>
                      </w:rPr>
                      <m:t>)max</m:t>
                    </m:r>
                    <m:ctrlPr>
                      <w:rPr>
                        <w:rFonts w:ascii="Cambria Math" w:hAnsi="Cambria Math" w:cs="Times New Roman" w:eastAsiaTheme="minorEastAsia"/>
                        <w:i/>
                        <w:vertAlign w:val="subscript"/>
                        <w:lang w:val="de-DE"/>
                      </w:rPr>
                    </m:ctrlPr>
                  </m:sub>
                </m:sSub>
              </m:oMath>
            </m:oMathPara>
          </w:p>
        </w:tc>
        <w:tc>
          <w:tcPr>
            <w:tcW w:w="364" w:type="pct"/>
            <w:tcMar>
              <w:left w:w="28" w:type="dxa"/>
              <w:right w:w="0" w:type="dxa"/>
            </w:tcMar>
          </w:tcPr>
          <w:p w14:paraId="65008B59">
            <w:pPr>
              <w:rPr>
                <w:rFonts w:cs="Times New Roman" w:eastAsiaTheme="minorEastAsia"/>
                <w:lang w:val="de-DE"/>
              </w:rPr>
            </w:pPr>
            <w:r>
              <w:rPr>
                <w:rFonts w:cs="Times New Roman" w:eastAsiaTheme="minorEastAsia"/>
                <w:lang w:val="de-DE"/>
              </w:rPr>
              <w:t>——</w:t>
            </w:r>
          </w:p>
        </w:tc>
        <w:tc>
          <w:tcPr>
            <w:tcW w:w="3489" w:type="pct"/>
            <w:tcMar>
              <w:left w:w="0" w:type="dxa"/>
              <w:right w:w="0" w:type="dxa"/>
            </w:tcMar>
          </w:tcPr>
          <w:p w14:paraId="60EEB251">
            <w:pPr>
              <w:rPr>
                <w:rFonts w:cs="Times New Roman" w:eastAsiaTheme="minorEastAsia"/>
              </w:rPr>
            </w:pPr>
            <w:r>
              <w:rPr>
                <w:rFonts w:hint="eastAsia" w:cs="Times New Roman" w:eastAsiaTheme="minorEastAsia"/>
              </w:rPr>
              <w:t>锚杆所承受的最大拉力在</w:t>
            </w:r>
            <w:r>
              <w:rPr>
                <w:rFonts w:hint="eastAsia" w:cs="Times New Roman" w:eastAsiaTheme="minorEastAsia"/>
                <w:i/>
                <w:iCs/>
              </w:rPr>
              <w:t>bc</w:t>
            </w:r>
            <w:r>
              <w:rPr>
                <w:rFonts w:hint="eastAsia" w:cs="Times New Roman" w:eastAsiaTheme="minorEastAsia"/>
              </w:rPr>
              <w:t>面上的分力（kN）</w:t>
            </w:r>
            <w:r>
              <w:rPr>
                <w:rFonts w:cs="Times New Roman" w:eastAsiaTheme="minorEastAsia"/>
              </w:rPr>
              <w:t>；</w:t>
            </w:r>
          </w:p>
        </w:tc>
      </w:tr>
      <w:tr w14:paraId="54B96A07">
        <w:tblPrEx>
          <w:tblCellMar>
            <w:top w:w="0" w:type="dxa"/>
            <w:left w:w="108" w:type="dxa"/>
            <w:bottom w:w="0" w:type="dxa"/>
            <w:right w:w="108" w:type="dxa"/>
          </w:tblCellMar>
        </w:tblPrEx>
        <w:trPr>
          <w:trHeight w:val="571" w:hRule="exact"/>
        </w:trPr>
        <w:tc>
          <w:tcPr>
            <w:tcW w:w="502" w:type="pct"/>
            <w:vMerge w:val="restart"/>
            <w:tcMar>
              <w:left w:w="0" w:type="dxa"/>
              <w:right w:w="28" w:type="dxa"/>
            </w:tcMar>
          </w:tcPr>
          <w:p w14:paraId="4DF0F1D4">
            <w:pPr>
              <w:spacing w:line="530" w:lineRule="exact"/>
              <w:rPr>
                <w:rFonts w:cs="Times New Roman" w:eastAsiaTheme="minorEastAsia"/>
              </w:rPr>
            </w:pPr>
          </w:p>
        </w:tc>
        <w:tc>
          <w:tcPr>
            <w:tcW w:w="645" w:type="pct"/>
            <w:tcMar>
              <w:left w:w="0" w:type="dxa"/>
              <w:right w:w="28" w:type="dxa"/>
            </w:tcMar>
          </w:tcPr>
          <w:p w14:paraId="2F7A2FFA">
            <w:pPr>
              <w:spacing w:line="530" w:lineRule="exact"/>
              <w:rPr>
                <w:rFonts w:cs="Times New Roman" w:eastAsiaTheme="minorEastAsia"/>
                <w:i/>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R</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t(</m:t>
                    </m:r>
                    <m:r>
                      <m:rPr/>
                      <w:rPr>
                        <w:rFonts w:hint="eastAsia" w:ascii="Cambria Math" w:hAnsi="Cambria Math" w:cs="Times New Roman" w:eastAsiaTheme="minorEastAsia"/>
                        <w:vertAlign w:val="subscript"/>
                        <w:lang w:val="de-DE"/>
                      </w:rPr>
                      <m:t>be</m:t>
                    </m:r>
                    <m:r>
                      <m:rPr/>
                      <w:rPr>
                        <w:rFonts w:ascii="Cambria Math" w:hAnsi="Cambria Math" w:cs="Times New Roman" w:eastAsiaTheme="minorEastAsia"/>
                        <w:vertAlign w:val="subscript"/>
                        <w:lang w:val="de-DE"/>
                      </w:rPr>
                      <m:t>)max</m:t>
                    </m:r>
                    <m:ctrlPr>
                      <w:rPr>
                        <w:rFonts w:ascii="Cambria Math" w:hAnsi="Cambria Math" w:cs="Times New Roman" w:eastAsiaTheme="minorEastAsia"/>
                        <w:i/>
                        <w:vertAlign w:val="subscript"/>
                        <w:lang w:val="de-DE"/>
                      </w:rPr>
                    </m:ctrlPr>
                  </m:sub>
                </m:sSub>
              </m:oMath>
            </m:oMathPara>
          </w:p>
        </w:tc>
        <w:tc>
          <w:tcPr>
            <w:tcW w:w="364" w:type="pct"/>
            <w:tcMar>
              <w:left w:w="28" w:type="dxa"/>
              <w:right w:w="0" w:type="dxa"/>
            </w:tcMar>
          </w:tcPr>
          <w:p w14:paraId="7D8F5B1D">
            <w:pPr>
              <w:rPr>
                <w:rFonts w:cs="Times New Roman" w:eastAsiaTheme="minorEastAsia"/>
                <w:lang w:val="de-DE"/>
              </w:rPr>
            </w:pPr>
            <w:r>
              <w:rPr>
                <w:rFonts w:cs="Times New Roman" w:eastAsiaTheme="minorEastAsia"/>
                <w:lang w:val="de-DE"/>
              </w:rPr>
              <w:t>——</w:t>
            </w:r>
          </w:p>
        </w:tc>
        <w:tc>
          <w:tcPr>
            <w:tcW w:w="3489" w:type="pct"/>
            <w:tcMar>
              <w:left w:w="0" w:type="dxa"/>
              <w:right w:w="0" w:type="dxa"/>
            </w:tcMar>
          </w:tcPr>
          <w:p w14:paraId="7FA76ACE">
            <w:pPr>
              <w:rPr>
                <w:rFonts w:cs="Times New Roman" w:eastAsiaTheme="minorEastAsia"/>
              </w:rPr>
            </w:pPr>
            <w:r>
              <w:rPr>
                <w:rFonts w:hint="eastAsia" w:cs="Times New Roman" w:eastAsiaTheme="minorEastAsia"/>
              </w:rPr>
              <w:t>锚杆所承受的最大拉力在</w:t>
            </w:r>
            <w:r>
              <w:rPr>
                <w:rFonts w:hint="eastAsia" w:cs="Times New Roman" w:eastAsiaTheme="minorEastAsia"/>
                <w:i/>
                <w:iCs/>
              </w:rPr>
              <w:t>be</w:t>
            </w:r>
            <w:r>
              <w:rPr>
                <w:rFonts w:hint="eastAsia" w:cs="Times New Roman" w:eastAsiaTheme="minorEastAsia"/>
              </w:rPr>
              <w:t>面上的分力（kN）</w:t>
            </w:r>
            <w:r>
              <w:rPr>
                <w:rFonts w:cs="Times New Roman" w:eastAsiaTheme="minorEastAsia"/>
              </w:rPr>
              <w:t>；</w:t>
            </w:r>
          </w:p>
        </w:tc>
      </w:tr>
      <w:tr w14:paraId="659A62DE">
        <w:tblPrEx>
          <w:tblCellMar>
            <w:top w:w="0" w:type="dxa"/>
            <w:left w:w="108" w:type="dxa"/>
            <w:bottom w:w="0" w:type="dxa"/>
            <w:right w:w="108" w:type="dxa"/>
          </w:tblCellMar>
        </w:tblPrEx>
        <w:trPr>
          <w:trHeight w:val="609" w:hRule="exact"/>
        </w:trPr>
        <w:tc>
          <w:tcPr>
            <w:tcW w:w="502" w:type="pct"/>
            <w:vMerge w:val="continue"/>
            <w:tcMar>
              <w:left w:w="0" w:type="dxa"/>
              <w:right w:w="28" w:type="dxa"/>
            </w:tcMar>
          </w:tcPr>
          <w:p w14:paraId="68257EDC">
            <w:pPr>
              <w:rPr>
                <w:rFonts w:cs="Times New Roman" w:eastAsiaTheme="minorEastAsia"/>
              </w:rPr>
            </w:pPr>
          </w:p>
        </w:tc>
        <w:tc>
          <w:tcPr>
            <w:tcW w:w="645" w:type="pct"/>
            <w:tcMar>
              <w:left w:w="0" w:type="dxa"/>
              <w:right w:w="28" w:type="dxa"/>
            </w:tcMar>
          </w:tcPr>
          <w:p w14:paraId="0180A27B">
            <w:pPr>
              <w:spacing w:line="530" w:lineRule="exact"/>
              <w:rPr>
                <w:rFonts w:cs="Times New Roman" w:eastAsiaTheme="minorEastAsia"/>
                <w:i/>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R</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t(</m:t>
                    </m:r>
                    <m:r>
                      <m:rPr/>
                      <w:rPr>
                        <w:rFonts w:hint="eastAsia" w:ascii="Cambria Math" w:hAnsi="Cambria Math" w:cs="Times New Roman" w:eastAsiaTheme="minorEastAsia"/>
                        <w:vertAlign w:val="subscript"/>
                        <w:lang w:val="de-DE"/>
                      </w:rPr>
                      <m:t>bec</m:t>
                    </m:r>
                    <m:r>
                      <m:rPr/>
                      <w:rPr>
                        <w:rFonts w:ascii="Cambria Math" w:hAnsi="Cambria Math" w:cs="Times New Roman" w:eastAsiaTheme="minorEastAsia"/>
                        <w:vertAlign w:val="subscript"/>
                        <w:lang w:val="de-DE"/>
                      </w:rPr>
                      <m:t>)max</m:t>
                    </m:r>
                    <m:ctrlPr>
                      <w:rPr>
                        <w:rFonts w:ascii="Cambria Math" w:hAnsi="Cambria Math" w:cs="Times New Roman" w:eastAsiaTheme="minorEastAsia"/>
                        <w:i/>
                        <w:vertAlign w:val="subscript"/>
                        <w:lang w:val="de-DE"/>
                      </w:rPr>
                    </m:ctrlPr>
                  </m:sub>
                </m:sSub>
              </m:oMath>
            </m:oMathPara>
          </w:p>
        </w:tc>
        <w:tc>
          <w:tcPr>
            <w:tcW w:w="364" w:type="pct"/>
            <w:tcMar>
              <w:left w:w="28" w:type="dxa"/>
              <w:right w:w="0" w:type="dxa"/>
            </w:tcMar>
          </w:tcPr>
          <w:p w14:paraId="3EE5F305">
            <w:pPr>
              <w:rPr>
                <w:rFonts w:cs="Times New Roman" w:eastAsiaTheme="minorEastAsia"/>
                <w:lang w:val="de-DE"/>
              </w:rPr>
            </w:pPr>
            <w:r>
              <w:rPr>
                <w:rFonts w:cs="Times New Roman" w:eastAsiaTheme="minorEastAsia"/>
                <w:lang w:val="de-DE"/>
              </w:rPr>
              <w:t>——</w:t>
            </w:r>
          </w:p>
        </w:tc>
        <w:tc>
          <w:tcPr>
            <w:tcW w:w="3489" w:type="pct"/>
            <w:tcMar>
              <w:left w:w="0" w:type="dxa"/>
              <w:right w:w="0" w:type="dxa"/>
            </w:tcMar>
          </w:tcPr>
          <w:p w14:paraId="16A8D259">
            <w:pPr>
              <w:rPr>
                <w:rFonts w:cs="Times New Roman" w:eastAsiaTheme="minorEastAsia"/>
              </w:rPr>
            </w:pPr>
            <w:r>
              <w:rPr>
                <w:rFonts w:hint="eastAsia" w:cs="Times New Roman" w:eastAsiaTheme="minorEastAsia"/>
              </w:rPr>
              <w:t>锚杆所承受的最大拉力在</w:t>
            </w:r>
            <w:r>
              <w:rPr>
                <w:rFonts w:hint="eastAsia" w:cs="Times New Roman" w:eastAsiaTheme="minorEastAsia"/>
                <w:i/>
                <w:iCs/>
              </w:rPr>
              <w:t>bec</w:t>
            </w:r>
            <w:r>
              <w:rPr>
                <w:rFonts w:hint="eastAsia" w:cs="Times New Roman" w:eastAsiaTheme="minorEastAsia"/>
              </w:rPr>
              <w:t>面上的分力（kN）。</w:t>
            </w:r>
          </w:p>
        </w:tc>
      </w:tr>
    </w:tbl>
    <w:p w14:paraId="360D1A45">
      <w:pPr>
        <w:pStyle w:val="28"/>
        <w:snapToGrid w:val="0"/>
        <w:ind w:firstLine="0" w:firstLineChars="0"/>
        <w:rPr>
          <w:rFonts w:eastAsiaTheme="minorEastAsia"/>
          <w:b/>
        </w:rPr>
      </w:pPr>
    </w:p>
    <w:p w14:paraId="1D0407FB">
      <w:pPr>
        <w:pStyle w:val="28"/>
        <w:snapToGrid w:val="0"/>
        <w:ind w:firstLine="0" w:firstLineChars="0"/>
        <w:rPr>
          <w:szCs w:val="24"/>
        </w:rPr>
      </w:pPr>
      <w:r>
        <w:rPr>
          <w:rFonts w:eastAsiaTheme="minorEastAsia"/>
          <w:b/>
        </w:rPr>
        <w:t>5.2.1</w:t>
      </w:r>
      <w:r>
        <w:rPr>
          <w:rFonts w:hint="eastAsia" w:eastAsiaTheme="minorEastAsia"/>
          <w:b/>
        </w:rPr>
        <w:t>1</w:t>
      </w:r>
      <w:r>
        <w:rPr>
          <w:rFonts w:eastAsiaTheme="minorEastAsia"/>
        </w:rPr>
        <w:t xml:space="preserve"> </w:t>
      </w:r>
      <w:r>
        <w:rPr>
          <w:szCs w:val="24"/>
        </w:rPr>
        <w:t>多支点支护</w:t>
      </w:r>
      <w:bookmarkEnd w:id="62"/>
      <w:r>
        <w:rPr>
          <w:szCs w:val="24"/>
        </w:rPr>
        <w:t>结构增量法宜采用图5.2.1</w:t>
      </w:r>
      <w:r>
        <w:rPr>
          <w:rFonts w:hint="eastAsia"/>
          <w:szCs w:val="24"/>
        </w:rPr>
        <w:t>1</w:t>
      </w:r>
      <w:r>
        <w:rPr>
          <w:szCs w:val="24"/>
        </w:rPr>
        <w:t>所示的结构分析模型，并符合下列规定：</w:t>
      </w:r>
    </w:p>
    <w:p w14:paraId="7CCC3991">
      <w:pPr>
        <w:pStyle w:val="28"/>
        <w:snapToGrid w:val="0"/>
        <w:ind w:firstLine="0" w:firstLineChars="0"/>
        <w:jc w:val="center"/>
        <w:rPr>
          <w:szCs w:val="24"/>
        </w:rPr>
      </w:pPr>
      <w:r>
        <w:drawing>
          <wp:inline distT="0" distB="0" distL="0" distR="0">
            <wp:extent cx="2433320" cy="2296795"/>
            <wp:effectExtent l="0" t="0" r="5080" b="8255"/>
            <wp:docPr id="17410686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68651" name="图片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64768" cy="2326626"/>
                    </a:xfrm>
                    <a:prstGeom prst="rect">
                      <a:avLst/>
                    </a:prstGeom>
                  </pic:spPr>
                </pic:pic>
              </a:graphicData>
            </a:graphic>
          </wp:inline>
        </w:drawing>
      </w:r>
    </w:p>
    <w:p w14:paraId="68CA316A">
      <w:pPr>
        <w:pStyle w:val="28"/>
        <w:snapToGrid w:val="0"/>
        <w:ind w:firstLine="0" w:firstLineChars="0"/>
        <w:jc w:val="center"/>
        <w:rPr>
          <w:szCs w:val="24"/>
        </w:rPr>
      </w:pPr>
      <w:r>
        <w:rPr>
          <w:szCs w:val="24"/>
        </w:rPr>
        <w:t>图5.2.1</w:t>
      </w:r>
      <w:r>
        <w:rPr>
          <w:rFonts w:hint="eastAsia"/>
          <w:szCs w:val="24"/>
        </w:rPr>
        <w:t>1</w:t>
      </w:r>
      <w:r>
        <w:rPr>
          <w:szCs w:val="24"/>
        </w:rPr>
        <w:t xml:space="preserve">  弹性抗力计算模型</w:t>
      </w:r>
    </w:p>
    <w:p w14:paraId="14B75774">
      <w:pPr>
        <w:pStyle w:val="28"/>
        <w:keepNext w:val="0"/>
        <w:keepLines w:val="0"/>
        <w:pageBreakBefore w:val="0"/>
        <w:widowControl w:val="0"/>
        <w:kinsoku/>
        <w:wordWrap/>
        <w:overflowPunct/>
        <w:topLinePunct w:val="0"/>
        <w:autoSpaceDE/>
        <w:autoSpaceDN/>
        <w:bidi w:val="0"/>
        <w:adjustRightInd/>
        <w:snapToGrid w:val="0"/>
        <w:ind w:left="0" w:firstLine="480" w:firstLineChars="200"/>
        <w:textAlignment w:val="auto"/>
        <w:rPr>
          <w:b w:val="0"/>
          <w:bCs w:val="0"/>
          <w:szCs w:val="24"/>
        </w:rPr>
      </w:pPr>
      <w:r>
        <w:rPr>
          <w:b w:val="0"/>
          <w:bCs w:val="0"/>
          <w:szCs w:val="24"/>
        </w:rPr>
        <w:t>1  按照施工顺序分工况计算支护桩身内力、水平位移、锚杆（支撑）反力、被动区土抗力；</w:t>
      </w:r>
    </w:p>
    <w:p w14:paraId="4EF2E673">
      <w:pPr>
        <w:pStyle w:val="28"/>
        <w:keepNext w:val="0"/>
        <w:keepLines w:val="0"/>
        <w:pageBreakBefore w:val="0"/>
        <w:widowControl w:val="0"/>
        <w:kinsoku/>
        <w:wordWrap/>
        <w:overflowPunct/>
        <w:topLinePunct w:val="0"/>
        <w:autoSpaceDE/>
        <w:autoSpaceDN/>
        <w:bidi w:val="0"/>
        <w:adjustRightInd/>
        <w:snapToGrid w:val="0"/>
        <w:ind w:left="0" w:firstLine="480" w:firstLineChars="200"/>
        <w:textAlignment w:val="auto"/>
        <w:rPr>
          <w:b w:val="0"/>
          <w:bCs w:val="0"/>
          <w:szCs w:val="24"/>
        </w:rPr>
      </w:pPr>
      <w:r>
        <w:rPr>
          <w:b w:val="0"/>
          <w:bCs w:val="0"/>
          <w:szCs w:val="24"/>
        </w:rPr>
        <w:t>2  在土层中，锚拉式、支撑式支护桩计算嵌固深度小于0.3H时，应取0.3H（H为基坑开挖深度）；悬臂式支护桩计算嵌固深度小于0.5H时，应取0.5H；</w:t>
      </w:r>
    </w:p>
    <w:p w14:paraId="08534D4E">
      <w:pPr>
        <w:pStyle w:val="28"/>
        <w:keepNext w:val="0"/>
        <w:keepLines w:val="0"/>
        <w:pageBreakBefore w:val="0"/>
        <w:widowControl w:val="0"/>
        <w:kinsoku/>
        <w:wordWrap/>
        <w:overflowPunct/>
        <w:topLinePunct w:val="0"/>
        <w:autoSpaceDE/>
        <w:autoSpaceDN/>
        <w:bidi w:val="0"/>
        <w:adjustRightInd/>
        <w:snapToGrid w:val="0"/>
        <w:ind w:left="0" w:firstLine="480" w:firstLineChars="200"/>
        <w:textAlignment w:val="auto"/>
        <w:rPr>
          <w:b w:val="0"/>
          <w:bCs w:val="0"/>
          <w:szCs w:val="24"/>
        </w:rPr>
      </w:pPr>
      <w:r>
        <w:rPr>
          <w:b w:val="0"/>
          <w:bCs w:val="0"/>
          <w:szCs w:val="24"/>
        </w:rPr>
        <w:t>3  当支护桩底存在软弱土层时，尚应进行整体稳定性和抗隆起稳定性验算；</w:t>
      </w:r>
    </w:p>
    <w:p w14:paraId="1A95051C">
      <w:pPr>
        <w:keepNext w:val="0"/>
        <w:keepLines w:val="0"/>
        <w:pageBreakBefore w:val="0"/>
        <w:widowControl w:val="0"/>
        <w:tabs>
          <w:tab w:val="left" w:pos="720"/>
        </w:tabs>
        <w:kinsoku/>
        <w:wordWrap/>
        <w:overflowPunct/>
        <w:topLinePunct w:val="0"/>
        <w:autoSpaceDE/>
        <w:autoSpaceDN/>
        <w:bidi w:val="0"/>
        <w:adjustRightInd/>
        <w:snapToGrid w:val="0"/>
        <w:ind w:left="0" w:firstLine="480" w:firstLineChars="200"/>
        <w:textAlignment w:val="auto"/>
        <w:rPr>
          <w:rFonts w:cs="Times New Roman"/>
          <w:b w:val="0"/>
          <w:bCs w:val="0"/>
        </w:rPr>
      </w:pPr>
      <w:r>
        <w:rPr>
          <w:rFonts w:cs="Times New Roman"/>
          <w:b w:val="0"/>
          <w:bCs w:val="0"/>
        </w:rPr>
        <w:t>4  被动区土抗力弹簧的水平反力系数可按下式计算：</w:t>
      </w:r>
    </w:p>
    <w:tbl>
      <w:tblPr>
        <w:tblStyle w:val="1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91"/>
        <w:gridCol w:w="1970"/>
      </w:tblGrid>
      <w:tr w14:paraId="03214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3913" w:type="pct"/>
            <w:vAlign w:val="center"/>
          </w:tcPr>
          <w:p w14:paraId="1BAB8147">
            <w:pPr>
              <w:jc w:val="right"/>
              <w:rPr>
                <w:rFonts w:cs="Times New Roman" w:eastAsiaTheme="minorEastAsia"/>
              </w:rPr>
            </w:pPr>
            <m:oMathPara>
              <m:oMathParaPr>
                <m:jc m:val="center"/>
              </m:oMathParaPr>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h</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m:t>
                </m:r>
                <m:d>
                  <m:dPr>
                    <m:ctrlPr>
                      <w:rPr>
                        <w:rFonts w:ascii="Cambria Math" w:hAnsi="Cambria Math" w:cs="Times New Roman" w:eastAsiaTheme="minorEastAsia"/>
                        <w:i/>
                        <w:vertAlign w:val="subscript"/>
                        <w:lang w:val="de-DE"/>
                      </w:rPr>
                    </m:ctrlPr>
                  </m:dPr>
                  <m:e>
                    <m:r>
                      <m:rPr/>
                      <w:rPr>
                        <w:rFonts w:ascii="Cambria Math" w:hAnsi="Cambria Math" w:cs="Times New Roman" w:eastAsiaTheme="minorEastAsia"/>
                        <w:vertAlign w:val="subscript"/>
                        <w:lang w:val="de-DE"/>
                      </w:rPr>
                      <m:t>z−</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h</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0</m:t>
                        </m:r>
                        <m:ctrlPr>
                          <w:rPr>
                            <w:rFonts w:ascii="Cambria Math" w:hAnsi="Cambria Math" w:cs="Times New Roman" w:eastAsiaTheme="minorEastAsia"/>
                            <w:i/>
                            <w:vertAlign w:val="subscript"/>
                            <w:lang w:val="de-DE"/>
                          </w:rPr>
                        </m:ctrlPr>
                      </m:sub>
                    </m:sSub>
                    <m:ctrlPr>
                      <w:rPr>
                        <w:rFonts w:ascii="Cambria Math" w:hAnsi="Cambria Math" w:cs="Times New Roman" w:eastAsiaTheme="minorEastAsia"/>
                        <w:i/>
                        <w:vertAlign w:val="subscript"/>
                        <w:lang w:val="de-DE"/>
                      </w:rPr>
                    </m:ctrlPr>
                  </m:e>
                </m:d>
              </m:oMath>
            </m:oMathPara>
          </w:p>
        </w:tc>
        <w:tc>
          <w:tcPr>
            <w:tcW w:w="1087" w:type="pct"/>
            <w:vAlign w:val="center"/>
          </w:tcPr>
          <w:p w14:paraId="1D8B46A1">
            <w:pPr>
              <w:jc w:val="center"/>
              <w:rPr>
                <w:rFonts w:cs="Times New Roman" w:eastAsiaTheme="minorEastAsia"/>
              </w:rPr>
            </w:pPr>
            <w:r>
              <w:rPr>
                <w:rFonts w:cs="Times New Roman" w:eastAsiaTheme="minorEastAsia"/>
              </w:rPr>
              <w:t>（5.2.1</w:t>
            </w:r>
            <w:r>
              <w:rPr>
                <w:rFonts w:hint="eastAsia" w:cs="Times New Roman" w:eastAsiaTheme="minorEastAsia"/>
              </w:rPr>
              <w:t>1</w:t>
            </w:r>
            <w:r>
              <w:rPr>
                <w:rFonts w:cs="Times New Roman" w:eastAsiaTheme="minorEastAsia"/>
              </w:rPr>
              <w:t>-1）</w:t>
            </w:r>
          </w:p>
        </w:tc>
      </w:tr>
    </w:tbl>
    <w:tbl>
      <w:tblPr>
        <w:tblStyle w:val="13"/>
        <w:tblW w:w="5000" w:type="pct"/>
        <w:tblInd w:w="0" w:type="dxa"/>
        <w:tblLayout w:type="autofit"/>
        <w:tblCellMar>
          <w:top w:w="0" w:type="dxa"/>
          <w:left w:w="108" w:type="dxa"/>
          <w:bottom w:w="0" w:type="dxa"/>
          <w:right w:w="108" w:type="dxa"/>
        </w:tblCellMar>
      </w:tblPr>
      <w:tblGrid>
        <w:gridCol w:w="681"/>
        <w:gridCol w:w="1277"/>
        <w:gridCol w:w="796"/>
        <w:gridCol w:w="6091"/>
      </w:tblGrid>
      <w:tr w14:paraId="1C300A0D">
        <w:tblPrEx>
          <w:tblCellMar>
            <w:top w:w="0" w:type="dxa"/>
            <w:left w:w="108" w:type="dxa"/>
            <w:bottom w:w="0" w:type="dxa"/>
            <w:right w:w="108" w:type="dxa"/>
          </w:tblCellMar>
        </w:tblPrEx>
        <w:trPr>
          <w:trHeight w:val="2056" w:hRule="exact"/>
        </w:trPr>
        <w:tc>
          <w:tcPr>
            <w:tcW w:w="385" w:type="pct"/>
            <w:tcMar>
              <w:left w:w="0" w:type="dxa"/>
              <w:right w:w="28" w:type="dxa"/>
            </w:tcMar>
          </w:tcPr>
          <w:p w14:paraId="114A8C88">
            <w:pPr>
              <w:rPr>
                <w:rFonts w:cs="Times New Roman" w:eastAsiaTheme="minorEastAsia"/>
              </w:rPr>
            </w:pPr>
            <w:r>
              <w:rPr>
                <w:rFonts w:cs="Times New Roman" w:eastAsiaTheme="minorEastAsia"/>
              </w:rPr>
              <w:t>式中：</w:t>
            </w:r>
          </w:p>
        </w:tc>
        <w:tc>
          <w:tcPr>
            <w:tcW w:w="722" w:type="pct"/>
            <w:tcMar>
              <w:left w:w="0" w:type="dxa"/>
              <w:right w:w="28" w:type="dxa"/>
            </w:tcMar>
          </w:tcPr>
          <w:p w14:paraId="73FE0929">
            <w:pPr>
              <w:spacing w:line="460" w:lineRule="exact"/>
              <w:rPr>
                <w:rFonts w:cs="Times New Roman" w:eastAsiaTheme="minorEastAsia"/>
                <w:vertAlign w:val="subscript"/>
                <w:lang w:val="de-DE"/>
              </w:rPr>
            </w:pPr>
            <m:oMathPara>
              <m:oMath>
                <m:r>
                  <m:rPr/>
                  <w:rPr>
                    <w:rFonts w:ascii="Cambria Math" w:hAnsi="Cambria Math" w:cs="Times New Roman" w:eastAsiaTheme="minorEastAsia"/>
                    <w:vertAlign w:val="subscript"/>
                    <w:lang w:val="de-DE"/>
                  </w:rPr>
                  <m:t>m</m:t>
                </m:r>
              </m:oMath>
            </m:oMathPara>
          </w:p>
          <w:p w14:paraId="73B24CDF">
            <w:pPr>
              <w:spacing w:line="460" w:lineRule="exact"/>
              <w:rPr>
                <w:rFonts w:cs="Times New Roman" w:eastAsiaTheme="minorEastAsia"/>
                <w:vertAlign w:val="subscript"/>
                <w:lang w:val="de-DE"/>
              </w:rPr>
            </w:pPr>
            <m:oMathPara>
              <m:oMath>
                <m:r>
                  <m:rPr/>
                  <w:rPr>
                    <w:rFonts w:ascii="Cambria Math" w:hAnsi="Cambria Math" w:cs="Times New Roman" w:eastAsiaTheme="minorEastAsia"/>
                    <w:vertAlign w:val="subscript"/>
                    <w:lang w:val="de-DE"/>
                  </w:rPr>
                  <m:t>z</m:t>
                </m:r>
              </m:oMath>
            </m:oMathPara>
          </w:p>
          <w:p w14:paraId="1A3C0545">
            <w:pPr>
              <w:spacing w:line="460" w:lineRule="exact"/>
              <w:rPr>
                <w:rFonts w:cs="Times New Roman" w:eastAsiaTheme="minorEastAsia"/>
                <w:vertAlign w:val="subscript"/>
                <w:lang w:val="de-DE"/>
              </w:rPr>
            </w:pPr>
            <m:oMathPara>
              <m:oMath>
                <m:r>
                  <m:rPr/>
                  <w:rPr>
                    <w:rFonts w:ascii="Cambria Math" w:hAnsi="Cambria Math" w:cs="Times New Roman" w:eastAsiaTheme="minorEastAsia"/>
                    <w:vertAlign w:val="subscript"/>
                    <w:lang w:val="de-DE"/>
                  </w:rPr>
                  <m:t>h</m:t>
                </m:r>
              </m:oMath>
            </m:oMathPara>
          </w:p>
          <w:p w14:paraId="0BA2DE18">
            <w:pPr>
              <w:spacing w:line="460" w:lineRule="exact"/>
              <w:rPr>
                <w:rFonts w:cs="Times New Roman" w:eastAsiaTheme="minorEastAsia"/>
                <w:vertAlign w:val="subscript"/>
                <w:lang w:val="de-DE"/>
              </w:rPr>
            </w:pPr>
          </w:p>
          <w:p w14:paraId="05253A72">
            <w:pPr>
              <w:spacing w:line="460" w:lineRule="exact"/>
              <w:rPr>
                <w:rFonts w:cs="Times New Roman" w:eastAsiaTheme="minorEastAsia"/>
                <w:vertAlign w:val="subscript"/>
                <w:lang w:val="de-DE"/>
              </w:rPr>
            </w:pPr>
          </w:p>
          <w:p w14:paraId="003FEA41">
            <w:pPr>
              <w:spacing w:line="530" w:lineRule="exact"/>
              <w:rPr>
                <w:rFonts w:ascii="Cambria Math" w:hAnsi="Cambria Math" w:cs="Times New Roman" w:eastAsiaTheme="minorEastAsia"/>
                <w:vertAlign w:val="subscript"/>
                <w:lang w:val="de-DE"/>
                <w:oMath/>
              </w:rPr>
            </w:pPr>
          </w:p>
        </w:tc>
        <w:tc>
          <w:tcPr>
            <w:tcW w:w="450" w:type="pct"/>
            <w:tcMar>
              <w:left w:w="28" w:type="dxa"/>
              <w:right w:w="0" w:type="dxa"/>
            </w:tcMar>
          </w:tcPr>
          <w:p w14:paraId="2F0A73FD">
            <w:pPr>
              <w:rPr>
                <w:rFonts w:cs="Times New Roman" w:eastAsiaTheme="minorEastAsia"/>
                <w:lang w:val="de-DE"/>
              </w:rPr>
            </w:pPr>
            <w:r>
              <w:rPr>
                <w:rFonts w:cs="Times New Roman" w:eastAsiaTheme="minorEastAsia"/>
                <w:lang w:val="de-DE"/>
              </w:rPr>
              <w:t>——</w:t>
            </w:r>
          </w:p>
          <w:p w14:paraId="3F10897A">
            <w:pPr>
              <w:rPr>
                <w:rFonts w:cs="Times New Roman" w:eastAsiaTheme="minorEastAsia"/>
                <w:lang w:val="de-DE"/>
              </w:rPr>
            </w:pPr>
            <w:r>
              <w:rPr>
                <w:rFonts w:cs="Times New Roman" w:eastAsiaTheme="minorEastAsia"/>
                <w:lang w:val="de-DE"/>
              </w:rPr>
              <w:t>——</w:t>
            </w:r>
          </w:p>
          <w:p w14:paraId="7876EA01">
            <w:pPr>
              <w:rPr>
                <w:rFonts w:cs="Times New Roman" w:eastAsiaTheme="minorEastAsia"/>
                <w:lang w:val="de-DE"/>
              </w:rPr>
            </w:pPr>
            <w:r>
              <w:rPr>
                <w:rFonts w:cs="Times New Roman" w:eastAsiaTheme="minorEastAsia"/>
                <w:lang w:val="de-DE"/>
              </w:rPr>
              <w:t>——</w:t>
            </w:r>
          </w:p>
          <w:p w14:paraId="04FC1CA8">
            <w:pPr>
              <w:rPr>
                <w:rFonts w:cs="Times New Roman" w:eastAsiaTheme="minorEastAsia"/>
                <w:lang w:val="de-DE"/>
              </w:rPr>
            </w:pPr>
          </w:p>
          <w:p w14:paraId="48D74FA7">
            <w:pPr>
              <w:rPr>
                <w:rFonts w:cs="Times New Roman" w:eastAsiaTheme="minorEastAsia"/>
                <w:lang w:val="de-DE"/>
              </w:rPr>
            </w:pPr>
          </w:p>
          <w:p w14:paraId="07178C2B">
            <w:pPr>
              <w:rPr>
                <w:rFonts w:cs="Times New Roman" w:eastAsiaTheme="minorEastAsia"/>
                <w:lang w:val="de-DE"/>
              </w:rPr>
            </w:pPr>
          </w:p>
          <w:p w14:paraId="2D690093">
            <w:pPr>
              <w:rPr>
                <w:rFonts w:cs="Times New Roman" w:eastAsiaTheme="minorEastAsia"/>
                <w:lang w:val="de-DE"/>
              </w:rPr>
            </w:pPr>
          </w:p>
        </w:tc>
        <w:tc>
          <w:tcPr>
            <w:tcW w:w="3443" w:type="pct"/>
            <w:tcMar>
              <w:left w:w="0" w:type="dxa"/>
              <w:right w:w="0" w:type="dxa"/>
            </w:tcMar>
          </w:tcPr>
          <w:p w14:paraId="3047CEA9">
            <w:pPr>
              <w:rPr>
                <w:rFonts w:cs="Times New Roman" w:eastAsiaTheme="minorEastAsia"/>
              </w:rPr>
            </w:pPr>
            <w:r>
              <w:rPr>
                <w:rFonts w:cs="Times New Roman" w:eastAsiaTheme="minorEastAsia"/>
              </w:rPr>
              <w:t>土的水平反力系数的比例系数（kN/m</w:t>
            </w:r>
            <w:r>
              <w:rPr>
                <w:rFonts w:cs="Times New Roman" w:eastAsiaTheme="minorEastAsia"/>
                <w:vertAlign w:val="superscript"/>
              </w:rPr>
              <w:t>4</w:t>
            </w:r>
            <w:r>
              <w:rPr>
                <w:rFonts w:cs="Times New Roman" w:eastAsiaTheme="minorEastAsia"/>
              </w:rPr>
              <w:t>）；</w:t>
            </w:r>
          </w:p>
          <w:p w14:paraId="4DCFF944">
            <w:pPr>
              <w:rPr>
                <w:rFonts w:cs="Times New Roman" w:eastAsiaTheme="minorEastAsia"/>
              </w:rPr>
            </w:pPr>
            <w:r>
              <w:rPr>
                <w:rFonts w:cs="Times New Roman" w:eastAsiaTheme="minorEastAsia"/>
              </w:rPr>
              <w:t>计算点距地面的深度（m）；</w:t>
            </w:r>
          </w:p>
          <w:p w14:paraId="27DB1E8F">
            <w:pPr>
              <w:rPr>
                <w:rFonts w:cs="Times New Roman" w:eastAsiaTheme="minorEastAsia"/>
              </w:rPr>
            </w:pPr>
            <w:r>
              <w:rPr>
                <w:rFonts w:cs="Times New Roman" w:eastAsiaTheme="minorEastAsia"/>
              </w:rPr>
              <w:t>计算工况下的基坑开挖深度（m）。</w:t>
            </w:r>
          </w:p>
        </w:tc>
      </w:tr>
    </w:tbl>
    <w:tbl>
      <w:tblPr>
        <w:tblStyle w:val="14"/>
        <w:tblpPr w:leftFromText="180" w:rightFromText="180" w:vertAnchor="text" w:horzAnchor="margin" w:tblpY="8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91"/>
        <w:gridCol w:w="1970"/>
      </w:tblGrid>
      <w:tr w14:paraId="67C02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3913" w:type="pct"/>
            <w:vAlign w:val="center"/>
          </w:tcPr>
          <w:p w14:paraId="3D60C72B">
            <w:pPr>
              <w:jc w:val="right"/>
              <w:rPr>
                <w:rFonts w:cs="Times New Roman" w:eastAsiaTheme="minorEastAsia"/>
              </w:rPr>
            </w:pPr>
            <m:oMathPara>
              <m:oMathParaPr>
                <m:jc m:val="center"/>
              </m:oMathParaPr>
              <m:oMath>
                <m:f>
                  <m:fPr>
                    <m:ctrlPr>
                      <w:rPr>
                        <w:rFonts w:ascii="Cambria Math" w:hAnsi="Cambria Math" w:cs="Times New Roman" w:eastAsiaTheme="minorEastAsia"/>
                        <w:i/>
                        <w:vertAlign w:val="subscript"/>
                        <w:lang w:val="de-DE"/>
                      </w:rPr>
                    </m:ctrlPr>
                  </m:fPr>
                  <m:num>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E</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pk</m:t>
                        </m:r>
                        <m:ctrlPr>
                          <w:rPr>
                            <w:rFonts w:ascii="Cambria Math" w:hAnsi="Cambria Math" w:cs="Times New Roman" w:eastAsiaTheme="minorEastAsia"/>
                            <w:i/>
                            <w:vertAlign w:val="subscript"/>
                            <w:lang w:val="de-DE"/>
                          </w:rPr>
                        </m:ctrlPr>
                      </m:sub>
                    </m:sSub>
                    <m:ctrlPr>
                      <w:rPr>
                        <w:rFonts w:ascii="Cambria Math" w:hAnsi="Cambria Math" w:cs="Times New Roman" w:eastAsiaTheme="minorEastAsia"/>
                        <w:i/>
                        <w:vertAlign w:val="subscript"/>
                        <w:lang w:val="de-DE"/>
                      </w:rPr>
                    </m:ctrlPr>
                  </m:num>
                  <m:den>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E</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ptk</m:t>
                        </m:r>
                        <m:ctrlPr>
                          <w:rPr>
                            <w:rFonts w:ascii="Cambria Math" w:hAnsi="Cambria Math" w:cs="Times New Roman" w:eastAsiaTheme="minorEastAsia"/>
                            <w:i/>
                            <w:vertAlign w:val="subscript"/>
                            <w:lang w:val="de-DE"/>
                          </w:rPr>
                        </m:ctrlPr>
                      </m:sub>
                    </m:sSub>
                    <m:ctrlPr>
                      <w:rPr>
                        <w:rFonts w:ascii="Cambria Math" w:hAnsi="Cambria Math" w:cs="Times New Roman" w:eastAsiaTheme="minorEastAsia"/>
                        <w:i/>
                        <w:vertAlign w:val="subscript"/>
                        <w:lang w:val="de-DE"/>
                      </w:rPr>
                    </m:ctrlPr>
                  </m:den>
                </m:f>
                <m:r>
                  <m:rPr/>
                  <w:rPr>
                    <w:rFonts w:ascii="Cambria Math" w:hAnsi="Cambria Math" w:cs="Times New Roman" w:eastAsiaTheme="minorEastAsia"/>
                    <w:vertAlign w:val="subscript"/>
                    <w:lang w:val="de-DE"/>
                  </w:rPr>
                  <m:t>≥</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tk</m:t>
                    </m:r>
                    <m:ctrlPr>
                      <w:rPr>
                        <w:rFonts w:ascii="Cambria Math" w:hAnsi="Cambria Math" w:cs="Times New Roman" w:eastAsiaTheme="minorEastAsia"/>
                        <w:i/>
                        <w:vertAlign w:val="subscript"/>
                        <w:lang w:val="de-DE"/>
                      </w:rPr>
                    </m:ctrlPr>
                  </m:sub>
                </m:sSub>
              </m:oMath>
            </m:oMathPara>
          </w:p>
        </w:tc>
        <w:tc>
          <w:tcPr>
            <w:tcW w:w="1087" w:type="pct"/>
            <w:vAlign w:val="center"/>
          </w:tcPr>
          <w:p w14:paraId="44C57FAF">
            <w:pPr>
              <w:jc w:val="center"/>
              <w:rPr>
                <w:rFonts w:cs="Times New Roman" w:eastAsiaTheme="minorEastAsia"/>
              </w:rPr>
            </w:pPr>
            <w:r>
              <w:rPr>
                <w:rFonts w:cs="Times New Roman" w:eastAsiaTheme="minorEastAsia"/>
              </w:rPr>
              <w:t>（5.2.1</w:t>
            </w:r>
            <w:r>
              <w:rPr>
                <w:rFonts w:hint="eastAsia" w:cs="Times New Roman" w:eastAsiaTheme="minorEastAsia"/>
              </w:rPr>
              <w:t>1</w:t>
            </w:r>
            <w:r>
              <w:rPr>
                <w:rFonts w:cs="Times New Roman" w:eastAsiaTheme="minorEastAsia"/>
              </w:rPr>
              <w:t>-2）</w:t>
            </w:r>
          </w:p>
        </w:tc>
      </w:tr>
      <w:tr w14:paraId="7FEDD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3913" w:type="pct"/>
            <w:vAlign w:val="center"/>
          </w:tcPr>
          <w:p w14:paraId="51790EC3">
            <w:pPr>
              <w:jc w:val="right"/>
              <w:rPr>
                <w:rFonts w:cs="Times New Roman"/>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e</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ptk</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h</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∆x</m:t>
                </m:r>
              </m:oMath>
            </m:oMathPara>
          </w:p>
        </w:tc>
        <w:tc>
          <w:tcPr>
            <w:tcW w:w="1087" w:type="pct"/>
            <w:vAlign w:val="center"/>
          </w:tcPr>
          <w:p w14:paraId="2C381E44">
            <w:pPr>
              <w:jc w:val="center"/>
              <w:rPr>
                <w:rFonts w:cs="Times New Roman" w:eastAsiaTheme="minorEastAsia"/>
              </w:rPr>
            </w:pPr>
            <w:r>
              <w:rPr>
                <w:rFonts w:cs="Times New Roman" w:eastAsiaTheme="minorEastAsia"/>
              </w:rPr>
              <w:t>（5.2.1</w:t>
            </w:r>
            <w:r>
              <w:rPr>
                <w:rFonts w:hint="eastAsia" w:cs="Times New Roman" w:eastAsiaTheme="minorEastAsia"/>
              </w:rPr>
              <w:t>1</w:t>
            </w:r>
            <w:r>
              <w:rPr>
                <w:rFonts w:cs="Times New Roman" w:eastAsiaTheme="minorEastAsia"/>
              </w:rPr>
              <w:t>-3）</w:t>
            </w:r>
          </w:p>
        </w:tc>
      </w:tr>
    </w:tbl>
    <w:p w14:paraId="148AB422">
      <w:pPr>
        <w:tabs>
          <w:tab w:val="left" w:pos="720"/>
        </w:tabs>
        <w:snapToGrid w:val="0"/>
        <w:ind w:left="16" w:firstLine="360" w:firstLineChars="150"/>
        <w:rPr>
          <w:rFonts w:cs="Times New Roman"/>
        </w:rPr>
      </w:pPr>
      <w:r>
        <w:rPr>
          <w:rFonts w:cs="Times New Roman"/>
          <w:b w:val="0"/>
          <w:bCs w:val="0"/>
        </w:rPr>
        <w:t>5</w:t>
      </w:r>
      <w:r>
        <w:rPr>
          <w:rFonts w:cs="Times New Roman"/>
          <w:b/>
          <w:bCs/>
        </w:rPr>
        <w:t xml:space="preserve">  </w:t>
      </w:r>
      <w:r>
        <w:rPr>
          <w:rFonts w:cs="Times New Roman"/>
        </w:rPr>
        <w:t>采用弹性抗力法计算支护桩的嵌固深度时，被动区抗力安全系数K</w:t>
      </w:r>
      <w:r>
        <w:rPr>
          <w:rFonts w:cs="Times New Roman"/>
          <w:vertAlign w:val="subscript"/>
        </w:rPr>
        <w:t>tk</w:t>
      </w:r>
      <w:r>
        <w:rPr>
          <w:rFonts w:cs="Times New Roman"/>
        </w:rPr>
        <w:t>宜按下列公式确定：</w:t>
      </w:r>
    </w:p>
    <w:tbl>
      <w:tblPr>
        <w:tblStyle w:val="13"/>
        <w:tblW w:w="5000" w:type="pct"/>
        <w:tblInd w:w="0" w:type="dxa"/>
        <w:tblLayout w:type="autofit"/>
        <w:tblCellMar>
          <w:top w:w="0" w:type="dxa"/>
          <w:left w:w="108" w:type="dxa"/>
          <w:bottom w:w="0" w:type="dxa"/>
          <w:right w:w="108" w:type="dxa"/>
        </w:tblCellMar>
      </w:tblPr>
      <w:tblGrid>
        <w:gridCol w:w="681"/>
        <w:gridCol w:w="1277"/>
        <w:gridCol w:w="796"/>
        <w:gridCol w:w="6091"/>
      </w:tblGrid>
      <w:tr w14:paraId="5F23FDDD">
        <w:tblPrEx>
          <w:tblCellMar>
            <w:top w:w="0" w:type="dxa"/>
            <w:left w:w="108" w:type="dxa"/>
            <w:bottom w:w="0" w:type="dxa"/>
            <w:right w:w="108" w:type="dxa"/>
          </w:tblCellMar>
        </w:tblPrEx>
        <w:trPr>
          <w:trHeight w:val="4685" w:hRule="exact"/>
        </w:trPr>
        <w:tc>
          <w:tcPr>
            <w:tcW w:w="385" w:type="pct"/>
            <w:tcMar>
              <w:left w:w="0" w:type="dxa"/>
              <w:right w:w="28" w:type="dxa"/>
            </w:tcMar>
          </w:tcPr>
          <w:p w14:paraId="2F05CA80">
            <w:pPr>
              <w:rPr>
                <w:rFonts w:cs="Times New Roman" w:eastAsiaTheme="minorEastAsia"/>
              </w:rPr>
            </w:pPr>
            <w:r>
              <w:rPr>
                <w:rFonts w:cs="Times New Roman" w:eastAsiaTheme="minorEastAsia"/>
              </w:rPr>
              <w:t>式中：</w:t>
            </w:r>
          </w:p>
        </w:tc>
        <w:tc>
          <w:tcPr>
            <w:tcW w:w="722" w:type="pct"/>
            <w:tcMar>
              <w:left w:w="0" w:type="dxa"/>
              <w:right w:w="28" w:type="dxa"/>
            </w:tcMar>
          </w:tcPr>
          <w:p w14:paraId="1CEE108D">
            <w:pPr>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e</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ptk</m:t>
                    </m:r>
                    <m:ctrlPr>
                      <w:rPr>
                        <w:rFonts w:ascii="Cambria Math" w:hAnsi="Cambria Math" w:cs="Times New Roman" w:eastAsiaTheme="minorEastAsia"/>
                        <w:i/>
                        <w:vertAlign w:val="subscript"/>
                        <w:lang w:val="de-DE"/>
                      </w:rPr>
                    </m:ctrlPr>
                  </m:sub>
                </m:sSub>
              </m:oMath>
            </m:oMathPara>
          </w:p>
          <w:p w14:paraId="649B9916">
            <w:pPr>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h</m:t>
                    </m:r>
                    <m:ctrlPr>
                      <w:rPr>
                        <w:rFonts w:ascii="Cambria Math" w:hAnsi="Cambria Math" w:cs="Times New Roman" w:eastAsiaTheme="minorEastAsia"/>
                        <w:i/>
                        <w:vertAlign w:val="subscript"/>
                        <w:lang w:val="de-DE"/>
                      </w:rPr>
                    </m:ctrlPr>
                  </m:sub>
                </m:sSub>
              </m:oMath>
            </m:oMathPara>
          </w:p>
          <w:p w14:paraId="404CC6D2">
            <w:pPr>
              <w:rPr>
                <w:rFonts w:cs="Times New Roman" w:eastAsiaTheme="minorEastAsia"/>
                <w:vertAlign w:val="subscript"/>
                <w:lang w:val="de-DE"/>
              </w:rPr>
            </w:pPr>
            <m:oMathPara>
              <m:oMath>
                <m:r>
                  <m:rPr/>
                  <w:rPr>
                    <w:rFonts w:ascii="Cambria Math" w:hAnsi="Cambria Math" w:cs="Times New Roman" w:eastAsiaTheme="minorEastAsia"/>
                    <w:vertAlign w:val="subscript"/>
                    <w:lang w:val="de-DE"/>
                  </w:rPr>
                  <m:t>∆x</m:t>
                </m:r>
              </m:oMath>
            </m:oMathPara>
          </w:p>
          <w:p w14:paraId="447BEFA7">
            <w:pPr>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E</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ptk</m:t>
                    </m:r>
                    <m:ctrlPr>
                      <w:rPr>
                        <w:rFonts w:ascii="Cambria Math" w:hAnsi="Cambria Math" w:cs="Times New Roman" w:eastAsiaTheme="minorEastAsia"/>
                        <w:i/>
                        <w:vertAlign w:val="subscript"/>
                        <w:lang w:val="de-DE"/>
                      </w:rPr>
                    </m:ctrlPr>
                  </m:sub>
                </m:sSub>
              </m:oMath>
            </m:oMathPara>
          </w:p>
          <w:p w14:paraId="2F5137F7">
            <w:pPr>
              <w:rPr>
                <w:rFonts w:cs="Times New Roman" w:eastAsiaTheme="minorEastAsia"/>
                <w:vertAlign w:val="subscript"/>
                <w:lang w:val="de-DE"/>
              </w:rPr>
            </w:pPr>
          </w:p>
          <w:p w14:paraId="0730F8F1">
            <w:pPr>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E</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pk</m:t>
                    </m:r>
                    <m:ctrlPr>
                      <w:rPr>
                        <w:rFonts w:ascii="Cambria Math" w:hAnsi="Cambria Math" w:cs="Times New Roman" w:eastAsiaTheme="minorEastAsia"/>
                        <w:i/>
                        <w:vertAlign w:val="subscript"/>
                        <w:lang w:val="de-DE"/>
                      </w:rPr>
                    </m:ctrlPr>
                  </m:sub>
                </m:sSub>
              </m:oMath>
            </m:oMathPara>
          </w:p>
          <w:p w14:paraId="0E3B1027">
            <w:pPr>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K</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tk</m:t>
                    </m:r>
                    <m:ctrlPr>
                      <w:rPr>
                        <w:rFonts w:ascii="Cambria Math" w:hAnsi="Cambria Math" w:cs="Times New Roman" w:eastAsiaTheme="minorEastAsia"/>
                        <w:i/>
                        <w:vertAlign w:val="subscript"/>
                        <w:lang w:val="de-DE"/>
                      </w:rPr>
                    </m:ctrlPr>
                  </m:sub>
                </m:sSub>
              </m:oMath>
            </m:oMathPara>
          </w:p>
          <w:p w14:paraId="5C743A5B">
            <w:pPr>
              <w:rPr>
                <w:rFonts w:ascii="Cambria Math" w:hAnsi="Cambria Math" w:cs="Times New Roman" w:eastAsiaTheme="minorEastAsia"/>
                <w:vertAlign w:val="subscript"/>
                <w:lang w:val="de-DE"/>
                <w:oMath/>
              </w:rPr>
            </w:pPr>
          </w:p>
        </w:tc>
        <w:tc>
          <w:tcPr>
            <w:tcW w:w="450" w:type="pct"/>
            <w:tcMar>
              <w:left w:w="28" w:type="dxa"/>
              <w:right w:w="0" w:type="dxa"/>
            </w:tcMar>
          </w:tcPr>
          <w:p w14:paraId="71EFAD9E">
            <w:pPr>
              <w:rPr>
                <w:rFonts w:cs="Times New Roman" w:eastAsiaTheme="minorEastAsia"/>
                <w:lang w:val="de-DE"/>
              </w:rPr>
            </w:pPr>
            <w:r>
              <w:rPr>
                <w:rFonts w:cs="Times New Roman" w:eastAsiaTheme="minorEastAsia"/>
                <w:lang w:val="de-DE"/>
              </w:rPr>
              <w:t>——</w:t>
            </w:r>
          </w:p>
          <w:p w14:paraId="12E46A35">
            <w:pPr>
              <w:rPr>
                <w:rFonts w:cs="Times New Roman" w:eastAsiaTheme="minorEastAsia"/>
                <w:lang w:val="de-DE"/>
              </w:rPr>
            </w:pPr>
            <w:r>
              <w:rPr>
                <w:rFonts w:cs="Times New Roman" w:eastAsiaTheme="minorEastAsia"/>
                <w:lang w:val="de-DE"/>
              </w:rPr>
              <w:t>——</w:t>
            </w:r>
          </w:p>
          <w:p w14:paraId="5FCB24A1">
            <w:pPr>
              <w:rPr>
                <w:rFonts w:cs="Times New Roman" w:eastAsiaTheme="minorEastAsia"/>
                <w:lang w:val="de-DE"/>
              </w:rPr>
            </w:pPr>
            <w:r>
              <w:rPr>
                <w:rFonts w:cs="Times New Roman" w:eastAsiaTheme="minorEastAsia"/>
                <w:lang w:val="de-DE"/>
              </w:rPr>
              <w:t>——</w:t>
            </w:r>
          </w:p>
          <w:p w14:paraId="71C73E6C">
            <w:pPr>
              <w:rPr>
                <w:rFonts w:cs="Times New Roman" w:eastAsiaTheme="minorEastAsia"/>
                <w:lang w:val="de-DE"/>
              </w:rPr>
            </w:pPr>
            <w:r>
              <w:rPr>
                <w:rFonts w:cs="Times New Roman" w:eastAsiaTheme="minorEastAsia"/>
                <w:lang w:val="de-DE"/>
              </w:rPr>
              <w:t>——</w:t>
            </w:r>
          </w:p>
          <w:p w14:paraId="0F49293B">
            <w:pPr>
              <w:rPr>
                <w:rFonts w:cs="Times New Roman" w:eastAsiaTheme="minorEastAsia"/>
                <w:lang w:val="de-DE"/>
              </w:rPr>
            </w:pPr>
          </w:p>
          <w:p w14:paraId="2B4861FA">
            <w:pPr>
              <w:rPr>
                <w:rFonts w:cs="Times New Roman" w:eastAsiaTheme="minorEastAsia"/>
                <w:lang w:val="de-DE"/>
              </w:rPr>
            </w:pPr>
          </w:p>
          <w:p w14:paraId="756D85E3">
            <w:pPr>
              <w:rPr>
                <w:rFonts w:cs="Times New Roman" w:eastAsiaTheme="minorEastAsia"/>
                <w:lang w:val="de-DE"/>
              </w:rPr>
            </w:pPr>
            <w:r>
              <w:rPr>
                <w:rFonts w:cs="Times New Roman" w:eastAsiaTheme="minorEastAsia"/>
                <w:lang w:val="de-DE"/>
              </w:rPr>
              <w:t>——</w:t>
            </w:r>
          </w:p>
          <w:p w14:paraId="12D379E9">
            <w:pPr>
              <w:rPr>
                <w:rFonts w:cs="Times New Roman" w:eastAsiaTheme="minorEastAsia"/>
                <w:lang w:val="de-DE"/>
              </w:rPr>
            </w:pPr>
            <w:r>
              <w:rPr>
                <w:rFonts w:cs="Times New Roman" w:eastAsiaTheme="minorEastAsia"/>
                <w:lang w:val="de-DE"/>
              </w:rPr>
              <w:t>——</w:t>
            </w:r>
          </w:p>
          <w:p w14:paraId="150C9C09">
            <w:pPr>
              <w:rPr>
                <w:rFonts w:cs="Times New Roman" w:eastAsiaTheme="minorEastAsia"/>
                <w:lang w:val="de-DE"/>
              </w:rPr>
            </w:pPr>
          </w:p>
        </w:tc>
        <w:tc>
          <w:tcPr>
            <w:tcW w:w="3443" w:type="pct"/>
            <w:tcMar>
              <w:left w:w="0" w:type="dxa"/>
              <w:right w:w="0" w:type="dxa"/>
            </w:tcMar>
          </w:tcPr>
          <w:p w14:paraId="1FCAD2BF">
            <w:pPr>
              <w:rPr>
                <w:rFonts w:cs="Times New Roman" w:eastAsiaTheme="minorEastAsia"/>
              </w:rPr>
            </w:pPr>
            <w:r>
              <w:rPr>
                <w:rFonts w:cs="Times New Roman" w:eastAsiaTheme="minorEastAsia"/>
              </w:rPr>
              <w:t>按弹性抗力法计算的被动区抗力标准值（kPa）；</w:t>
            </w:r>
          </w:p>
          <w:p w14:paraId="4303BC2F">
            <w:pPr>
              <w:rPr>
                <w:rFonts w:cs="Times New Roman" w:eastAsiaTheme="minorEastAsia"/>
              </w:rPr>
            </w:pPr>
            <w:r>
              <w:rPr>
                <w:rFonts w:cs="Times New Roman" w:eastAsiaTheme="minorEastAsia"/>
              </w:rPr>
              <w:t>水平向反力系数，按“m”法确定（kPa/m）；</w:t>
            </w:r>
          </w:p>
          <w:p w14:paraId="015725E7">
            <w:pPr>
              <w:rPr>
                <w:rFonts w:cs="Times New Roman" w:eastAsiaTheme="minorEastAsia"/>
              </w:rPr>
            </w:pPr>
            <w:r>
              <w:rPr>
                <w:rFonts w:cs="Times New Roman" w:eastAsiaTheme="minorEastAsia"/>
              </w:rPr>
              <w:t>支护桩的水平位移（m）。</w:t>
            </w:r>
          </w:p>
          <w:p w14:paraId="0755C5B2">
            <w:pPr>
              <w:rPr>
                <w:rFonts w:cs="Times New Roman" w:eastAsiaTheme="minorEastAsia"/>
              </w:rPr>
            </w:pPr>
            <w:r>
              <w:rPr>
                <w:rFonts w:cs="Times New Roman" w:eastAsiaTheme="minorEastAsia"/>
              </w:rPr>
              <w:t>支护桩嵌固深度范围内被动区抗力合力标准值（kN）。当抗力反向时，取绝对值求和；</w:t>
            </w:r>
          </w:p>
          <w:p w14:paraId="01ED309E">
            <w:pPr>
              <w:rPr>
                <w:rFonts w:cs="Times New Roman" w:eastAsiaTheme="minorEastAsia"/>
              </w:rPr>
            </w:pPr>
            <w:r>
              <w:rPr>
                <w:rFonts w:cs="Times New Roman" w:eastAsiaTheme="minorEastAsia"/>
              </w:rPr>
              <w:t>支护桩嵌固深度范围内的被动土压力合力标准值（kN）；</w:t>
            </w:r>
          </w:p>
          <w:p w14:paraId="008DE8AE">
            <w:pPr>
              <w:rPr>
                <w:rFonts w:cs="Times New Roman" w:eastAsiaTheme="minorEastAsia"/>
              </w:rPr>
            </w:pPr>
            <w:r>
              <w:rPr>
                <w:rFonts w:cs="Times New Roman" w:eastAsiaTheme="minorEastAsia"/>
              </w:rPr>
              <w:t>被动区抗力安全系数。对悬臂式支护结构，不应小于1.5（采用被动区加固时，不应小于1.35）；对于单支点支护结构，不应小于1.20；对于多支点支护结构，不应小于1.05。</w:t>
            </w:r>
          </w:p>
        </w:tc>
      </w:tr>
    </w:tbl>
    <w:p w14:paraId="7EC964AD">
      <w:pPr>
        <w:tabs>
          <w:tab w:val="left" w:pos="720"/>
        </w:tabs>
        <w:snapToGrid w:val="0"/>
        <w:ind w:left="16" w:firstLine="360" w:firstLineChars="150"/>
        <w:rPr>
          <w:rFonts w:cs="Times New Roman"/>
          <w:b w:val="0"/>
          <w:bCs w:val="0"/>
        </w:rPr>
      </w:pPr>
      <w:r>
        <w:rPr>
          <w:rFonts w:cs="Times New Roman"/>
          <w:b w:val="0"/>
          <w:bCs w:val="0"/>
        </w:rPr>
        <w:t>6  每一增量步支护结构内力和变形的计算可采用结构力学方法或杆件有限元法对弹性地基梁进行计算。</w:t>
      </w:r>
    </w:p>
    <w:p w14:paraId="61E05FA5">
      <w:pPr>
        <w:rPr>
          <w:rFonts w:cs="Times New Roman"/>
        </w:rPr>
      </w:pPr>
      <w:r>
        <w:rPr>
          <w:rFonts w:cs="Times New Roman" w:eastAsiaTheme="minorEastAsia"/>
          <w:b/>
        </w:rPr>
        <w:t>5.2.1</w:t>
      </w:r>
      <w:r>
        <w:rPr>
          <w:rFonts w:hint="eastAsia" w:cs="Times New Roman" w:eastAsiaTheme="minorEastAsia"/>
          <w:b/>
        </w:rPr>
        <w:t>2</w:t>
      </w:r>
      <w:r>
        <w:rPr>
          <w:rFonts w:cs="Times New Roman" w:eastAsiaTheme="minorEastAsia"/>
        </w:rPr>
        <w:t xml:space="preserve"> </w:t>
      </w:r>
      <w:r>
        <w:rPr>
          <w:rFonts w:cs="Times New Roman"/>
        </w:rPr>
        <w:t>采用分级支护结构时（图5.2.1</w:t>
      </w:r>
      <w:r>
        <w:rPr>
          <w:rFonts w:hint="eastAsia" w:cs="Times New Roman"/>
        </w:rPr>
        <w:t>2</w:t>
      </w:r>
      <w:r>
        <w:rPr>
          <w:rFonts w:cs="Times New Roman"/>
        </w:rPr>
        <w:t>）应符合下列规定：</w:t>
      </w:r>
    </w:p>
    <w:p w14:paraId="3410B9EA">
      <w:pPr>
        <w:ind w:firstLine="360" w:firstLineChars="150"/>
        <w:rPr>
          <w:rFonts w:cs="Times New Roman" w:eastAsiaTheme="minorEastAsia"/>
          <w:b w:val="0"/>
          <w:bCs w:val="0"/>
        </w:rPr>
      </w:pPr>
      <w:r>
        <w:rPr>
          <w:rFonts w:cs="Times New Roman" w:eastAsiaTheme="minorEastAsia"/>
          <w:b w:val="0"/>
          <w:bCs w:val="0"/>
        </w:rPr>
        <w:t>1  分级支护设计应考虑各级支护之间的相互作用和影响，宜采用数值建模分析计算方法。</w:t>
      </w:r>
    </w:p>
    <w:p w14:paraId="31ECE71F">
      <w:pPr>
        <w:ind w:firstLine="360" w:firstLineChars="150"/>
        <w:rPr>
          <w:rFonts w:cs="Times New Roman" w:eastAsiaTheme="minorEastAsia"/>
          <w:b w:val="0"/>
          <w:bCs w:val="0"/>
        </w:rPr>
      </w:pPr>
      <w:r>
        <w:rPr>
          <w:rFonts w:cs="Times New Roman" w:eastAsiaTheme="minorEastAsia"/>
          <w:b w:val="0"/>
          <w:bCs w:val="0"/>
        </w:rPr>
        <w:t>2  简化计算时，可分别将上级支护结构（上排桩）或下级支护结构（下排桩）作为主要受力对象进行分析，同时考虑上排桩被动抗力传递至下排桩对其内力、变形以及稳定性的影响；</w:t>
      </w:r>
    </w:p>
    <w:p w14:paraId="39258C57">
      <w:pPr>
        <w:ind w:firstLine="360" w:firstLineChars="150"/>
        <w:rPr>
          <w:rFonts w:cs="Times New Roman" w:eastAsiaTheme="minorEastAsia"/>
          <w:b w:val="0"/>
          <w:bCs w:val="0"/>
        </w:rPr>
      </w:pPr>
      <w:r>
        <w:rPr>
          <w:rFonts w:cs="Times New Roman" w:eastAsiaTheme="minorEastAsia"/>
          <w:b w:val="0"/>
          <w:bCs w:val="0"/>
        </w:rPr>
        <w:t>3  分级支护结构</w:t>
      </w:r>
      <w:r>
        <w:rPr>
          <w:rFonts w:hint="eastAsia" w:cs="Times New Roman" w:eastAsiaTheme="minorEastAsia"/>
          <w:b w:val="0"/>
          <w:bCs w:val="0"/>
        </w:rPr>
        <w:t>应按复合支护结构的总桩长，</w:t>
      </w:r>
      <w:r>
        <w:rPr>
          <w:rFonts w:cs="Times New Roman" w:eastAsiaTheme="minorEastAsia"/>
          <w:b w:val="0"/>
          <w:bCs w:val="0"/>
        </w:rPr>
        <w:t>按本标准第5.2.1</w:t>
      </w:r>
      <w:r>
        <w:rPr>
          <w:rFonts w:hint="eastAsia" w:cs="Times New Roman" w:eastAsiaTheme="minorEastAsia"/>
          <w:b w:val="0"/>
          <w:bCs w:val="0"/>
        </w:rPr>
        <w:t>0</w:t>
      </w:r>
      <w:r>
        <w:rPr>
          <w:rFonts w:cs="Times New Roman" w:eastAsiaTheme="minorEastAsia"/>
          <w:b w:val="0"/>
          <w:bCs w:val="0"/>
        </w:rPr>
        <w:t>条规定进行整体稳定性验算。</w:t>
      </w:r>
    </w:p>
    <w:p w14:paraId="774F8EBD">
      <w:pPr>
        <w:jc w:val="center"/>
        <w:rPr>
          <w:rFonts w:cs="Times New Roman" w:eastAsiaTheme="minorEastAsia"/>
        </w:rPr>
      </w:pPr>
      <w:r>
        <w:rPr>
          <w:rFonts w:cs="Times New Roman"/>
        </w:rPr>
        <w:drawing>
          <wp:inline distT="0" distB="0" distL="0" distR="0">
            <wp:extent cx="2660015" cy="2139950"/>
            <wp:effectExtent l="0" t="0" r="6985" b="0"/>
            <wp:docPr id="17506486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48616" name="图片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88191" cy="2162913"/>
                    </a:xfrm>
                    <a:prstGeom prst="rect">
                      <a:avLst/>
                    </a:prstGeom>
                  </pic:spPr>
                </pic:pic>
              </a:graphicData>
            </a:graphic>
          </wp:inline>
        </w:drawing>
      </w:r>
    </w:p>
    <w:p w14:paraId="75AC4369">
      <w:pPr>
        <w:jc w:val="center"/>
        <w:rPr>
          <w:rFonts w:cs="Times New Roman" w:eastAsiaTheme="minorEastAsia"/>
        </w:rPr>
      </w:pPr>
      <w:r>
        <w:rPr>
          <w:rFonts w:cs="Times New Roman" w:eastAsiaTheme="minorEastAsia"/>
        </w:rPr>
        <w:t>图5.2.1</w:t>
      </w:r>
      <w:r>
        <w:rPr>
          <w:rFonts w:hint="eastAsia" w:cs="Times New Roman" w:eastAsiaTheme="minorEastAsia"/>
        </w:rPr>
        <w:t>2</w:t>
      </w:r>
      <w:r>
        <w:rPr>
          <w:rFonts w:cs="Times New Roman" w:eastAsiaTheme="minorEastAsia"/>
        </w:rPr>
        <w:t xml:space="preserve">  分级支护结构示意图</w:t>
      </w:r>
    </w:p>
    <w:p w14:paraId="57E6C901">
      <w:pPr>
        <w:rPr>
          <w:rFonts w:cs="Times New Roman" w:eastAsiaTheme="minorEastAsia"/>
        </w:rPr>
      </w:pPr>
      <w:r>
        <w:rPr>
          <w:rFonts w:cs="Times New Roman" w:eastAsiaTheme="minorEastAsia"/>
          <w:b/>
        </w:rPr>
        <w:t>5.2.1</w:t>
      </w:r>
      <w:r>
        <w:rPr>
          <w:rFonts w:hint="eastAsia" w:cs="Times New Roman" w:eastAsiaTheme="minorEastAsia"/>
          <w:b/>
        </w:rPr>
        <w:t>3</w:t>
      </w:r>
      <w:r>
        <w:rPr>
          <w:rFonts w:cs="Times New Roman" w:eastAsiaTheme="minorEastAsia"/>
        </w:rPr>
        <w:t xml:space="preserve"> 由于基坑加深出现吊脚桩时，应验算吊脚桩端的地基承载力，并符合下列规定：</w:t>
      </w:r>
    </w:p>
    <w:p w14:paraId="5220EDD4">
      <w:pPr>
        <w:ind w:firstLine="360" w:firstLineChars="150"/>
        <w:rPr>
          <w:rFonts w:cs="Times New Roman" w:eastAsiaTheme="minorEastAsia"/>
          <w:bCs/>
        </w:rPr>
      </w:pPr>
      <w:r>
        <w:rPr>
          <w:rFonts w:cs="Times New Roman" w:eastAsiaTheme="minorEastAsia"/>
          <w:b w:val="0"/>
          <w:bCs/>
        </w:rPr>
        <w:t>1</w:t>
      </w:r>
      <w:r>
        <w:rPr>
          <w:rFonts w:cs="Times New Roman" w:eastAsiaTheme="minorEastAsia"/>
          <w:b/>
        </w:rPr>
        <w:t xml:space="preserve">  </w:t>
      </w:r>
      <w:r>
        <w:rPr>
          <w:rFonts w:cs="Times New Roman" w:eastAsiaTheme="minorEastAsia"/>
          <w:bCs/>
        </w:rPr>
        <w:t>嵌固段小于500mm的吊脚桩宜根据图5.2.1</w:t>
      </w:r>
      <w:r>
        <w:rPr>
          <w:rFonts w:hint="eastAsia" w:cs="Times New Roman" w:eastAsiaTheme="minorEastAsia"/>
          <w:bCs/>
        </w:rPr>
        <w:t>3</w:t>
      </w:r>
      <w:r>
        <w:rPr>
          <w:rFonts w:cs="Times New Roman" w:eastAsiaTheme="minorEastAsia"/>
          <w:bCs/>
        </w:rPr>
        <w:t>（a）按下列公式验算桩端地基承载力：</w:t>
      </w:r>
    </w:p>
    <w:p w14:paraId="1CC33FEC">
      <w:pPr>
        <w:ind w:firstLine="360" w:firstLineChars="150"/>
        <w:jc w:val="center"/>
        <w:rPr>
          <w:rFonts w:cs="Times New Roman" w:eastAsiaTheme="minorEastAsia"/>
          <w:bCs/>
        </w:rPr>
      </w:pPr>
      <w:r>
        <w:rPr>
          <w:rFonts w:cs="Times New Roman"/>
        </w:rPr>
        <w:drawing>
          <wp:inline distT="0" distB="0" distL="0" distR="0">
            <wp:extent cx="4874260" cy="2956560"/>
            <wp:effectExtent l="0" t="0" r="2540" b="0"/>
            <wp:docPr id="2232139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13965" name="图片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902642" cy="2974285"/>
                    </a:xfrm>
                    <a:prstGeom prst="rect">
                      <a:avLst/>
                    </a:prstGeom>
                  </pic:spPr>
                </pic:pic>
              </a:graphicData>
            </a:graphic>
          </wp:inline>
        </w:drawing>
      </w:r>
    </w:p>
    <w:p w14:paraId="0DBC6FB8">
      <w:pPr>
        <w:ind w:firstLine="1080" w:firstLineChars="450"/>
        <w:rPr>
          <w:rFonts w:cs="Times New Roman" w:eastAsiaTheme="minorEastAsia"/>
          <w:bCs/>
        </w:rPr>
      </w:pPr>
      <w:r>
        <w:rPr>
          <w:rFonts w:cs="Times New Roman" w:eastAsiaTheme="minorEastAsia"/>
          <w:bCs/>
        </w:rPr>
        <w:t>（a）有嵌固段吊脚桩               （b）无嵌固段吊脚桩</w:t>
      </w:r>
    </w:p>
    <w:p w14:paraId="5EAED5F0">
      <w:pPr>
        <w:ind w:firstLine="360" w:firstLineChars="150"/>
        <w:jc w:val="center"/>
        <w:rPr>
          <w:rFonts w:cs="Times New Roman" w:eastAsiaTheme="minorEastAsia"/>
          <w:bCs/>
        </w:rPr>
      </w:pPr>
      <w:r>
        <w:rPr>
          <w:rFonts w:cs="Times New Roman" w:eastAsiaTheme="minorEastAsia"/>
          <w:bCs/>
        </w:rPr>
        <w:t>图5.2.1</w:t>
      </w:r>
      <w:r>
        <w:rPr>
          <w:rFonts w:hint="eastAsia" w:cs="Times New Roman" w:eastAsiaTheme="minorEastAsia"/>
          <w:bCs/>
        </w:rPr>
        <w:t>3</w:t>
      </w:r>
      <w:r>
        <w:rPr>
          <w:rFonts w:cs="Times New Roman" w:eastAsiaTheme="minorEastAsia"/>
          <w:bCs/>
        </w:rPr>
        <w:t xml:space="preserve">  吊脚桩段地基承载力计算示意图</w:t>
      </w:r>
    </w:p>
    <w:tbl>
      <w:tblPr>
        <w:tblStyle w:val="1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91"/>
        <w:gridCol w:w="1970"/>
      </w:tblGrid>
      <w:tr w14:paraId="0D60F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43" w:hRule="atLeast"/>
        </w:trPr>
        <w:tc>
          <w:tcPr>
            <w:tcW w:w="3913" w:type="pct"/>
            <w:vAlign w:val="center"/>
          </w:tcPr>
          <w:p w14:paraId="11833589">
            <w:pPr>
              <w:jc w:val="right"/>
              <w:rPr>
                <w:rFonts w:cs="Times New Roman" w:eastAsiaTheme="minorEastAsia"/>
              </w:rPr>
            </w:pPr>
            <m:oMathPara>
              <m:oMathParaPr>
                <m:jc m:val="center"/>
              </m:oMathParaPr>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γ</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0</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W≤</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Q</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d</m:t>
                    </m:r>
                    <m:ctrlPr>
                      <w:rPr>
                        <w:rFonts w:ascii="Cambria Math" w:hAnsi="Cambria Math" w:cs="Times New Roman" w:eastAsiaTheme="minorEastAsia"/>
                        <w:i/>
                        <w:vertAlign w:val="subscript"/>
                        <w:lang w:val="de-DE"/>
                      </w:rPr>
                    </m:ctrlPr>
                  </m:sub>
                </m:sSub>
              </m:oMath>
            </m:oMathPara>
          </w:p>
        </w:tc>
        <w:tc>
          <w:tcPr>
            <w:tcW w:w="1087" w:type="pct"/>
            <w:vAlign w:val="center"/>
          </w:tcPr>
          <w:p w14:paraId="71A977AC">
            <w:pPr>
              <w:jc w:val="center"/>
              <w:rPr>
                <w:rFonts w:cs="Times New Roman" w:eastAsiaTheme="minorEastAsia"/>
              </w:rPr>
            </w:pPr>
            <w:r>
              <w:rPr>
                <w:rFonts w:cs="Times New Roman" w:eastAsiaTheme="minorEastAsia"/>
              </w:rPr>
              <w:t>（5.2.1</w:t>
            </w:r>
            <w:r>
              <w:rPr>
                <w:rFonts w:hint="eastAsia" w:cs="Times New Roman" w:eastAsiaTheme="minorEastAsia"/>
              </w:rPr>
              <w:t>3</w:t>
            </w:r>
            <w:r>
              <w:rPr>
                <w:rFonts w:cs="Times New Roman" w:eastAsiaTheme="minorEastAsia"/>
              </w:rPr>
              <w:t>-1）</w:t>
            </w:r>
          </w:p>
        </w:tc>
      </w:tr>
      <w:tr w14:paraId="06032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3913" w:type="pct"/>
            <w:vAlign w:val="center"/>
          </w:tcPr>
          <w:p w14:paraId="5BDB6215">
            <w:pPr>
              <w:jc w:val="right"/>
              <w:rPr>
                <w:rFonts w:cs="Times New Roman"/>
                <w:vertAlign w:val="subscript"/>
                <w:lang w:val="de-DE"/>
              </w:rPr>
            </w:pPr>
            <m:oMathPara>
              <m:oMathParaPr>
                <m:jc m:val="center"/>
              </m:oMathParaPr>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Q</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d</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f>
                  <m:fPr>
                    <m:ctrlPr>
                      <w:rPr>
                        <w:rFonts w:ascii="Cambria Math" w:hAnsi="Cambria Math" w:cs="Times New Roman" w:eastAsiaTheme="minorEastAsia"/>
                        <w:i/>
                        <w:vertAlign w:val="subscript"/>
                        <w:lang w:val="de-DE"/>
                      </w:rPr>
                    </m:ctrlPr>
                  </m:fPr>
                  <m:num>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q</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R</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A</m:t>
                    </m:r>
                    <m:ctrlPr>
                      <w:rPr>
                        <w:rFonts w:ascii="Cambria Math" w:hAnsi="Cambria Math" w:cs="Times New Roman" w:eastAsiaTheme="minorEastAsia"/>
                        <w:i/>
                        <w:vertAlign w:val="subscript"/>
                        <w:lang w:val="de-DE"/>
                      </w:rPr>
                    </m:ctrlPr>
                  </m:num>
                  <m:den>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γ</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R</m:t>
                        </m:r>
                        <m:ctrlPr>
                          <w:rPr>
                            <w:rFonts w:ascii="Cambria Math" w:hAnsi="Cambria Math" w:cs="Times New Roman" w:eastAsiaTheme="minorEastAsia"/>
                            <w:i/>
                            <w:vertAlign w:val="subscript"/>
                            <w:lang w:val="de-DE"/>
                          </w:rPr>
                        </m:ctrlPr>
                      </m:sub>
                    </m:sSub>
                    <m:ctrlPr>
                      <w:rPr>
                        <w:rFonts w:ascii="Cambria Math" w:hAnsi="Cambria Math" w:cs="Times New Roman" w:eastAsiaTheme="minorEastAsia"/>
                        <w:i/>
                        <w:vertAlign w:val="subscript"/>
                        <w:lang w:val="de-DE"/>
                      </w:rPr>
                    </m:ctrlPr>
                  </m:den>
                </m:f>
              </m:oMath>
            </m:oMathPara>
          </w:p>
        </w:tc>
        <w:tc>
          <w:tcPr>
            <w:tcW w:w="1087" w:type="pct"/>
            <w:vAlign w:val="center"/>
          </w:tcPr>
          <w:p w14:paraId="0A4EA456">
            <w:pPr>
              <w:jc w:val="center"/>
              <w:rPr>
                <w:rFonts w:cs="Times New Roman" w:eastAsiaTheme="minorEastAsia"/>
              </w:rPr>
            </w:pPr>
            <w:r>
              <w:rPr>
                <w:rFonts w:cs="Times New Roman" w:eastAsiaTheme="minorEastAsia"/>
              </w:rPr>
              <w:t>（5.2.1</w:t>
            </w:r>
            <w:r>
              <w:rPr>
                <w:rFonts w:hint="eastAsia" w:cs="Times New Roman" w:eastAsiaTheme="minorEastAsia"/>
              </w:rPr>
              <w:t>3</w:t>
            </w:r>
            <w:r>
              <w:rPr>
                <w:rFonts w:cs="Times New Roman" w:eastAsiaTheme="minorEastAsia"/>
              </w:rPr>
              <w:t>-2）</w:t>
            </w:r>
          </w:p>
        </w:tc>
      </w:tr>
      <w:tr w14:paraId="3097D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3913" w:type="pct"/>
            <w:vAlign w:val="center"/>
          </w:tcPr>
          <w:p w14:paraId="3AEDB79E">
            <w:pPr>
              <w:jc w:val="right"/>
              <w:rPr>
                <w:rFonts w:cs="Times New Roman"/>
                <w:vertAlign w:val="subscript"/>
                <w:lang w:val="de-DE"/>
              </w:rPr>
            </w:pPr>
            <m:oMathPara>
              <m:oMath>
                <m:r>
                  <m:rPr/>
                  <w:rPr>
                    <w:rFonts w:ascii="Cambria Math" w:hAnsi="Cambria Math" w:cs="Times New Roman" w:eastAsiaTheme="minorEastAsia"/>
                    <w:vertAlign w:val="subscript"/>
                    <w:lang w:val="de-DE"/>
                  </w:rPr>
                  <m:t>W=</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γ</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G</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d</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b</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0</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L</m:t>
                </m:r>
              </m:oMath>
            </m:oMathPara>
          </w:p>
        </w:tc>
        <w:tc>
          <w:tcPr>
            <w:tcW w:w="1087" w:type="pct"/>
            <w:vAlign w:val="center"/>
          </w:tcPr>
          <w:p w14:paraId="4CA9FE91">
            <w:pPr>
              <w:jc w:val="center"/>
              <w:rPr>
                <w:rFonts w:cs="Times New Roman" w:eastAsiaTheme="minorEastAsia"/>
              </w:rPr>
            </w:pPr>
            <w:r>
              <w:rPr>
                <w:rFonts w:cs="Times New Roman" w:eastAsiaTheme="minorEastAsia"/>
              </w:rPr>
              <w:t>（5.2.1</w:t>
            </w:r>
            <w:r>
              <w:rPr>
                <w:rFonts w:hint="eastAsia" w:cs="Times New Roman" w:eastAsiaTheme="minorEastAsia"/>
              </w:rPr>
              <w:t>3</w:t>
            </w:r>
            <w:r>
              <w:rPr>
                <w:rFonts w:cs="Times New Roman" w:eastAsiaTheme="minorEastAsia"/>
              </w:rPr>
              <w:t>-3）</w:t>
            </w:r>
          </w:p>
        </w:tc>
      </w:tr>
    </w:tbl>
    <w:tbl>
      <w:tblPr>
        <w:tblStyle w:val="13"/>
        <w:tblW w:w="5038" w:type="pct"/>
        <w:tblInd w:w="0" w:type="dxa"/>
        <w:tblLayout w:type="autofit"/>
        <w:tblCellMar>
          <w:top w:w="0" w:type="dxa"/>
          <w:left w:w="108" w:type="dxa"/>
          <w:bottom w:w="0" w:type="dxa"/>
          <w:right w:w="108" w:type="dxa"/>
        </w:tblCellMar>
      </w:tblPr>
      <w:tblGrid>
        <w:gridCol w:w="708"/>
        <w:gridCol w:w="950"/>
        <w:gridCol w:w="754"/>
        <w:gridCol w:w="6500"/>
      </w:tblGrid>
      <w:tr w14:paraId="52B44F67">
        <w:tblPrEx>
          <w:tblCellMar>
            <w:top w:w="0" w:type="dxa"/>
            <w:left w:w="108" w:type="dxa"/>
            <w:bottom w:w="0" w:type="dxa"/>
            <w:right w:w="108" w:type="dxa"/>
          </w:tblCellMar>
        </w:tblPrEx>
        <w:trPr>
          <w:trHeight w:val="5224" w:hRule="exact"/>
        </w:trPr>
        <w:tc>
          <w:tcPr>
            <w:tcW w:w="397" w:type="pct"/>
            <w:tcMar>
              <w:left w:w="0" w:type="dxa"/>
              <w:right w:w="28" w:type="dxa"/>
            </w:tcMar>
          </w:tcPr>
          <w:p w14:paraId="20EAB4EF">
            <w:pPr>
              <w:rPr>
                <w:rFonts w:cs="Times New Roman" w:eastAsiaTheme="minorEastAsia"/>
              </w:rPr>
            </w:pPr>
            <w:r>
              <w:rPr>
                <w:rFonts w:cs="Times New Roman" w:eastAsiaTheme="minorEastAsia"/>
              </w:rPr>
              <w:t>式中：</w:t>
            </w:r>
          </w:p>
        </w:tc>
        <w:tc>
          <w:tcPr>
            <w:tcW w:w="533" w:type="pct"/>
            <w:tcMar>
              <w:left w:w="0" w:type="dxa"/>
              <w:right w:w="28" w:type="dxa"/>
            </w:tcMar>
          </w:tcPr>
          <w:p w14:paraId="1CBA89C8">
            <w:pPr>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γ</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0</m:t>
                    </m:r>
                    <m:ctrlPr>
                      <w:rPr>
                        <w:rFonts w:ascii="Cambria Math" w:hAnsi="Cambria Math" w:cs="Times New Roman" w:eastAsiaTheme="minorEastAsia"/>
                        <w:i/>
                        <w:vertAlign w:val="subscript"/>
                        <w:lang w:val="de-DE"/>
                      </w:rPr>
                    </m:ctrlPr>
                  </m:sub>
                </m:sSub>
              </m:oMath>
            </m:oMathPara>
          </w:p>
          <w:p w14:paraId="3B448477">
            <w:pPr>
              <w:rPr>
                <w:rFonts w:cs="Times New Roman" w:eastAsiaTheme="minorEastAsia"/>
                <w:vertAlign w:val="subscript"/>
                <w:lang w:val="de-DE"/>
              </w:rPr>
            </w:pPr>
            <m:oMathPara>
              <m:oMath>
                <m:r>
                  <m:rPr/>
                  <w:rPr>
                    <w:rFonts w:ascii="Cambria Math" w:hAnsi="Cambria Math" w:cs="Times New Roman" w:eastAsiaTheme="minorEastAsia"/>
                    <w:vertAlign w:val="subscript"/>
                    <w:lang w:val="de-DE"/>
                  </w:rPr>
                  <m:t>W</m:t>
                </m:r>
              </m:oMath>
            </m:oMathPara>
          </w:p>
          <w:p w14:paraId="4E9A95A8">
            <w:pPr>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Q</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d</m:t>
                    </m:r>
                    <m:ctrlPr>
                      <w:rPr>
                        <w:rFonts w:ascii="Cambria Math" w:hAnsi="Cambria Math" w:cs="Times New Roman" w:eastAsiaTheme="minorEastAsia"/>
                        <w:i/>
                        <w:vertAlign w:val="subscript"/>
                        <w:lang w:val="de-DE"/>
                      </w:rPr>
                    </m:ctrlPr>
                  </m:sub>
                </m:sSub>
              </m:oMath>
            </m:oMathPara>
          </w:p>
          <w:p w14:paraId="65E05903">
            <w:pPr>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q</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R</m:t>
                    </m:r>
                    <m:ctrlPr>
                      <w:rPr>
                        <w:rFonts w:ascii="Cambria Math" w:hAnsi="Cambria Math" w:cs="Times New Roman" w:eastAsiaTheme="minorEastAsia"/>
                        <w:i/>
                        <w:vertAlign w:val="subscript"/>
                        <w:lang w:val="de-DE"/>
                      </w:rPr>
                    </m:ctrlPr>
                  </m:sub>
                </m:sSub>
              </m:oMath>
            </m:oMathPara>
          </w:p>
          <w:p w14:paraId="71A842E6">
            <w:pPr>
              <w:rPr>
                <w:rFonts w:cs="Times New Roman" w:eastAsiaTheme="minorEastAsia"/>
                <w:vertAlign w:val="subscript"/>
                <w:lang w:val="de-DE"/>
              </w:rPr>
            </w:pPr>
            <m:oMathPara>
              <m:oMath>
                <m:r>
                  <m:rPr/>
                  <w:rPr>
                    <w:rFonts w:ascii="Cambria Math" w:hAnsi="Cambria Math" w:cs="Times New Roman" w:eastAsiaTheme="minorEastAsia"/>
                    <w:vertAlign w:val="subscript"/>
                    <w:lang w:val="de-DE"/>
                  </w:rPr>
                  <m:t>A</m:t>
                </m:r>
              </m:oMath>
            </m:oMathPara>
          </w:p>
          <w:p w14:paraId="39558354">
            <w:pPr>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γ</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R</m:t>
                    </m:r>
                    <m:ctrlPr>
                      <w:rPr>
                        <w:rFonts w:ascii="Cambria Math" w:hAnsi="Cambria Math" w:cs="Times New Roman" w:eastAsiaTheme="minorEastAsia"/>
                        <w:i/>
                        <w:vertAlign w:val="subscript"/>
                        <w:lang w:val="de-DE"/>
                      </w:rPr>
                    </m:ctrlPr>
                  </m:sub>
                </m:sSub>
              </m:oMath>
            </m:oMathPara>
          </w:p>
          <w:p w14:paraId="6E1A08B8">
            <w:pPr>
              <w:rPr>
                <w:rFonts w:cs="Times New Roman" w:eastAsiaTheme="minorEastAsia"/>
                <w:vertAlign w:val="subscript"/>
                <w:lang w:val="de-DE"/>
              </w:rPr>
            </w:pPr>
          </w:p>
          <w:p w14:paraId="1E0691E5">
            <w:pPr>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γ</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G</m:t>
                    </m:r>
                    <m:ctrlPr>
                      <w:rPr>
                        <w:rFonts w:ascii="Cambria Math" w:hAnsi="Cambria Math" w:cs="Times New Roman" w:eastAsiaTheme="minorEastAsia"/>
                        <w:i/>
                        <w:vertAlign w:val="subscript"/>
                        <w:lang w:val="de-DE"/>
                      </w:rPr>
                    </m:ctrlPr>
                  </m:sub>
                </m:sSub>
              </m:oMath>
            </m:oMathPara>
          </w:p>
          <w:p w14:paraId="68024417">
            <w:pPr>
              <w:rPr>
                <w:rFonts w:cs="Times New Roman" w:eastAsiaTheme="minorEastAsia"/>
                <w:vertAlign w:val="subscript"/>
                <w:lang w:val="de-DE"/>
              </w:rPr>
            </w:pPr>
            <m:oMathPara>
              <m:oMath>
                <m:r>
                  <m:rPr/>
                  <w:rPr>
                    <w:rFonts w:ascii="Cambria Math" w:hAnsi="Cambria Math" w:cs="Times New Roman" w:eastAsiaTheme="minorEastAsia"/>
                    <w:vertAlign w:val="subscript"/>
                    <w:lang w:val="de-DE"/>
                  </w:rPr>
                  <m:t>d</m:t>
                </m:r>
              </m:oMath>
            </m:oMathPara>
          </w:p>
          <w:p w14:paraId="634EDEF1">
            <w:pPr>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b</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0</m:t>
                    </m:r>
                    <m:ctrlPr>
                      <w:rPr>
                        <w:rFonts w:ascii="Cambria Math" w:hAnsi="Cambria Math" w:cs="Times New Roman" w:eastAsiaTheme="minorEastAsia"/>
                        <w:i/>
                        <w:vertAlign w:val="subscript"/>
                        <w:lang w:val="de-DE"/>
                      </w:rPr>
                    </m:ctrlPr>
                  </m:sub>
                </m:sSub>
              </m:oMath>
            </m:oMathPara>
          </w:p>
          <w:p w14:paraId="20D4D595">
            <w:pPr>
              <w:rPr>
                <w:rFonts w:ascii="Cambria Math" w:hAnsi="Cambria Math" w:cs="Times New Roman" w:eastAsiaTheme="minorEastAsia"/>
                <w:vertAlign w:val="subscript"/>
                <w:lang w:val="de-DE"/>
                <w:oMath/>
              </w:rPr>
            </w:pPr>
            <m:oMathPara>
              <m:oMath>
                <m:r>
                  <m:rPr/>
                  <w:rPr>
                    <w:rFonts w:ascii="Cambria Math" w:hAnsi="Cambria Math" w:cs="Times New Roman" w:eastAsiaTheme="minorEastAsia"/>
                    <w:vertAlign w:val="subscript"/>
                    <w:lang w:val="de-DE"/>
                  </w:rPr>
                  <m:t>L</m:t>
                </m:r>
              </m:oMath>
            </m:oMathPara>
          </w:p>
        </w:tc>
        <w:tc>
          <w:tcPr>
            <w:tcW w:w="423" w:type="pct"/>
            <w:tcMar>
              <w:left w:w="28" w:type="dxa"/>
              <w:right w:w="0" w:type="dxa"/>
            </w:tcMar>
          </w:tcPr>
          <w:p w14:paraId="201266A9">
            <w:pPr>
              <w:rPr>
                <w:rFonts w:cs="Times New Roman" w:eastAsiaTheme="minorEastAsia"/>
                <w:lang w:val="de-DE"/>
              </w:rPr>
            </w:pPr>
            <w:r>
              <w:rPr>
                <w:rFonts w:cs="Times New Roman" w:eastAsiaTheme="minorEastAsia"/>
                <w:lang w:val="de-DE"/>
              </w:rPr>
              <w:t>——</w:t>
            </w:r>
          </w:p>
          <w:p w14:paraId="7CF91757">
            <w:pPr>
              <w:rPr>
                <w:rFonts w:cs="Times New Roman" w:eastAsiaTheme="minorEastAsia"/>
                <w:lang w:val="de-DE"/>
              </w:rPr>
            </w:pPr>
            <w:r>
              <w:rPr>
                <w:rFonts w:cs="Times New Roman" w:eastAsiaTheme="minorEastAsia"/>
                <w:lang w:val="de-DE"/>
              </w:rPr>
              <w:t>——</w:t>
            </w:r>
          </w:p>
          <w:p w14:paraId="7B015C6A">
            <w:pPr>
              <w:rPr>
                <w:rFonts w:cs="Times New Roman" w:eastAsiaTheme="minorEastAsia"/>
                <w:lang w:val="de-DE"/>
              </w:rPr>
            </w:pPr>
            <w:r>
              <w:rPr>
                <w:rFonts w:cs="Times New Roman" w:eastAsiaTheme="minorEastAsia"/>
                <w:lang w:val="de-DE"/>
              </w:rPr>
              <w:t>——</w:t>
            </w:r>
          </w:p>
          <w:p w14:paraId="6A6640FC">
            <w:pPr>
              <w:rPr>
                <w:rFonts w:cs="Times New Roman" w:eastAsiaTheme="minorEastAsia"/>
                <w:lang w:val="de-DE"/>
              </w:rPr>
            </w:pPr>
            <w:r>
              <w:rPr>
                <w:rFonts w:cs="Times New Roman" w:eastAsiaTheme="minorEastAsia"/>
                <w:lang w:val="de-DE"/>
              </w:rPr>
              <w:t>——</w:t>
            </w:r>
          </w:p>
          <w:p w14:paraId="7F0A3509">
            <w:pPr>
              <w:rPr>
                <w:rFonts w:cs="Times New Roman" w:eastAsiaTheme="minorEastAsia"/>
                <w:lang w:val="de-DE"/>
              </w:rPr>
            </w:pPr>
            <w:r>
              <w:rPr>
                <w:rFonts w:cs="Times New Roman" w:eastAsiaTheme="minorEastAsia"/>
                <w:lang w:val="de-DE"/>
              </w:rPr>
              <w:t>——</w:t>
            </w:r>
          </w:p>
          <w:p w14:paraId="584D8E34">
            <w:pPr>
              <w:rPr>
                <w:rFonts w:cs="Times New Roman" w:eastAsiaTheme="minorEastAsia"/>
                <w:lang w:val="de-DE"/>
              </w:rPr>
            </w:pPr>
            <w:r>
              <w:rPr>
                <w:rFonts w:cs="Times New Roman" w:eastAsiaTheme="minorEastAsia"/>
                <w:lang w:val="de-DE"/>
              </w:rPr>
              <w:t>——</w:t>
            </w:r>
          </w:p>
          <w:p w14:paraId="7E43396D">
            <w:pPr>
              <w:rPr>
                <w:rFonts w:cs="Times New Roman" w:eastAsiaTheme="minorEastAsia"/>
                <w:lang w:val="de-DE"/>
              </w:rPr>
            </w:pPr>
          </w:p>
          <w:p w14:paraId="6F4B7736">
            <w:pPr>
              <w:rPr>
                <w:rFonts w:cs="Times New Roman" w:eastAsiaTheme="minorEastAsia"/>
                <w:lang w:val="de-DE"/>
              </w:rPr>
            </w:pPr>
            <w:r>
              <w:rPr>
                <w:rFonts w:cs="Times New Roman" w:eastAsiaTheme="minorEastAsia"/>
                <w:lang w:val="de-DE"/>
              </w:rPr>
              <w:t>——</w:t>
            </w:r>
          </w:p>
          <w:p w14:paraId="79B11DB5">
            <w:pPr>
              <w:rPr>
                <w:rFonts w:cs="Times New Roman" w:eastAsiaTheme="minorEastAsia"/>
                <w:lang w:val="de-DE"/>
              </w:rPr>
            </w:pPr>
            <w:r>
              <w:rPr>
                <w:rFonts w:cs="Times New Roman" w:eastAsiaTheme="minorEastAsia"/>
                <w:lang w:val="de-DE"/>
              </w:rPr>
              <w:t>——</w:t>
            </w:r>
          </w:p>
          <w:p w14:paraId="47443877">
            <w:pPr>
              <w:rPr>
                <w:rFonts w:cs="Times New Roman" w:eastAsiaTheme="minorEastAsia"/>
                <w:lang w:val="de-DE"/>
              </w:rPr>
            </w:pPr>
            <w:r>
              <w:rPr>
                <w:rFonts w:cs="Times New Roman" w:eastAsiaTheme="minorEastAsia"/>
                <w:lang w:val="de-DE"/>
              </w:rPr>
              <w:t>——</w:t>
            </w:r>
          </w:p>
          <w:p w14:paraId="109E4569">
            <w:pPr>
              <w:rPr>
                <w:rFonts w:cs="Times New Roman" w:eastAsiaTheme="minorEastAsia"/>
                <w:lang w:val="de-DE"/>
              </w:rPr>
            </w:pPr>
            <w:r>
              <w:rPr>
                <w:rFonts w:cs="Times New Roman" w:eastAsiaTheme="minorEastAsia"/>
                <w:lang w:val="de-DE"/>
              </w:rPr>
              <w:t>——</w:t>
            </w:r>
          </w:p>
        </w:tc>
        <w:tc>
          <w:tcPr>
            <w:tcW w:w="3646" w:type="pct"/>
            <w:tcMar>
              <w:left w:w="0" w:type="dxa"/>
              <w:right w:w="0" w:type="dxa"/>
            </w:tcMar>
          </w:tcPr>
          <w:p w14:paraId="22D97875">
            <w:pPr>
              <w:rPr>
                <w:rFonts w:cs="Times New Roman" w:eastAsiaTheme="minorEastAsia"/>
              </w:rPr>
            </w:pPr>
            <w:r>
              <w:rPr>
                <w:rFonts w:cs="Times New Roman" w:eastAsiaTheme="minorEastAsia"/>
              </w:rPr>
              <w:t>结构重要性系数，取1.0；</w:t>
            </w:r>
          </w:p>
          <w:p w14:paraId="0BEED389">
            <w:pPr>
              <w:rPr>
                <w:rFonts w:cs="Times New Roman" w:eastAsiaTheme="minorEastAsia"/>
              </w:rPr>
            </w:pPr>
            <w:r>
              <w:rPr>
                <w:rFonts w:cs="Times New Roman" w:eastAsiaTheme="minorEastAsia"/>
              </w:rPr>
              <w:t>吊脚桩支护结构体系自重（kN）；</w:t>
            </w:r>
          </w:p>
          <w:p w14:paraId="6435D6A1">
            <w:pPr>
              <w:rPr>
                <w:rFonts w:cs="Times New Roman" w:eastAsiaTheme="minorEastAsia"/>
              </w:rPr>
            </w:pPr>
            <w:r>
              <w:rPr>
                <w:rFonts w:cs="Times New Roman" w:eastAsiaTheme="minorEastAsia"/>
              </w:rPr>
              <w:t>吊脚桩端极限承载力设计值（kN）；</w:t>
            </w:r>
          </w:p>
          <w:p w14:paraId="0077D09C">
            <w:pPr>
              <w:rPr>
                <w:rFonts w:cs="Times New Roman" w:eastAsiaTheme="minorEastAsia"/>
              </w:rPr>
            </w:pPr>
            <w:r>
              <w:rPr>
                <w:rFonts w:cs="Times New Roman" w:eastAsiaTheme="minorEastAsia"/>
              </w:rPr>
              <w:t>吊脚桩极限端阻力标准值（kPa）；</w:t>
            </w:r>
          </w:p>
          <w:p w14:paraId="41342E17">
            <w:pPr>
              <w:rPr>
                <w:rFonts w:cs="Times New Roman" w:eastAsiaTheme="minorEastAsia"/>
              </w:rPr>
            </w:pPr>
            <w:r>
              <w:rPr>
                <w:rFonts w:cs="Times New Roman" w:eastAsiaTheme="minorEastAsia"/>
              </w:rPr>
              <w:t>吊脚桩端面积（m</w:t>
            </w:r>
            <w:r>
              <w:rPr>
                <w:rFonts w:cs="Times New Roman" w:eastAsiaTheme="minorEastAsia"/>
                <w:vertAlign w:val="superscript"/>
              </w:rPr>
              <w:t>2</w:t>
            </w:r>
            <w:r>
              <w:rPr>
                <w:rFonts w:cs="Times New Roman" w:eastAsiaTheme="minorEastAsia"/>
              </w:rPr>
              <w:t>）；</w:t>
            </w:r>
          </w:p>
          <w:p w14:paraId="628CC87C">
            <w:pPr>
              <w:rPr>
                <w:rFonts w:cs="Times New Roman" w:eastAsiaTheme="minorEastAsia"/>
              </w:rPr>
            </w:pPr>
            <w:r>
              <w:rPr>
                <w:rFonts w:cs="Times New Roman" w:eastAsiaTheme="minorEastAsia"/>
              </w:rPr>
              <w:t>吊脚桩端承载力分项系数，根据工程具体情况分析确定，可取1.60</w:t>
            </w:r>
            <w:r>
              <w:rPr>
                <w:rFonts w:cs="Times New Roman"/>
              </w:rPr>
              <w:t>～</w:t>
            </w:r>
            <w:r>
              <w:rPr>
                <w:rFonts w:cs="Times New Roman" w:eastAsiaTheme="minorEastAsia"/>
              </w:rPr>
              <w:t>1.65；</w:t>
            </w:r>
          </w:p>
          <w:p w14:paraId="2AB11686">
            <w:pPr>
              <w:rPr>
                <w:rFonts w:cs="Times New Roman" w:eastAsiaTheme="minorEastAsia"/>
              </w:rPr>
            </w:pPr>
            <w:r>
              <w:rPr>
                <w:rFonts w:cs="Times New Roman" w:eastAsiaTheme="minorEastAsia"/>
              </w:rPr>
              <w:t>吊脚桩的钢筋混凝土重度（kN/m</w:t>
            </w:r>
            <w:r>
              <w:rPr>
                <w:rFonts w:cs="Times New Roman" w:eastAsiaTheme="minorEastAsia"/>
                <w:vertAlign w:val="superscript"/>
              </w:rPr>
              <w:t>3</w:t>
            </w:r>
            <w:r>
              <w:rPr>
                <w:rFonts w:cs="Times New Roman" w:eastAsiaTheme="minorEastAsia"/>
              </w:rPr>
              <w:t>），一般取24kN/m</w:t>
            </w:r>
            <w:r>
              <w:rPr>
                <w:rFonts w:cs="Times New Roman" w:eastAsiaTheme="minorEastAsia"/>
                <w:vertAlign w:val="superscript"/>
              </w:rPr>
              <w:t>3</w:t>
            </w:r>
            <w:r>
              <w:rPr>
                <w:rFonts w:cs="Times New Roman"/>
              </w:rPr>
              <w:t>～</w:t>
            </w:r>
            <w:r>
              <w:rPr>
                <w:rFonts w:cs="Times New Roman" w:eastAsiaTheme="minorEastAsia"/>
              </w:rPr>
              <w:t>25kN/m</w:t>
            </w:r>
            <w:r>
              <w:rPr>
                <w:rFonts w:cs="Times New Roman" w:eastAsiaTheme="minorEastAsia"/>
                <w:vertAlign w:val="superscript"/>
              </w:rPr>
              <w:t>3</w:t>
            </w:r>
            <w:r>
              <w:rPr>
                <w:rFonts w:cs="Times New Roman" w:eastAsiaTheme="minorEastAsia"/>
              </w:rPr>
              <w:t>；</w:t>
            </w:r>
          </w:p>
          <w:p w14:paraId="022FC479">
            <w:pPr>
              <w:rPr>
                <w:rFonts w:cs="Times New Roman" w:eastAsiaTheme="minorEastAsia"/>
              </w:rPr>
            </w:pPr>
            <w:r>
              <w:rPr>
                <w:rFonts w:cs="Times New Roman" w:eastAsiaTheme="minorEastAsia"/>
              </w:rPr>
              <w:t>吊脚桩直径（m）；</w:t>
            </w:r>
          </w:p>
          <w:p w14:paraId="2A4A21FE">
            <w:pPr>
              <w:rPr>
                <w:rFonts w:cs="Times New Roman" w:eastAsiaTheme="minorEastAsia"/>
              </w:rPr>
            </w:pPr>
            <w:r>
              <w:rPr>
                <w:rFonts w:cs="Times New Roman" w:eastAsiaTheme="minorEastAsia"/>
              </w:rPr>
              <w:t>相邻桩的中心间距（m）；</w:t>
            </w:r>
          </w:p>
          <w:p w14:paraId="0F8A964A">
            <w:pPr>
              <w:rPr>
                <w:rFonts w:cs="Times New Roman" w:eastAsiaTheme="minorEastAsia"/>
              </w:rPr>
            </w:pPr>
            <w:r>
              <w:rPr>
                <w:rFonts w:cs="Times New Roman" w:eastAsiaTheme="minorEastAsia"/>
              </w:rPr>
              <w:t>吊脚桩长（L）。</w:t>
            </w:r>
          </w:p>
        </w:tc>
      </w:tr>
    </w:tbl>
    <w:p w14:paraId="03FBFD73">
      <w:pPr>
        <w:ind w:firstLine="360" w:firstLineChars="150"/>
        <w:rPr>
          <w:rFonts w:cs="Times New Roman" w:eastAsiaTheme="minorEastAsia"/>
          <w:b/>
        </w:rPr>
      </w:pPr>
      <w:r>
        <w:rPr>
          <w:rFonts w:cs="Times New Roman" w:eastAsiaTheme="minorEastAsia"/>
          <w:b w:val="0"/>
          <w:bCs/>
        </w:rPr>
        <w:t>2</w:t>
      </w:r>
      <w:r>
        <w:rPr>
          <w:rFonts w:cs="Times New Roman" w:eastAsiaTheme="minorEastAsia"/>
          <w:b/>
        </w:rPr>
        <w:t xml:space="preserve">  </w:t>
      </w:r>
      <w:r>
        <w:rPr>
          <w:rFonts w:cs="Times New Roman" w:eastAsiaTheme="minorEastAsia"/>
          <w:bCs/>
        </w:rPr>
        <w:t>无嵌固段的吊脚桩宜根据图5.2.1</w:t>
      </w:r>
      <w:r>
        <w:rPr>
          <w:rFonts w:hint="eastAsia" w:cs="Times New Roman" w:eastAsiaTheme="minorEastAsia"/>
          <w:bCs/>
        </w:rPr>
        <w:t>3</w:t>
      </w:r>
      <w:r>
        <w:rPr>
          <w:rFonts w:cs="Times New Roman" w:eastAsiaTheme="minorEastAsia"/>
          <w:bCs/>
        </w:rPr>
        <w:t>（b）按下列公式验算桩端地基承载力：</w:t>
      </w:r>
    </w:p>
    <w:tbl>
      <w:tblPr>
        <w:tblStyle w:val="1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91"/>
        <w:gridCol w:w="1970"/>
      </w:tblGrid>
      <w:tr w14:paraId="729D0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3913" w:type="pct"/>
            <w:vAlign w:val="center"/>
          </w:tcPr>
          <w:p w14:paraId="48841D43">
            <w:pPr>
              <w:jc w:val="right"/>
              <w:rPr>
                <w:rFonts w:cs="Times New Roman" w:eastAsiaTheme="minorEastAsia"/>
              </w:rPr>
            </w:pPr>
            <m:oMathPara>
              <m:oMathParaPr>
                <m:jc m:val="center"/>
              </m:oMathParaPr>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γ</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0</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W≤</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Q</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d</m:t>
                    </m:r>
                    <m:ctrlPr>
                      <w:rPr>
                        <w:rFonts w:ascii="Cambria Math" w:hAnsi="Cambria Math" w:cs="Times New Roman" w:eastAsiaTheme="minorEastAsia"/>
                        <w:i/>
                        <w:vertAlign w:val="subscript"/>
                        <w:lang w:val="de-DE"/>
                      </w:rPr>
                    </m:ctrlPr>
                  </m:sub>
                </m:sSub>
              </m:oMath>
            </m:oMathPara>
          </w:p>
        </w:tc>
        <w:tc>
          <w:tcPr>
            <w:tcW w:w="1087" w:type="pct"/>
            <w:vAlign w:val="center"/>
          </w:tcPr>
          <w:p w14:paraId="0F63616B">
            <w:pPr>
              <w:jc w:val="center"/>
              <w:rPr>
                <w:rFonts w:cs="Times New Roman" w:eastAsiaTheme="minorEastAsia"/>
              </w:rPr>
            </w:pPr>
            <w:r>
              <w:rPr>
                <w:rFonts w:cs="Times New Roman" w:eastAsiaTheme="minorEastAsia"/>
              </w:rPr>
              <w:t>（5.2.1</w:t>
            </w:r>
            <w:r>
              <w:rPr>
                <w:rFonts w:hint="eastAsia" w:cs="Times New Roman" w:eastAsiaTheme="minorEastAsia"/>
              </w:rPr>
              <w:t>3</w:t>
            </w:r>
            <w:r>
              <w:rPr>
                <w:rFonts w:cs="Times New Roman" w:eastAsiaTheme="minorEastAsia"/>
              </w:rPr>
              <w:t>-4）</w:t>
            </w:r>
          </w:p>
        </w:tc>
      </w:tr>
      <w:tr w14:paraId="2D89D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3913" w:type="pct"/>
            <w:vAlign w:val="center"/>
          </w:tcPr>
          <w:p w14:paraId="0CA34B29">
            <w:pPr>
              <w:jc w:val="right"/>
              <w:rPr>
                <w:rFonts w:cs="Times New Roman"/>
                <w:vertAlign w:val="subscript"/>
                <w:lang w:val="de-DE"/>
              </w:rPr>
            </w:pPr>
            <m:oMathPara>
              <m:oMathParaPr>
                <m:jc m:val="center"/>
              </m:oMathParaPr>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Q</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d</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sSub>
                  <m:sSubPr>
                    <m:ctrlPr>
                      <w:rPr>
                        <w:rFonts w:ascii="Cambria Math" w:hAnsi="Cambria Math" w:cs="Times New Roman" w:eastAsiaTheme="minorEastAsia"/>
                        <w:i/>
                        <w:vertAlign w:val="subscript"/>
                        <w:lang w:val="de-DE"/>
                      </w:rPr>
                    </m:ctrlPr>
                  </m:sSubPr>
                  <m:e>
                    <m:f>
                      <m:fPr>
                        <m:ctrlPr>
                          <w:rPr>
                            <w:rFonts w:ascii="Cambria Math" w:hAnsi="Cambria Math" w:cs="Times New Roman" w:eastAsiaTheme="minorEastAsia"/>
                            <w:i/>
                            <w:vertAlign w:val="subscript"/>
                            <w:lang w:val="de-DE"/>
                          </w:rPr>
                        </m:ctrlPr>
                      </m:fPr>
                      <m:num>
                        <m:r>
                          <m:rPr/>
                          <w:rPr>
                            <w:rFonts w:ascii="Cambria Math" w:hAnsi="Cambria Math" w:cs="Times New Roman" w:eastAsiaTheme="minorEastAsia"/>
                            <w:vertAlign w:val="subscript"/>
                            <w:lang w:val="de-DE"/>
                          </w:rPr>
                          <m:t>3</m:t>
                        </m:r>
                        <m:ctrlPr>
                          <w:rPr>
                            <w:rFonts w:ascii="Cambria Math" w:hAnsi="Cambria Math" w:cs="Times New Roman" w:eastAsiaTheme="minorEastAsia"/>
                            <w:i/>
                            <w:vertAlign w:val="subscript"/>
                            <w:lang w:val="de-DE"/>
                          </w:rPr>
                        </m:ctrlPr>
                      </m:num>
                      <m:den>
                        <m:r>
                          <m:rPr/>
                          <w:rPr>
                            <w:rFonts w:ascii="Cambria Math" w:hAnsi="Cambria Math" w:cs="Times New Roman" w:eastAsiaTheme="minorEastAsia"/>
                            <w:vertAlign w:val="subscript"/>
                            <w:lang w:val="de-DE"/>
                          </w:rPr>
                          <m:t>4</m:t>
                        </m:r>
                        <m:ctrlPr>
                          <w:rPr>
                            <w:rFonts w:ascii="Cambria Math" w:hAnsi="Cambria Math" w:cs="Times New Roman" w:eastAsiaTheme="minorEastAsia"/>
                            <w:i/>
                            <w:vertAlign w:val="subscript"/>
                            <w:lang w:val="de-DE"/>
                          </w:rPr>
                        </m:ctrlPr>
                      </m:den>
                    </m:f>
                    <m:r>
                      <m:rPr/>
                      <w:rPr>
                        <w:rFonts w:ascii="Cambria Math" w:hAnsi="Cambria Math" w:cs="Times New Roman" w:eastAsiaTheme="minorEastAsia"/>
                        <w:vertAlign w:val="subscript"/>
                        <w:lang w:val="de-DE"/>
                      </w:rPr>
                      <m:t>(</m:t>
                    </m:r>
                    <m:nary>
                      <m:naryPr>
                        <m:chr m:val="∑"/>
                        <m:limLoc m:val="undOvr"/>
                        <m:subHide m:val="1"/>
                        <m:supHide m:val="1"/>
                        <m:ctrlPr>
                          <w:rPr>
                            <w:rFonts w:ascii="Cambria Math" w:hAnsi="Cambria Math" w:cs="Times New Roman" w:eastAsiaTheme="minorEastAsia"/>
                            <w:i/>
                            <w:vertAlign w:val="subscript"/>
                            <w:lang w:val="de-DE"/>
                          </w:rPr>
                        </m:ctrlPr>
                      </m:naryPr>
                      <m:sub>
                        <m:ctrlPr>
                          <w:rPr>
                            <w:rFonts w:ascii="Cambria Math" w:hAnsi="Cambria Math" w:cs="Times New Roman" w:eastAsiaTheme="minorEastAsia"/>
                            <w:i/>
                            <w:vertAlign w:val="subscript"/>
                            <w:lang w:val="de-DE"/>
                          </w:rPr>
                        </m:ctrlPr>
                      </m:sub>
                      <m:sup>
                        <m:ctrlPr>
                          <w:rPr>
                            <w:rFonts w:ascii="Cambria Math" w:hAnsi="Cambria Math" w:cs="Times New Roman" w:eastAsiaTheme="minorEastAsia"/>
                            <w:i/>
                            <w:vertAlign w:val="subscript"/>
                            <w:lang w:val="de-DE"/>
                          </w:rPr>
                        </m:ctrlPr>
                      </m:sup>
                      <m:e>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q</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fi</m:t>
                            </m:r>
                            <m:ctrlPr>
                              <w:rPr>
                                <w:rFonts w:ascii="Cambria Math" w:hAnsi="Cambria Math" w:cs="Times New Roman" w:eastAsiaTheme="minorEastAsia"/>
                                <w:i/>
                                <w:vertAlign w:val="subscript"/>
                                <w:lang w:val="de-DE"/>
                              </w:rPr>
                            </m:ctrlPr>
                          </m:sub>
                        </m:sSub>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l</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i</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m:t>
                        </m:r>
                        <m:ctrlPr>
                          <w:rPr>
                            <w:rFonts w:ascii="Cambria Math" w:hAnsi="Cambria Math" w:cs="Times New Roman" w:eastAsiaTheme="minorEastAsia"/>
                            <w:i/>
                            <w:vertAlign w:val="subscript"/>
                            <w:lang w:val="de-DE"/>
                          </w:rPr>
                        </m:ctrlPr>
                      </m:e>
                    </m:nary>
                    <m:r>
                      <m:rPr/>
                      <w:rPr>
                        <w:rFonts w:ascii="Cambria Math" w:hAnsi="Cambria Math" w:cs="Times New Roman" w:eastAsiaTheme="minorEastAsia"/>
                        <w:vertAlign w:val="subscript"/>
                        <w:lang w:val="de-DE"/>
                      </w:rPr>
                      <m:t>q</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R</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A)/</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γ</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R</m:t>
                    </m:r>
                    <m:ctrlPr>
                      <w:rPr>
                        <w:rFonts w:ascii="Cambria Math" w:hAnsi="Cambria Math" w:cs="Times New Roman" w:eastAsiaTheme="minorEastAsia"/>
                        <w:i/>
                        <w:vertAlign w:val="subscript"/>
                        <w:lang w:val="de-DE"/>
                      </w:rPr>
                    </m:ctrlPr>
                  </m:sub>
                </m:sSub>
              </m:oMath>
            </m:oMathPara>
          </w:p>
        </w:tc>
        <w:tc>
          <w:tcPr>
            <w:tcW w:w="1087" w:type="pct"/>
            <w:vAlign w:val="center"/>
          </w:tcPr>
          <w:p w14:paraId="6F871DA9">
            <w:pPr>
              <w:jc w:val="center"/>
              <w:rPr>
                <w:rFonts w:cs="Times New Roman" w:eastAsiaTheme="minorEastAsia"/>
              </w:rPr>
            </w:pPr>
            <w:r>
              <w:rPr>
                <w:rFonts w:cs="Times New Roman" w:eastAsiaTheme="minorEastAsia"/>
              </w:rPr>
              <w:t>（5.2.1</w:t>
            </w:r>
            <w:r>
              <w:rPr>
                <w:rFonts w:hint="eastAsia" w:cs="Times New Roman" w:eastAsiaTheme="minorEastAsia"/>
              </w:rPr>
              <w:t>3</w:t>
            </w:r>
            <w:r>
              <w:rPr>
                <w:rFonts w:cs="Times New Roman" w:eastAsiaTheme="minorEastAsia"/>
              </w:rPr>
              <w:t>-5）</w:t>
            </w:r>
          </w:p>
        </w:tc>
      </w:tr>
      <w:tr w14:paraId="14B91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3913" w:type="pct"/>
            <w:vAlign w:val="center"/>
          </w:tcPr>
          <w:p w14:paraId="1D22C86F">
            <w:pPr>
              <w:jc w:val="right"/>
              <w:rPr>
                <w:rFonts w:cs="Times New Roman"/>
                <w:vertAlign w:val="subscript"/>
                <w:lang w:val="de-DE"/>
              </w:rPr>
            </w:pPr>
            <m:oMathPara>
              <m:oMath>
                <m:r>
                  <m:rPr/>
                  <w:rPr>
                    <w:rFonts w:ascii="Cambria Math" w:hAnsi="Cambria Math" w:cs="Times New Roman" w:eastAsiaTheme="minorEastAsia"/>
                    <w:vertAlign w:val="subscript"/>
                    <w:lang w:val="de-DE"/>
                  </w:rPr>
                  <m:t>W=</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γ</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G</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d</m:t>
                </m:r>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b</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0</m:t>
                    </m:r>
                    <m:ctrlPr>
                      <w:rPr>
                        <w:rFonts w:ascii="Cambria Math" w:hAnsi="Cambria Math" w:cs="Times New Roman" w:eastAsiaTheme="minorEastAsia"/>
                        <w:i/>
                        <w:vertAlign w:val="subscript"/>
                        <w:lang w:val="de-DE"/>
                      </w:rPr>
                    </m:ctrlPr>
                  </m:sub>
                </m:sSub>
                <m:r>
                  <m:rPr/>
                  <w:rPr>
                    <w:rFonts w:ascii="Cambria Math" w:hAnsi="Cambria Math" w:cs="Times New Roman" w:eastAsiaTheme="minorEastAsia"/>
                    <w:vertAlign w:val="subscript"/>
                    <w:lang w:val="de-DE"/>
                  </w:rPr>
                  <m:t>L</m:t>
                </m:r>
              </m:oMath>
            </m:oMathPara>
          </w:p>
        </w:tc>
        <w:tc>
          <w:tcPr>
            <w:tcW w:w="1087" w:type="pct"/>
            <w:vAlign w:val="center"/>
          </w:tcPr>
          <w:p w14:paraId="5A6FF93A">
            <w:pPr>
              <w:jc w:val="center"/>
              <w:rPr>
                <w:rFonts w:cs="Times New Roman" w:eastAsiaTheme="minorEastAsia"/>
              </w:rPr>
            </w:pPr>
            <w:r>
              <w:rPr>
                <w:rFonts w:cs="Times New Roman" w:eastAsiaTheme="minorEastAsia"/>
              </w:rPr>
              <w:t>（5.2.1</w:t>
            </w:r>
            <w:r>
              <w:rPr>
                <w:rFonts w:hint="eastAsia" w:cs="Times New Roman" w:eastAsiaTheme="minorEastAsia"/>
              </w:rPr>
              <w:t>3</w:t>
            </w:r>
            <w:r>
              <w:rPr>
                <w:rFonts w:cs="Times New Roman" w:eastAsiaTheme="minorEastAsia"/>
              </w:rPr>
              <w:t>-6）</w:t>
            </w:r>
          </w:p>
        </w:tc>
      </w:tr>
    </w:tbl>
    <w:tbl>
      <w:tblPr>
        <w:tblStyle w:val="13"/>
        <w:tblW w:w="5038" w:type="pct"/>
        <w:tblInd w:w="0" w:type="dxa"/>
        <w:tblLayout w:type="autofit"/>
        <w:tblCellMar>
          <w:top w:w="0" w:type="dxa"/>
          <w:left w:w="108" w:type="dxa"/>
          <w:bottom w:w="0" w:type="dxa"/>
          <w:right w:w="108" w:type="dxa"/>
        </w:tblCellMar>
      </w:tblPr>
      <w:tblGrid>
        <w:gridCol w:w="736"/>
        <w:gridCol w:w="987"/>
        <w:gridCol w:w="784"/>
        <w:gridCol w:w="6405"/>
      </w:tblGrid>
      <w:tr w14:paraId="18A38BD0">
        <w:tblPrEx>
          <w:tblCellMar>
            <w:top w:w="0" w:type="dxa"/>
            <w:left w:w="108" w:type="dxa"/>
            <w:bottom w:w="0" w:type="dxa"/>
            <w:right w:w="108" w:type="dxa"/>
          </w:tblCellMar>
        </w:tblPrEx>
        <w:trPr>
          <w:trHeight w:val="6679" w:hRule="exact"/>
        </w:trPr>
        <w:tc>
          <w:tcPr>
            <w:tcW w:w="413" w:type="pct"/>
            <w:tcMar>
              <w:left w:w="0" w:type="dxa"/>
              <w:right w:w="28" w:type="dxa"/>
            </w:tcMar>
          </w:tcPr>
          <w:p w14:paraId="6DDAA091">
            <w:pPr>
              <w:rPr>
                <w:rFonts w:cs="Times New Roman" w:eastAsiaTheme="minorEastAsia"/>
              </w:rPr>
            </w:pPr>
            <w:r>
              <w:rPr>
                <w:rFonts w:cs="Times New Roman" w:eastAsiaTheme="minorEastAsia"/>
              </w:rPr>
              <w:t>式中：</w:t>
            </w:r>
          </w:p>
        </w:tc>
        <w:tc>
          <w:tcPr>
            <w:tcW w:w="554" w:type="pct"/>
            <w:tcMar>
              <w:left w:w="0" w:type="dxa"/>
              <w:right w:w="28" w:type="dxa"/>
            </w:tcMar>
          </w:tcPr>
          <w:p w14:paraId="774EDB40">
            <w:pPr>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γ</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0</m:t>
                    </m:r>
                    <m:ctrlPr>
                      <w:rPr>
                        <w:rFonts w:ascii="Cambria Math" w:hAnsi="Cambria Math" w:cs="Times New Roman" w:eastAsiaTheme="minorEastAsia"/>
                        <w:i/>
                        <w:vertAlign w:val="subscript"/>
                        <w:lang w:val="de-DE"/>
                      </w:rPr>
                    </m:ctrlPr>
                  </m:sub>
                </m:sSub>
              </m:oMath>
            </m:oMathPara>
          </w:p>
          <w:p w14:paraId="273E1AC4">
            <w:pPr>
              <w:rPr>
                <w:rFonts w:cs="Times New Roman" w:eastAsiaTheme="minorEastAsia"/>
                <w:vertAlign w:val="subscript"/>
                <w:lang w:val="de-DE"/>
              </w:rPr>
            </w:pPr>
            <m:oMathPara>
              <m:oMath>
                <m:r>
                  <m:rPr/>
                  <w:rPr>
                    <w:rFonts w:ascii="Cambria Math" w:hAnsi="Cambria Math" w:cs="Times New Roman" w:eastAsiaTheme="minorEastAsia"/>
                    <w:vertAlign w:val="subscript"/>
                    <w:lang w:val="de-DE"/>
                  </w:rPr>
                  <m:t>W</m:t>
                </m:r>
              </m:oMath>
            </m:oMathPara>
          </w:p>
          <w:p w14:paraId="14959611">
            <w:pPr>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Q</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d</m:t>
                    </m:r>
                    <m:ctrlPr>
                      <w:rPr>
                        <w:rFonts w:ascii="Cambria Math" w:hAnsi="Cambria Math" w:cs="Times New Roman" w:eastAsiaTheme="minorEastAsia"/>
                        <w:i/>
                        <w:vertAlign w:val="subscript"/>
                        <w:lang w:val="de-DE"/>
                      </w:rPr>
                    </m:ctrlPr>
                  </m:sub>
                </m:sSub>
              </m:oMath>
            </m:oMathPara>
          </w:p>
          <w:p w14:paraId="0F3231A9">
            <w:pPr>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q</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fi</m:t>
                    </m:r>
                    <m:ctrlPr>
                      <w:rPr>
                        <w:rFonts w:ascii="Cambria Math" w:hAnsi="Cambria Math" w:cs="Times New Roman" w:eastAsiaTheme="minorEastAsia"/>
                        <w:i/>
                        <w:vertAlign w:val="subscript"/>
                        <w:lang w:val="de-DE"/>
                      </w:rPr>
                    </m:ctrlPr>
                  </m:sub>
                </m:sSub>
              </m:oMath>
            </m:oMathPara>
          </w:p>
          <w:p w14:paraId="2849E5C1">
            <w:pPr>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l</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i</m:t>
                    </m:r>
                    <m:ctrlPr>
                      <w:rPr>
                        <w:rFonts w:ascii="Cambria Math" w:hAnsi="Cambria Math" w:cs="Times New Roman" w:eastAsiaTheme="minorEastAsia"/>
                        <w:i/>
                        <w:vertAlign w:val="subscript"/>
                        <w:lang w:val="de-DE"/>
                      </w:rPr>
                    </m:ctrlPr>
                  </m:sub>
                </m:sSub>
              </m:oMath>
            </m:oMathPara>
          </w:p>
          <w:p w14:paraId="49AABAE1">
            <w:pPr>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q</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R</m:t>
                    </m:r>
                    <m:ctrlPr>
                      <w:rPr>
                        <w:rFonts w:ascii="Cambria Math" w:hAnsi="Cambria Math" w:cs="Times New Roman" w:eastAsiaTheme="minorEastAsia"/>
                        <w:i/>
                        <w:vertAlign w:val="subscript"/>
                        <w:lang w:val="de-DE"/>
                      </w:rPr>
                    </m:ctrlPr>
                  </m:sub>
                </m:sSub>
              </m:oMath>
            </m:oMathPara>
          </w:p>
          <w:p w14:paraId="35D02620">
            <w:pPr>
              <w:rPr>
                <w:rFonts w:cs="Times New Roman" w:eastAsiaTheme="minorEastAsia"/>
                <w:vertAlign w:val="subscript"/>
                <w:lang w:val="de-DE"/>
              </w:rPr>
            </w:pPr>
            <m:oMathPara>
              <m:oMath>
                <m:r>
                  <m:rPr/>
                  <w:rPr>
                    <w:rFonts w:ascii="Cambria Math" w:hAnsi="Cambria Math" w:cs="Times New Roman" w:eastAsiaTheme="minorEastAsia"/>
                    <w:vertAlign w:val="subscript"/>
                    <w:lang w:val="de-DE"/>
                  </w:rPr>
                  <m:t>A</m:t>
                </m:r>
              </m:oMath>
            </m:oMathPara>
          </w:p>
          <w:p w14:paraId="0D53720B">
            <w:pPr>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γ</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R</m:t>
                    </m:r>
                    <m:ctrlPr>
                      <w:rPr>
                        <w:rFonts w:ascii="Cambria Math" w:hAnsi="Cambria Math" w:cs="Times New Roman" w:eastAsiaTheme="minorEastAsia"/>
                        <w:i/>
                        <w:vertAlign w:val="subscript"/>
                        <w:lang w:val="de-DE"/>
                      </w:rPr>
                    </m:ctrlPr>
                  </m:sub>
                </m:sSub>
              </m:oMath>
            </m:oMathPara>
          </w:p>
          <w:p w14:paraId="554AD05C">
            <w:pPr>
              <w:rPr>
                <w:rFonts w:cs="Times New Roman" w:eastAsiaTheme="minorEastAsia"/>
                <w:vertAlign w:val="subscript"/>
                <w:lang w:val="de-DE"/>
              </w:rPr>
            </w:pPr>
          </w:p>
          <w:p w14:paraId="32283463">
            <w:pPr>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γ</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G</m:t>
                    </m:r>
                    <m:ctrlPr>
                      <w:rPr>
                        <w:rFonts w:ascii="Cambria Math" w:hAnsi="Cambria Math" w:cs="Times New Roman" w:eastAsiaTheme="minorEastAsia"/>
                        <w:i/>
                        <w:vertAlign w:val="subscript"/>
                        <w:lang w:val="de-DE"/>
                      </w:rPr>
                    </m:ctrlPr>
                  </m:sub>
                </m:sSub>
              </m:oMath>
            </m:oMathPara>
          </w:p>
          <w:p w14:paraId="4B6E8112">
            <w:pPr>
              <w:rPr>
                <w:rFonts w:cs="Times New Roman" w:eastAsiaTheme="minorEastAsia"/>
                <w:vertAlign w:val="subscript"/>
                <w:lang w:val="de-DE"/>
              </w:rPr>
            </w:pPr>
          </w:p>
          <w:p w14:paraId="695A77D6">
            <w:pPr>
              <w:rPr>
                <w:rFonts w:cs="Times New Roman" w:eastAsiaTheme="minorEastAsia"/>
                <w:vertAlign w:val="subscript"/>
                <w:lang w:val="de-DE"/>
              </w:rPr>
            </w:pPr>
            <m:oMathPara>
              <m:oMath>
                <m:r>
                  <m:rPr/>
                  <w:rPr>
                    <w:rFonts w:ascii="Cambria Math" w:hAnsi="Cambria Math" w:cs="Times New Roman" w:eastAsiaTheme="minorEastAsia"/>
                    <w:vertAlign w:val="subscript"/>
                    <w:lang w:val="de-DE"/>
                  </w:rPr>
                  <m:t>d</m:t>
                </m:r>
              </m:oMath>
            </m:oMathPara>
          </w:p>
          <w:p w14:paraId="4EB446F3">
            <w:pPr>
              <w:rPr>
                <w:rFonts w:cs="Times New Roman" w:eastAsiaTheme="minorEastAsia"/>
                <w:vertAlign w:val="subscript"/>
                <w:lang w:val="de-DE"/>
              </w:rPr>
            </w:pPr>
            <m:oMathPara>
              <m:oMath>
                <m:sSub>
                  <m:sSubPr>
                    <m:ctrlPr>
                      <w:rPr>
                        <w:rFonts w:ascii="Cambria Math" w:hAnsi="Cambria Math" w:cs="Times New Roman" w:eastAsiaTheme="minorEastAsia"/>
                        <w:i/>
                        <w:vertAlign w:val="subscript"/>
                        <w:lang w:val="de-DE"/>
                      </w:rPr>
                    </m:ctrlPr>
                  </m:sSubPr>
                  <m:e>
                    <m:r>
                      <m:rPr/>
                      <w:rPr>
                        <w:rFonts w:ascii="Cambria Math" w:hAnsi="Cambria Math" w:cs="Times New Roman" w:eastAsiaTheme="minorEastAsia"/>
                        <w:vertAlign w:val="subscript"/>
                        <w:lang w:val="de-DE"/>
                      </w:rPr>
                      <m:t>b</m:t>
                    </m:r>
                    <m:ctrlPr>
                      <w:rPr>
                        <w:rFonts w:ascii="Cambria Math" w:hAnsi="Cambria Math" w:cs="Times New Roman" w:eastAsiaTheme="minorEastAsia"/>
                        <w:i/>
                        <w:vertAlign w:val="subscript"/>
                        <w:lang w:val="de-DE"/>
                      </w:rPr>
                    </m:ctrlPr>
                  </m:e>
                  <m:sub>
                    <m:r>
                      <m:rPr/>
                      <w:rPr>
                        <w:rFonts w:ascii="Cambria Math" w:hAnsi="Cambria Math" w:cs="Times New Roman" w:eastAsiaTheme="minorEastAsia"/>
                        <w:vertAlign w:val="subscript"/>
                        <w:lang w:val="de-DE"/>
                      </w:rPr>
                      <m:t>0</m:t>
                    </m:r>
                    <m:ctrlPr>
                      <w:rPr>
                        <w:rFonts w:ascii="Cambria Math" w:hAnsi="Cambria Math" w:cs="Times New Roman" w:eastAsiaTheme="minorEastAsia"/>
                        <w:i/>
                        <w:vertAlign w:val="subscript"/>
                        <w:lang w:val="de-DE"/>
                      </w:rPr>
                    </m:ctrlPr>
                  </m:sub>
                </m:sSub>
              </m:oMath>
            </m:oMathPara>
          </w:p>
          <w:p w14:paraId="7512BBEE">
            <w:pPr>
              <w:rPr>
                <w:rFonts w:ascii="Cambria Math" w:hAnsi="Cambria Math" w:cs="Times New Roman" w:eastAsiaTheme="minorEastAsia"/>
                <w:vertAlign w:val="subscript"/>
                <w:lang w:val="de-DE"/>
                <w:oMath/>
              </w:rPr>
            </w:pPr>
            <m:oMathPara>
              <m:oMath>
                <m:r>
                  <m:rPr/>
                  <w:rPr>
                    <w:rFonts w:ascii="Cambria Math" w:hAnsi="Cambria Math" w:cs="Times New Roman" w:eastAsiaTheme="minorEastAsia"/>
                    <w:vertAlign w:val="subscript"/>
                    <w:lang w:val="de-DE"/>
                  </w:rPr>
                  <m:t>L</m:t>
                </m:r>
              </m:oMath>
            </m:oMathPara>
          </w:p>
        </w:tc>
        <w:tc>
          <w:tcPr>
            <w:tcW w:w="440" w:type="pct"/>
            <w:tcMar>
              <w:left w:w="28" w:type="dxa"/>
              <w:right w:w="0" w:type="dxa"/>
            </w:tcMar>
          </w:tcPr>
          <w:p w14:paraId="6AC089A0">
            <w:pPr>
              <w:rPr>
                <w:rFonts w:cs="Times New Roman" w:eastAsiaTheme="minorEastAsia"/>
                <w:lang w:val="de-DE"/>
              </w:rPr>
            </w:pPr>
            <w:r>
              <w:rPr>
                <w:rFonts w:cs="Times New Roman" w:eastAsiaTheme="minorEastAsia"/>
                <w:lang w:val="de-DE"/>
              </w:rPr>
              <w:t>——</w:t>
            </w:r>
          </w:p>
          <w:p w14:paraId="776CBC2D">
            <w:pPr>
              <w:rPr>
                <w:rFonts w:cs="Times New Roman" w:eastAsiaTheme="minorEastAsia"/>
                <w:lang w:val="de-DE"/>
              </w:rPr>
            </w:pPr>
            <w:r>
              <w:rPr>
                <w:rFonts w:cs="Times New Roman" w:eastAsiaTheme="minorEastAsia"/>
                <w:lang w:val="de-DE"/>
              </w:rPr>
              <w:t>——</w:t>
            </w:r>
          </w:p>
          <w:p w14:paraId="217C109F">
            <w:pPr>
              <w:rPr>
                <w:rFonts w:cs="Times New Roman" w:eastAsiaTheme="minorEastAsia"/>
                <w:lang w:val="de-DE"/>
              </w:rPr>
            </w:pPr>
            <w:r>
              <w:rPr>
                <w:rFonts w:cs="Times New Roman" w:eastAsiaTheme="minorEastAsia"/>
                <w:lang w:val="de-DE"/>
              </w:rPr>
              <w:t>——</w:t>
            </w:r>
          </w:p>
          <w:p w14:paraId="2F966A6C">
            <w:pPr>
              <w:rPr>
                <w:rFonts w:cs="Times New Roman" w:eastAsiaTheme="minorEastAsia"/>
                <w:lang w:val="de-DE"/>
              </w:rPr>
            </w:pPr>
            <w:r>
              <w:rPr>
                <w:rFonts w:cs="Times New Roman" w:eastAsiaTheme="minorEastAsia"/>
                <w:lang w:val="de-DE"/>
              </w:rPr>
              <w:t>——</w:t>
            </w:r>
          </w:p>
          <w:p w14:paraId="387D6FBA">
            <w:pPr>
              <w:rPr>
                <w:rFonts w:cs="Times New Roman" w:eastAsiaTheme="minorEastAsia"/>
                <w:lang w:val="de-DE"/>
              </w:rPr>
            </w:pPr>
            <w:r>
              <w:rPr>
                <w:rFonts w:cs="Times New Roman" w:eastAsiaTheme="minorEastAsia"/>
                <w:lang w:val="de-DE"/>
              </w:rPr>
              <w:t>——</w:t>
            </w:r>
          </w:p>
          <w:p w14:paraId="3F33F8C7">
            <w:pPr>
              <w:rPr>
                <w:rFonts w:cs="Times New Roman" w:eastAsiaTheme="minorEastAsia"/>
                <w:lang w:val="de-DE"/>
              </w:rPr>
            </w:pPr>
            <w:r>
              <w:rPr>
                <w:rFonts w:cs="Times New Roman" w:eastAsiaTheme="minorEastAsia"/>
                <w:lang w:val="de-DE"/>
              </w:rPr>
              <w:t>——</w:t>
            </w:r>
          </w:p>
          <w:p w14:paraId="093E9234">
            <w:pPr>
              <w:rPr>
                <w:rFonts w:cs="Times New Roman" w:eastAsiaTheme="minorEastAsia"/>
                <w:lang w:val="de-DE"/>
              </w:rPr>
            </w:pPr>
            <w:r>
              <w:rPr>
                <w:rFonts w:cs="Times New Roman" w:eastAsiaTheme="minorEastAsia"/>
                <w:lang w:val="de-DE"/>
              </w:rPr>
              <w:t>——</w:t>
            </w:r>
          </w:p>
          <w:p w14:paraId="562270F6">
            <w:pPr>
              <w:rPr>
                <w:rFonts w:cs="Times New Roman" w:eastAsiaTheme="minorEastAsia"/>
                <w:lang w:val="de-DE"/>
              </w:rPr>
            </w:pPr>
            <w:r>
              <w:rPr>
                <w:rFonts w:cs="Times New Roman" w:eastAsiaTheme="minorEastAsia"/>
                <w:lang w:val="de-DE"/>
              </w:rPr>
              <w:t>——</w:t>
            </w:r>
          </w:p>
          <w:p w14:paraId="02546C88">
            <w:pPr>
              <w:rPr>
                <w:rFonts w:cs="Times New Roman" w:eastAsiaTheme="minorEastAsia"/>
                <w:lang w:val="de-DE"/>
              </w:rPr>
            </w:pPr>
          </w:p>
          <w:p w14:paraId="7BD444BE">
            <w:pPr>
              <w:rPr>
                <w:rFonts w:cs="Times New Roman" w:eastAsiaTheme="minorEastAsia"/>
                <w:lang w:val="de-DE"/>
              </w:rPr>
            </w:pPr>
            <w:r>
              <w:rPr>
                <w:rFonts w:cs="Times New Roman" w:eastAsiaTheme="minorEastAsia"/>
                <w:lang w:val="de-DE"/>
              </w:rPr>
              <w:t>——</w:t>
            </w:r>
          </w:p>
          <w:p w14:paraId="77D947EB">
            <w:pPr>
              <w:rPr>
                <w:rFonts w:cs="Times New Roman" w:eastAsiaTheme="minorEastAsia"/>
                <w:lang w:val="de-DE"/>
              </w:rPr>
            </w:pPr>
          </w:p>
          <w:p w14:paraId="494DFD1C">
            <w:pPr>
              <w:rPr>
                <w:rFonts w:cs="Times New Roman" w:eastAsiaTheme="minorEastAsia"/>
                <w:lang w:val="de-DE"/>
              </w:rPr>
            </w:pPr>
            <w:r>
              <w:rPr>
                <w:rFonts w:cs="Times New Roman" w:eastAsiaTheme="minorEastAsia"/>
                <w:lang w:val="de-DE"/>
              </w:rPr>
              <w:t>——</w:t>
            </w:r>
          </w:p>
          <w:p w14:paraId="0945780B">
            <w:pPr>
              <w:rPr>
                <w:rFonts w:cs="Times New Roman" w:eastAsiaTheme="minorEastAsia"/>
                <w:lang w:val="de-DE"/>
              </w:rPr>
            </w:pPr>
            <w:r>
              <w:rPr>
                <w:rFonts w:cs="Times New Roman" w:eastAsiaTheme="minorEastAsia"/>
                <w:lang w:val="de-DE"/>
              </w:rPr>
              <w:t>——</w:t>
            </w:r>
          </w:p>
          <w:p w14:paraId="6F06F5D6">
            <w:pPr>
              <w:rPr>
                <w:rFonts w:cs="Times New Roman" w:eastAsiaTheme="minorEastAsia"/>
                <w:lang w:val="de-DE"/>
              </w:rPr>
            </w:pPr>
            <w:r>
              <w:rPr>
                <w:rFonts w:cs="Times New Roman" w:eastAsiaTheme="minorEastAsia"/>
                <w:lang w:val="de-DE"/>
              </w:rPr>
              <w:t>——</w:t>
            </w:r>
          </w:p>
        </w:tc>
        <w:tc>
          <w:tcPr>
            <w:tcW w:w="3593" w:type="pct"/>
            <w:tcMar>
              <w:left w:w="0" w:type="dxa"/>
              <w:right w:w="0" w:type="dxa"/>
            </w:tcMar>
          </w:tcPr>
          <w:p w14:paraId="791212F1">
            <w:pPr>
              <w:rPr>
                <w:rFonts w:cs="Times New Roman" w:eastAsiaTheme="minorEastAsia"/>
              </w:rPr>
            </w:pPr>
            <w:r>
              <w:rPr>
                <w:rFonts w:cs="Times New Roman" w:eastAsiaTheme="minorEastAsia"/>
              </w:rPr>
              <w:t>结构重要性系数，取1.0；</w:t>
            </w:r>
          </w:p>
          <w:p w14:paraId="456D9FA9">
            <w:pPr>
              <w:rPr>
                <w:rFonts w:cs="Times New Roman" w:eastAsiaTheme="minorEastAsia"/>
              </w:rPr>
            </w:pPr>
            <w:r>
              <w:rPr>
                <w:rFonts w:cs="Times New Roman" w:eastAsiaTheme="minorEastAsia"/>
              </w:rPr>
              <w:t>吊脚桩支护结构体系自重（kN）；</w:t>
            </w:r>
          </w:p>
          <w:p w14:paraId="1992F6D4">
            <w:pPr>
              <w:rPr>
                <w:rFonts w:cs="Times New Roman" w:eastAsiaTheme="minorEastAsia"/>
              </w:rPr>
            </w:pPr>
            <w:r>
              <w:rPr>
                <w:rFonts w:cs="Times New Roman" w:eastAsiaTheme="minorEastAsia"/>
              </w:rPr>
              <w:t>吊脚桩端极限承载力设计值（kN）；</w:t>
            </w:r>
          </w:p>
          <w:p w14:paraId="01A19FC5">
            <w:pPr>
              <w:rPr>
                <w:rFonts w:cs="Times New Roman" w:eastAsiaTheme="minorEastAsia"/>
              </w:rPr>
            </w:pPr>
            <w:r>
              <w:rPr>
                <w:rFonts w:cs="Times New Roman" w:eastAsiaTheme="minorEastAsia"/>
              </w:rPr>
              <w:t>新旧桩搭接段第i层土的极限侧摩阻力标准值（kPa）；</w:t>
            </w:r>
          </w:p>
          <w:p w14:paraId="773E3986">
            <w:pPr>
              <w:rPr>
                <w:rFonts w:cs="Times New Roman" w:eastAsiaTheme="minorEastAsia"/>
              </w:rPr>
            </w:pPr>
            <w:r>
              <w:rPr>
                <w:rFonts w:cs="Times New Roman" w:eastAsiaTheme="minorEastAsia"/>
              </w:rPr>
              <w:t>新旧桩搭接段第i层土的厚度（m）；</w:t>
            </w:r>
          </w:p>
          <w:p w14:paraId="3613F417">
            <w:pPr>
              <w:rPr>
                <w:rFonts w:cs="Times New Roman" w:eastAsiaTheme="minorEastAsia"/>
              </w:rPr>
            </w:pPr>
            <w:r>
              <w:rPr>
                <w:rFonts w:cs="Times New Roman" w:eastAsiaTheme="minorEastAsia"/>
              </w:rPr>
              <w:t>吊脚桩极限端阻力标准值（kPa）；</w:t>
            </w:r>
          </w:p>
          <w:p w14:paraId="3687DE5D">
            <w:pPr>
              <w:rPr>
                <w:rFonts w:cs="Times New Roman" w:eastAsiaTheme="minorEastAsia"/>
              </w:rPr>
            </w:pPr>
            <w:r>
              <w:rPr>
                <w:rFonts w:cs="Times New Roman" w:eastAsiaTheme="minorEastAsia"/>
              </w:rPr>
              <w:t>吊脚桩端面积（m</w:t>
            </w:r>
            <w:r>
              <w:rPr>
                <w:rFonts w:cs="Times New Roman" w:eastAsiaTheme="minorEastAsia"/>
                <w:vertAlign w:val="superscript"/>
              </w:rPr>
              <w:t>2</w:t>
            </w:r>
            <w:r>
              <w:rPr>
                <w:rFonts w:cs="Times New Roman" w:eastAsiaTheme="minorEastAsia"/>
              </w:rPr>
              <w:t>）；</w:t>
            </w:r>
          </w:p>
          <w:p w14:paraId="156A5E9E">
            <w:pPr>
              <w:rPr>
                <w:rFonts w:cs="Times New Roman" w:eastAsiaTheme="minorEastAsia"/>
              </w:rPr>
            </w:pPr>
            <w:r>
              <w:rPr>
                <w:rFonts w:cs="Times New Roman" w:eastAsiaTheme="minorEastAsia"/>
              </w:rPr>
              <w:t>吊脚桩端承载力分项系数，根据工程具体情况分析确定，可取1.60</w:t>
            </w:r>
            <w:r>
              <w:rPr>
                <w:rFonts w:cs="Times New Roman"/>
              </w:rPr>
              <w:t>～</w:t>
            </w:r>
            <w:r>
              <w:rPr>
                <w:rFonts w:cs="Times New Roman" w:eastAsiaTheme="minorEastAsia"/>
              </w:rPr>
              <w:t>1.65；</w:t>
            </w:r>
          </w:p>
          <w:p w14:paraId="2CBC9C28">
            <w:pPr>
              <w:rPr>
                <w:rFonts w:cs="Times New Roman" w:eastAsiaTheme="minorEastAsia"/>
              </w:rPr>
            </w:pPr>
            <w:r>
              <w:rPr>
                <w:rFonts w:cs="Times New Roman" w:eastAsiaTheme="minorEastAsia"/>
              </w:rPr>
              <w:t>吊脚桩的钢筋混凝土重度（kN/m</w:t>
            </w:r>
            <w:r>
              <w:rPr>
                <w:rFonts w:cs="Times New Roman" w:eastAsiaTheme="minorEastAsia"/>
                <w:vertAlign w:val="superscript"/>
              </w:rPr>
              <w:t>3</w:t>
            </w:r>
            <w:r>
              <w:rPr>
                <w:rFonts w:cs="Times New Roman" w:eastAsiaTheme="minorEastAsia"/>
              </w:rPr>
              <w:t>），一般取24kN/m</w:t>
            </w:r>
            <w:r>
              <w:rPr>
                <w:rFonts w:cs="Times New Roman" w:eastAsiaTheme="minorEastAsia"/>
                <w:vertAlign w:val="superscript"/>
              </w:rPr>
              <w:t>3</w:t>
            </w:r>
            <w:r>
              <w:rPr>
                <w:rFonts w:cs="Times New Roman"/>
              </w:rPr>
              <w:t>～</w:t>
            </w:r>
            <w:r>
              <w:rPr>
                <w:rFonts w:cs="Times New Roman" w:eastAsiaTheme="minorEastAsia"/>
              </w:rPr>
              <w:t>25kN/m</w:t>
            </w:r>
            <w:r>
              <w:rPr>
                <w:rFonts w:cs="Times New Roman" w:eastAsiaTheme="minorEastAsia"/>
                <w:vertAlign w:val="superscript"/>
              </w:rPr>
              <w:t>3</w:t>
            </w:r>
            <w:r>
              <w:rPr>
                <w:rFonts w:cs="Times New Roman" w:eastAsiaTheme="minorEastAsia"/>
              </w:rPr>
              <w:t>；</w:t>
            </w:r>
          </w:p>
          <w:p w14:paraId="5ABF6C51">
            <w:pPr>
              <w:rPr>
                <w:rFonts w:cs="Times New Roman" w:eastAsiaTheme="minorEastAsia"/>
              </w:rPr>
            </w:pPr>
            <w:r>
              <w:rPr>
                <w:rFonts w:cs="Times New Roman" w:eastAsiaTheme="minorEastAsia"/>
              </w:rPr>
              <w:t>吊脚桩直径（m）；</w:t>
            </w:r>
          </w:p>
          <w:p w14:paraId="7CAB4BB2">
            <w:pPr>
              <w:rPr>
                <w:rFonts w:cs="Times New Roman" w:eastAsiaTheme="minorEastAsia"/>
              </w:rPr>
            </w:pPr>
            <w:r>
              <w:rPr>
                <w:rFonts w:cs="Times New Roman" w:eastAsiaTheme="minorEastAsia"/>
              </w:rPr>
              <w:t>相邻桩的中心间距（m）；</w:t>
            </w:r>
          </w:p>
          <w:p w14:paraId="26F1785F">
            <w:pPr>
              <w:rPr>
                <w:rFonts w:cs="Times New Roman" w:eastAsiaTheme="minorEastAsia"/>
              </w:rPr>
            </w:pPr>
            <w:r>
              <w:rPr>
                <w:rFonts w:cs="Times New Roman" w:eastAsiaTheme="minorEastAsia"/>
              </w:rPr>
              <w:t>吊脚桩长（L）。</w:t>
            </w:r>
          </w:p>
        </w:tc>
      </w:tr>
    </w:tbl>
    <w:p w14:paraId="5E00046C">
      <w:pPr>
        <w:rPr>
          <w:rFonts w:eastAsia="楷体" w:cs="Times New Roman"/>
          <w:u w:val="single"/>
        </w:rPr>
      </w:pPr>
      <w:bookmarkStart w:id="63" w:name="OLE_LINK42"/>
      <w:r>
        <w:rPr>
          <w:rFonts w:eastAsia="楷体" w:cs="Times New Roman"/>
          <w:u w:val="single"/>
        </w:rPr>
        <w:t>【条文说明】对基坑加深，被动土体</w:t>
      </w:r>
      <w:bookmarkEnd w:id="63"/>
      <w:r>
        <w:rPr>
          <w:rFonts w:eastAsia="楷体" w:cs="Times New Roman"/>
          <w:u w:val="single"/>
        </w:rPr>
        <w:t>被挖除，导致原有支护桩端土开挖卸荷，导致地基土承载能力发生改变，这时需应对原支护结构端底的地基承载力进行必要的验算，防止桩端地基发生沉降、变形或倾覆；如不满足要求时，应采用加固措施防止既有支护桩沉降和变形。</w:t>
      </w:r>
    </w:p>
    <w:p w14:paraId="6851D293">
      <w:pPr>
        <w:pStyle w:val="3"/>
        <w:rPr>
          <w:rFonts w:ascii="Times New Roman" w:hAnsi="Times New Roman" w:cs="Times New Roman" w:eastAsiaTheme="minorEastAsia"/>
          <w:sz w:val="28"/>
          <w:szCs w:val="28"/>
        </w:rPr>
      </w:pPr>
      <w:bookmarkStart w:id="64" w:name="_Toc27777"/>
      <w:r>
        <w:rPr>
          <w:rFonts w:hint="eastAsia" w:ascii="Times New Roman" w:hAnsi="Times New Roman" w:cs="Times New Roman" w:eastAsiaTheme="minorEastAsia"/>
          <w:sz w:val="28"/>
          <w:szCs w:val="28"/>
        </w:rPr>
        <w:t>5.3</w:t>
      </w:r>
      <w:r>
        <w:rPr>
          <w:rFonts w:ascii="Times New Roman" w:hAnsi="Times New Roman" w:cs="Times New Roman" w:eastAsiaTheme="minorEastAsia"/>
          <w:sz w:val="28"/>
          <w:szCs w:val="28"/>
        </w:rPr>
        <w:t>堆载反压法</w:t>
      </w:r>
      <w:bookmarkEnd w:id="64"/>
    </w:p>
    <w:p w14:paraId="26084E76">
      <w:pPr>
        <w:rPr>
          <w:rFonts w:cs="Times New Roman" w:eastAsiaTheme="minorEastAsia"/>
          <w:color w:val="000000"/>
          <w:spacing w:val="2"/>
        </w:rPr>
      </w:pPr>
      <w:bookmarkStart w:id="65" w:name="OLE_LINK1"/>
      <w:r>
        <w:rPr>
          <w:rFonts w:cs="Times New Roman" w:eastAsiaTheme="minorEastAsia"/>
          <w:b/>
        </w:rPr>
        <w:t>5.3.1</w:t>
      </w:r>
      <w:r>
        <w:rPr>
          <w:rFonts w:cs="Times New Roman" w:eastAsiaTheme="minorEastAsia"/>
          <w:color w:val="000000"/>
        </w:rPr>
        <w:t xml:space="preserve"> </w:t>
      </w:r>
      <w:r>
        <w:rPr>
          <w:rFonts w:cs="Times New Roman" w:eastAsiaTheme="minorEastAsia"/>
          <w:color w:val="000000"/>
          <w:spacing w:val="2"/>
        </w:rPr>
        <w:t>堆载反压</w:t>
      </w:r>
      <w:bookmarkEnd w:id="65"/>
      <w:r>
        <w:rPr>
          <w:rFonts w:cs="Times New Roman" w:eastAsiaTheme="minorEastAsia"/>
          <w:color w:val="000000"/>
          <w:spacing w:val="2"/>
        </w:rPr>
        <w:t>法适用于基坑侧壁的整体稳定性</w:t>
      </w:r>
      <w:r>
        <w:rPr>
          <w:rFonts w:hint="eastAsia" w:cs="Times New Roman" w:eastAsiaTheme="minorEastAsia"/>
          <w:color w:val="000000"/>
          <w:spacing w:val="2"/>
        </w:rPr>
        <w:t>或</w:t>
      </w:r>
      <w:r>
        <w:rPr>
          <w:rFonts w:cs="Times New Roman" w:eastAsiaTheme="minorEastAsia"/>
          <w:color w:val="000000"/>
          <w:spacing w:val="2"/>
        </w:rPr>
        <w:t>支护结构稳定性等不满足要求时的</w:t>
      </w:r>
      <w:r>
        <w:rPr>
          <w:rFonts w:hint="eastAsia" w:cs="Times New Roman" w:eastAsiaTheme="minorEastAsia"/>
          <w:color w:val="000000"/>
          <w:spacing w:val="2"/>
        </w:rPr>
        <w:t>临时</w:t>
      </w:r>
      <w:r>
        <w:rPr>
          <w:rFonts w:cs="Times New Roman" w:eastAsiaTheme="minorEastAsia"/>
          <w:color w:val="000000"/>
          <w:spacing w:val="2"/>
        </w:rPr>
        <w:t>加固。</w:t>
      </w:r>
    </w:p>
    <w:p w14:paraId="6DE2BD1B">
      <w:pPr>
        <w:rPr>
          <w:rFonts w:cs="Times New Roman" w:eastAsiaTheme="minorEastAsia"/>
          <w:color w:val="000000"/>
          <w:spacing w:val="2"/>
        </w:rPr>
      </w:pPr>
      <w:r>
        <w:rPr>
          <w:rFonts w:cs="Times New Roman" w:eastAsiaTheme="minorEastAsia"/>
          <w:b/>
        </w:rPr>
        <w:t>5.3.2</w:t>
      </w:r>
      <w:r>
        <w:rPr>
          <w:rFonts w:cs="Times New Roman" w:eastAsiaTheme="minorEastAsia"/>
          <w:color w:val="000000"/>
        </w:rPr>
        <w:t xml:space="preserve"> </w:t>
      </w:r>
      <w:r>
        <w:rPr>
          <w:rFonts w:cs="Times New Roman" w:eastAsiaTheme="minorEastAsia"/>
          <w:color w:val="000000"/>
          <w:spacing w:val="2"/>
        </w:rPr>
        <w:t>堆载反压法设计应符合下列规定：</w:t>
      </w:r>
    </w:p>
    <w:p w14:paraId="6943133A">
      <w:pPr>
        <w:ind w:firstLine="366" w:firstLineChars="150"/>
        <w:rPr>
          <w:rFonts w:cs="Times New Roman" w:eastAsiaTheme="minorEastAsia"/>
          <w:b w:val="0"/>
          <w:bCs w:val="0"/>
          <w:color w:val="000000"/>
          <w:spacing w:val="2"/>
        </w:rPr>
      </w:pPr>
      <w:r>
        <w:rPr>
          <w:rFonts w:cs="Times New Roman" w:eastAsiaTheme="minorEastAsia"/>
          <w:b w:val="0"/>
          <w:bCs w:val="0"/>
          <w:color w:val="000000"/>
          <w:spacing w:val="2"/>
        </w:rPr>
        <w:t>1  堆载土体应保持自身稳定，堆载反压量应根据拟加固基坑的整体稳定性及支护结构的稳定性验算确定；</w:t>
      </w:r>
    </w:p>
    <w:p w14:paraId="4D4582C5">
      <w:pPr>
        <w:ind w:firstLine="366" w:firstLineChars="150"/>
        <w:rPr>
          <w:rFonts w:cs="Times New Roman" w:eastAsiaTheme="minorEastAsia"/>
          <w:b w:val="0"/>
          <w:bCs w:val="0"/>
          <w:color w:val="000000"/>
          <w:spacing w:val="2"/>
        </w:rPr>
      </w:pPr>
      <w:r>
        <w:rPr>
          <w:rFonts w:cs="Times New Roman" w:eastAsiaTheme="minorEastAsia"/>
          <w:b w:val="0"/>
          <w:bCs w:val="0"/>
          <w:color w:val="000000"/>
          <w:spacing w:val="2"/>
        </w:rPr>
        <w:t>2  反压位置应在拟加固基坑侧壁坡脚被动区部位；</w:t>
      </w:r>
    </w:p>
    <w:p w14:paraId="7EB68C37">
      <w:pPr>
        <w:ind w:firstLine="366" w:firstLineChars="150"/>
        <w:rPr>
          <w:rFonts w:cs="Times New Roman" w:eastAsiaTheme="minorEastAsia"/>
          <w:b w:val="0"/>
          <w:bCs w:val="0"/>
          <w:color w:val="000000"/>
          <w:spacing w:val="2"/>
        </w:rPr>
      </w:pPr>
      <w:r>
        <w:rPr>
          <w:rFonts w:cs="Times New Roman" w:eastAsiaTheme="minorEastAsia"/>
          <w:b w:val="0"/>
          <w:bCs w:val="0"/>
          <w:color w:val="000000"/>
          <w:spacing w:val="2"/>
        </w:rPr>
        <w:t>3  堆载反压不应危及邻近建筑物及管线等的安全和正常使用，不应对邻近的基坑带来不利影响；</w:t>
      </w:r>
    </w:p>
    <w:p w14:paraId="3D1A9937">
      <w:pPr>
        <w:ind w:firstLine="366" w:firstLineChars="150"/>
        <w:rPr>
          <w:rFonts w:cs="Times New Roman" w:eastAsiaTheme="minorEastAsia"/>
          <w:b w:val="0"/>
          <w:bCs w:val="0"/>
          <w:color w:val="000000"/>
          <w:spacing w:val="2"/>
        </w:rPr>
      </w:pPr>
      <w:r>
        <w:rPr>
          <w:rFonts w:cs="Times New Roman" w:eastAsiaTheme="minorEastAsia"/>
          <w:b w:val="0"/>
          <w:bCs w:val="0"/>
          <w:color w:val="000000"/>
          <w:spacing w:val="2"/>
        </w:rPr>
        <w:t>4  堆载反压</w:t>
      </w:r>
      <w:r>
        <w:rPr>
          <w:rFonts w:hint="eastAsia" w:cs="Times New Roman" w:eastAsiaTheme="minorEastAsia"/>
          <w:b w:val="0"/>
          <w:bCs w:val="0"/>
          <w:color w:val="000000"/>
          <w:spacing w:val="2"/>
        </w:rPr>
        <w:t>土体截面宜为梯形，坡面的坡比宜小于1:1；</w:t>
      </w:r>
    </w:p>
    <w:p w14:paraId="6D050A74">
      <w:pPr>
        <w:ind w:firstLine="366" w:firstLineChars="150"/>
        <w:rPr>
          <w:rFonts w:cs="Times New Roman" w:eastAsiaTheme="minorEastAsia"/>
          <w:b w:val="0"/>
          <w:bCs w:val="0"/>
          <w:color w:val="000000"/>
          <w:spacing w:val="2"/>
        </w:rPr>
      </w:pPr>
      <w:r>
        <w:rPr>
          <w:rFonts w:hint="eastAsia" w:cs="Times New Roman" w:eastAsiaTheme="minorEastAsia"/>
          <w:b w:val="0"/>
          <w:bCs w:val="0"/>
          <w:color w:val="000000"/>
          <w:spacing w:val="2"/>
        </w:rPr>
        <w:t>5  堆积高度宜大于基坑现状开挖深度的1/3；</w:t>
      </w:r>
      <w:r>
        <w:rPr>
          <w:rFonts w:cs="Times New Roman" w:eastAsiaTheme="minorEastAsia"/>
          <w:b w:val="0"/>
          <w:bCs w:val="0"/>
          <w:color w:val="000000"/>
          <w:spacing w:val="2"/>
        </w:rPr>
        <w:t>；</w:t>
      </w:r>
    </w:p>
    <w:p w14:paraId="03F24433">
      <w:pPr>
        <w:ind w:firstLine="366" w:firstLineChars="150"/>
        <w:rPr>
          <w:rFonts w:cs="Times New Roman" w:eastAsiaTheme="minorEastAsia"/>
          <w:b w:val="0"/>
          <w:bCs w:val="0"/>
          <w:color w:val="000000"/>
        </w:rPr>
      </w:pPr>
      <w:r>
        <w:rPr>
          <w:rFonts w:hint="eastAsia" w:cs="Times New Roman" w:eastAsiaTheme="minorEastAsia"/>
          <w:b w:val="0"/>
          <w:bCs w:val="0"/>
          <w:color w:val="000000"/>
          <w:spacing w:val="2"/>
        </w:rPr>
        <w:t>6</w:t>
      </w:r>
      <w:r>
        <w:rPr>
          <w:rFonts w:cs="Times New Roman" w:eastAsiaTheme="minorEastAsia"/>
          <w:b w:val="0"/>
          <w:bCs w:val="0"/>
          <w:color w:val="000000"/>
          <w:spacing w:val="2"/>
        </w:rPr>
        <w:t xml:space="preserve">  堆载反压不应堵塞既有支护结构的排水系统。</w:t>
      </w:r>
    </w:p>
    <w:p w14:paraId="23D5F109">
      <w:pPr>
        <w:rPr>
          <w:rFonts w:cs="Times New Roman" w:eastAsiaTheme="minorEastAsia"/>
          <w:color w:val="000000"/>
        </w:rPr>
      </w:pPr>
      <w:r>
        <w:rPr>
          <w:rFonts w:cs="Times New Roman" w:eastAsiaTheme="minorEastAsia"/>
          <w:b/>
        </w:rPr>
        <w:t>5.3.3</w:t>
      </w:r>
      <w:r>
        <w:rPr>
          <w:rFonts w:cs="Times New Roman" w:eastAsiaTheme="minorEastAsia"/>
          <w:color w:val="000000"/>
        </w:rPr>
        <w:t xml:space="preserve"> 堆载反压法</w:t>
      </w:r>
      <w:r>
        <w:rPr>
          <w:rFonts w:hint="eastAsia" w:cs="Times New Roman" w:eastAsiaTheme="minorEastAsia"/>
          <w:color w:val="000000"/>
        </w:rPr>
        <w:t>用于抢险加固或临时控制变形的应急措施处理后</w:t>
      </w:r>
      <w:r>
        <w:rPr>
          <w:rFonts w:cs="Times New Roman" w:eastAsiaTheme="minorEastAsia"/>
          <w:color w:val="000000"/>
        </w:rPr>
        <w:t>，应及时采用其他加固方法</w:t>
      </w:r>
      <w:r>
        <w:rPr>
          <w:rFonts w:hint="eastAsia" w:cs="Times New Roman" w:eastAsiaTheme="minorEastAsia"/>
          <w:color w:val="000000"/>
        </w:rPr>
        <w:t>配合使用</w:t>
      </w:r>
      <w:r>
        <w:rPr>
          <w:rFonts w:cs="Times New Roman" w:eastAsiaTheme="minorEastAsia"/>
          <w:color w:val="000000"/>
        </w:rPr>
        <w:t>。</w:t>
      </w:r>
    </w:p>
    <w:p w14:paraId="54B931E0">
      <w:pPr>
        <w:rPr>
          <w:rFonts w:cs="Times New Roman" w:eastAsiaTheme="minorEastAsia"/>
          <w:spacing w:val="2"/>
        </w:rPr>
      </w:pPr>
      <w:r>
        <w:rPr>
          <w:rFonts w:cs="Times New Roman" w:eastAsiaTheme="minorEastAsia"/>
          <w:b/>
        </w:rPr>
        <w:t>5.3.4</w:t>
      </w:r>
      <w:r>
        <w:rPr>
          <w:rFonts w:cs="Times New Roman" w:eastAsiaTheme="minorEastAsia"/>
        </w:rPr>
        <w:t xml:space="preserve"> 堆载反压的</w:t>
      </w:r>
      <w:r>
        <w:rPr>
          <w:rFonts w:cs="Times New Roman" w:eastAsiaTheme="minorEastAsia"/>
          <w:spacing w:val="2"/>
        </w:rPr>
        <w:t>基坑整体稳定性验算应</w:t>
      </w:r>
      <w:r>
        <w:rPr>
          <w:rFonts w:cs="Times New Roman" w:eastAsiaTheme="minorEastAsia"/>
          <w:bCs/>
        </w:rPr>
        <w:t>考虑被动区为有限反压土体，堆载反压土体被动土压力标准值</w:t>
      </w:r>
      <w:r>
        <w:rPr>
          <w:rFonts w:hint="eastAsia" w:cs="Times New Roman" w:eastAsiaTheme="minorEastAsia"/>
          <w:bCs/>
        </w:rPr>
        <w:t>计算可按</w:t>
      </w:r>
      <w:r>
        <w:rPr>
          <w:rFonts w:cs="Times New Roman" w:eastAsiaTheme="minorEastAsia"/>
          <w:bCs/>
        </w:rPr>
        <w:t>本标准第5.2.7条的规定</w:t>
      </w:r>
      <w:r>
        <w:rPr>
          <w:rFonts w:hint="eastAsia" w:cs="Times New Roman" w:eastAsiaTheme="minorEastAsia"/>
          <w:bCs/>
        </w:rPr>
        <w:t>确定</w:t>
      </w:r>
      <w:r>
        <w:rPr>
          <w:rFonts w:cs="Times New Roman" w:eastAsiaTheme="minorEastAsia"/>
          <w:spacing w:val="2"/>
        </w:rPr>
        <w:t>。</w:t>
      </w:r>
    </w:p>
    <w:p w14:paraId="27BDBA30">
      <w:pPr>
        <w:rPr>
          <w:rFonts w:eastAsia="楷体" w:cs="Times New Roman"/>
          <w:spacing w:val="2"/>
          <w:u w:val="single"/>
        </w:rPr>
      </w:pPr>
      <w:r>
        <w:rPr>
          <w:rFonts w:eastAsia="楷体" w:cs="Times New Roman"/>
          <w:spacing w:val="2"/>
          <w:u w:val="single"/>
        </w:rPr>
        <w:t>【条文说明】目前，在理论计算上，对于存在有限土体的基坑，一般情况下仍然采用经典朗肯土压力理论或库仑土压力理论进行计算。由于经典的朗肯土压力理论采用的是半无限土体的假设条件，库仑士压力理论采用的是滑动楔体的假设条件，而基坑被动区反压土体属于有限土体范畴，因此，经典朗肯土压力理论和库仑土压力理论不适合。</w:t>
      </w:r>
    </w:p>
    <w:p w14:paraId="45A2B550">
      <w:pPr>
        <w:ind w:firstLine="488" w:firstLineChars="200"/>
        <w:rPr>
          <w:rFonts w:eastAsia="楷体" w:cs="Times New Roman"/>
          <w:spacing w:val="2"/>
          <w:u w:val="single"/>
        </w:rPr>
      </w:pPr>
      <w:r>
        <w:rPr>
          <w:rFonts w:eastAsia="楷体" w:cs="Times New Roman"/>
          <w:spacing w:val="2"/>
          <w:u w:val="single"/>
        </w:rPr>
        <w:t>反压土体的抗力会随着反压堆载土的黏聚力、内摩擦角和坡脚的增大而增大。土体的破裂角会随着内摩擦角和坡脚的增大而减小,因此坑内有限反压土体采用物理力学性质较好的土体对工程安全较为有利。</w:t>
      </w:r>
    </w:p>
    <w:p w14:paraId="5FFA0FA9">
      <w:pPr>
        <w:ind w:firstLine="488" w:firstLineChars="200"/>
        <w:rPr>
          <w:rFonts w:eastAsia="楷体" w:cs="Times New Roman"/>
          <w:spacing w:val="2"/>
          <w:u w:val="single"/>
        </w:rPr>
      </w:pPr>
      <w:r>
        <w:rPr>
          <w:rFonts w:eastAsia="楷体" w:cs="Times New Roman"/>
          <w:spacing w:val="2"/>
          <w:u w:val="single"/>
        </w:rPr>
        <w:t>坑底反压堆土时支护结构的变形也可根据经验采用以下方法近似计算：考虑留土的抗力作用，调整其m(或</w:t>
      </w:r>
      <w:r>
        <w:rPr>
          <w:rFonts w:eastAsia="楷体" w:cs="Times New Roman"/>
          <w:i/>
          <w:iCs/>
          <w:spacing w:val="2"/>
          <w:u w:val="single"/>
        </w:rPr>
        <w:t>K</w:t>
      </w:r>
      <w:r>
        <w:rPr>
          <w:rFonts w:eastAsia="楷体" w:cs="Times New Roman"/>
          <w:spacing w:val="2"/>
          <w:u w:val="single"/>
          <w:vertAlign w:val="subscript"/>
        </w:rPr>
        <w:t>h</w:t>
      </w:r>
      <w:r>
        <w:rPr>
          <w:rFonts w:eastAsia="楷体" w:cs="Times New Roman"/>
          <w:spacing w:val="2"/>
          <w:u w:val="single"/>
        </w:rPr>
        <w:t>)值；考虑留土的平衡作用，扣减部分主动土压力。</w:t>
      </w:r>
    </w:p>
    <w:p w14:paraId="17CBFC14">
      <w:pPr>
        <w:pStyle w:val="3"/>
        <w:rPr>
          <w:rFonts w:ascii="Times New Roman" w:hAnsi="Times New Roman" w:cs="Times New Roman" w:eastAsiaTheme="minorEastAsia"/>
          <w:sz w:val="28"/>
          <w:szCs w:val="28"/>
        </w:rPr>
      </w:pPr>
      <w:bookmarkStart w:id="66" w:name="_Toc4690"/>
      <w:r>
        <w:rPr>
          <w:rFonts w:hint="eastAsia" w:ascii="Times New Roman" w:hAnsi="Times New Roman" w:cs="Times New Roman" w:eastAsiaTheme="minorEastAsia"/>
          <w:sz w:val="28"/>
          <w:szCs w:val="28"/>
        </w:rPr>
        <w:t>5.4</w:t>
      </w:r>
      <w:r>
        <w:rPr>
          <w:rFonts w:ascii="Times New Roman" w:hAnsi="Times New Roman" w:cs="Times New Roman" w:eastAsiaTheme="minorEastAsia"/>
          <w:sz w:val="28"/>
          <w:szCs w:val="28"/>
        </w:rPr>
        <w:t>削方减载法</w:t>
      </w:r>
      <w:bookmarkEnd w:id="66"/>
    </w:p>
    <w:p w14:paraId="0792408B">
      <w:pPr>
        <w:rPr>
          <w:rFonts w:cs="Times New Roman" w:eastAsiaTheme="minorEastAsia"/>
          <w:color w:val="000000"/>
          <w:spacing w:val="2"/>
        </w:rPr>
      </w:pPr>
      <w:r>
        <w:rPr>
          <w:rFonts w:cs="Times New Roman" w:eastAsiaTheme="minorEastAsia"/>
          <w:b/>
        </w:rPr>
        <w:t>5.</w:t>
      </w:r>
      <w:r>
        <w:rPr>
          <w:rFonts w:hint="eastAsia" w:cs="Times New Roman" w:eastAsiaTheme="minorEastAsia"/>
          <w:b/>
        </w:rPr>
        <w:t>4.1</w:t>
      </w:r>
      <w:r>
        <w:rPr>
          <w:rFonts w:cs="Times New Roman" w:eastAsiaTheme="minorEastAsia"/>
          <w:b/>
          <w:bCs/>
          <w:color w:val="000000"/>
        </w:rPr>
        <w:t xml:space="preserve"> </w:t>
      </w:r>
      <w:r>
        <w:rPr>
          <w:rFonts w:cs="Times New Roman"/>
          <w:szCs w:val="28"/>
        </w:rPr>
        <w:t>削方减载</w:t>
      </w:r>
      <w:r>
        <w:rPr>
          <w:rFonts w:cs="Times New Roman" w:eastAsiaTheme="minorEastAsia"/>
          <w:color w:val="000000"/>
          <w:spacing w:val="2"/>
        </w:rPr>
        <w:t>法适用于基坑侧壁的整体稳定性</w:t>
      </w:r>
      <w:r>
        <w:rPr>
          <w:rFonts w:hint="eastAsia" w:cs="Times New Roman" w:eastAsiaTheme="minorEastAsia"/>
          <w:color w:val="000000"/>
          <w:spacing w:val="2"/>
        </w:rPr>
        <w:t>或</w:t>
      </w:r>
      <w:r>
        <w:rPr>
          <w:rFonts w:cs="Times New Roman" w:eastAsiaTheme="minorEastAsia"/>
          <w:color w:val="000000"/>
          <w:spacing w:val="2"/>
        </w:rPr>
        <w:t>支护结构稳定性等不满足要求时的加固。</w:t>
      </w:r>
    </w:p>
    <w:p w14:paraId="2A85867B">
      <w:pPr>
        <w:rPr>
          <w:rFonts w:eastAsia="楷体" w:cs="Times New Roman"/>
          <w:color w:val="000000"/>
          <w:spacing w:val="2"/>
          <w:u w:val="single"/>
        </w:rPr>
      </w:pPr>
      <w:r>
        <w:rPr>
          <w:rFonts w:eastAsia="楷体" w:cs="Times New Roman"/>
          <w:color w:val="000000"/>
          <w:spacing w:val="2"/>
          <w:u w:val="single"/>
        </w:rPr>
        <w:t>【条文说明】削方减载法适用于有削方条件、不危及后缘坡体整体稳定性及邻近建构筑物、管线、道路及场地等安全和正常使用的情况。</w:t>
      </w:r>
    </w:p>
    <w:p w14:paraId="399F8E7E">
      <w:pPr>
        <w:rPr>
          <w:rFonts w:cs="Times New Roman" w:eastAsiaTheme="minorEastAsia"/>
          <w:color w:val="000000"/>
          <w:spacing w:val="2"/>
        </w:rPr>
      </w:pPr>
      <w:r>
        <w:rPr>
          <w:rFonts w:cs="Times New Roman" w:eastAsiaTheme="minorEastAsia"/>
          <w:b/>
        </w:rPr>
        <w:t>5.</w:t>
      </w:r>
      <w:r>
        <w:rPr>
          <w:rFonts w:hint="eastAsia" w:cs="Times New Roman" w:eastAsiaTheme="minorEastAsia"/>
          <w:b/>
        </w:rPr>
        <w:t>4.2</w:t>
      </w:r>
      <w:r>
        <w:rPr>
          <w:rFonts w:cs="Times New Roman" w:eastAsiaTheme="minorEastAsia"/>
          <w:color w:val="000000"/>
        </w:rPr>
        <w:t xml:space="preserve"> 下列情况不宜采用</w:t>
      </w:r>
      <w:r>
        <w:rPr>
          <w:rFonts w:cs="Times New Roman"/>
          <w:szCs w:val="28"/>
        </w:rPr>
        <w:t>削方减载</w:t>
      </w:r>
      <w:r>
        <w:rPr>
          <w:rFonts w:cs="Times New Roman" w:eastAsiaTheme="minorEastAsia"/>
          <w:color w:val="000000"/>
          <w:spacing w:val="2"/>
        </w:rPr>
        <w:t>法：</w:t>
      </w:r>
    </w:p>
    <w:p w14:paraId="177099DF">
      <w:pPr>
        <w:ind w:firstLine="366" w:firstLineChars="150"/>
        <w:rPr>
          <w:rFonts w:cs="Times New Roman" w:eastAsiaTheme="minorEastAsia"/>
          <w:b w:val="0"/>
          <w:bCs w:val="0"/>
          <w:color w:val="000000"/>
          <w:spacing w:val="2"/>
        </w:rPr>
      </w:pPr>
      <w:r>
        <w:rPr>
          <w:rFonts w:cs="Times New Roman" w:eastAsiaTheme="minorEastAsia"/>
          <w:b w:val="0"/>
          <w:bCs w:val="0"/>
          <w:color w:val="000000"/>
          <w:spacing w:val="2"/>
        </w:rPr>
        <w:t xml:space="preserve">1  基坑周边场地狭窄，没有足够空间时； </w:t>
      </w:r>
    </w:p>
    <w:p w14:paraId="1AB47F83">
      <w:pPr>
        <w:ind w:firstLine="366" w:firstLineChars="150"/>
        <w:rPr>
          <w:rFonts w:cs="Times New Roman" w:eastAsiaTheme="minorEastAsia"/>
          <w:b w:val="0"/>
          <w:bCs w:val="0"/>
          <w:color w:val="000000"/>
          <w:spacing w:val="2"/>
        </w:rPr>
      </w:pPr>
      <w:r>
        <w:rPr>
          <w:rFonts w:cs="Times New Roman" w:eastAsiaTheme="minorEastAsia"/>
          <w:b w:val="0"/>
          <w:bCs w:val="0"/>
          <w:color w:val="000000"/>
          <w:spacing w:val="2"/>
        </w:rPr>
        <w:t>2  削方后可能危及邻近建（构）筑物等的安全和正常使用时；</w:t>
      </w:r>
    </w:p>
    <w:p w14:paraId="0221DA8D">
      <w:pPr>
        <w:ind w:firstLine="366" w:firstLineChars="150"/>
        <w:rPr>
          <w:rFonts w:cs="Times New Roman" w:eastAsiaTheme="minorEastAsia"/>
          <w:b w:val="0"/>
          <w:bCs w:val="0"/>
          <w:color w:val="000000"/>
          <w:spacing w:val="2"/>
        </w:rPr>
      </w:pPr>
      <w:r>
        <w:rPr>
          <w:rFonts w:cs="Times New Roman" w:eastAsiaTheme="minorEastAsia"/>
          <w:b w:val="0"/>
          <w:bCs w:val="0"/>
          <w:color w:val="000000"/>
          <w:spacing w:val="2"/>
        </w:rPr>
        <w:t>3  无抗滑地段或不具备反压条件，削方减载不能使既有基坑工程达到稳定时；</w:t>
      </w:r>
    </w:p>
    <w:p w14:paraId="67CA147C">
      <w:pPr>
        <w:ind w:firstLine="366" w:firstLineChars="150"/>
        <w:rPr>
          <w:rFonts w:cs="Times New Roman" w:eastAsiaTheme="minorEastAsia"/>
          <w:b w:val="0"/>
          <w:bCs w:val="0"/>
          <w:color w:val="000000"/>
          <w:spacing w:val="2"/>
        </w:rPr>
      </w:pPr>
      <w:r>
        <w:rPr>
          <w:rFonts w:cs="Times New Roman" w:eastAsiaTheme="minorEastAsia"/>
          <w:b w:val="0"/>
          <w:bCs w:val="0"/>
          <w:color w:val="000000"/>
          <w:spacing w:val="2"/>
        </w:rPr>
        <w:t>4  稳定性受岩土层面或结构面控制的坡体，当削方减载不具备降低坡体高度时；</w:t>
      </w:r>
    </w:p>
    <w:p w14:paraId="2076FAE8">
      <w:pPr>
        <w:ind w:firstLine="366" w:firstLineChars="150"/>
        <w:rPr>
          <w:rFonts w:cs="Times New Roman"/>
          <w:b w:val="0"/>
          <w:bCs w:val="0"/>
          <w:szCs w:val="28"/>
        </w:rPr>
      </w:pPr>
      <w:r>
        <w:rPr>
          <w:rFonts w:cs="Times New Roman" w:eastAsiaTheme="minorEastAsia"/>
          <w:b w:val="0"/>
          <w:bCs w:val="0"/>
          <w:color w:val="000000"/>
          <w:spacing w:val="2"/>
        </w:rPr>
        <w:t xml:space="preserve">5  </w:t>
      </w:r>
      <w:r>
        <w:rPr>
          <w:rFonts w:cs="Times New Roman"/>
          <w:b w:val="0"/>
          <w:bCs w:val="0"/>
          <w:szCs w:val="28"/>
        </w:rPr>
        <w:t>削方对原支护结构体系存在扰动和相互影响时；</w:t>
      </w:r>
    </w:p>
    <w:p w14:paraId="43A4E636">
      <w:pPr>
        <w:ind w:firstLine="366" w:firstLineChars="150"/>
        <w:rPr>
          <w:rFonts w:cs="Times New Roman" w:eastAsiaTheme="minorEastAsia"/>
          <w:b w:val="0"/>
          <w:bCs w:val="0"/>
          <w:color w:val="000000"/>
          <w:spacing w:val="2"/>
        </w:rPr>
      </w:pPr>
      <w:r>
        <w:rPr>
          <w:rFonts w:cs="Times New Roman" w:eastAsiaTheme="minorEastAsia"/>
          <w:b w:val="0"/>
          <w:bCs w:val="0"/>
          <w:color w:val="000000"/>
          <w:spacing w:val="2"/>
        </w:rPr>
        <w:t>6  对存在牵引式斜坡、季节性冻土的基坑工程。</w:t>
      </w:r>
    </w:p>
    <w:p w14:paraId="297A97CD">
      <w:pPr>
        <w:rPr>
          <w:rFonts w:eastAsia="楷体" w:cs="Times New Roman"/>
          <w:color w:val="000000"/>
          <w:spacing w:val="2"/>
          <w:u w:val="single"/>
        </w:rPr>
      </w:pPr>
      <w:bookmarkStart w:id="67" w:name="OLE_LINK3"/>
      <w:r>
        <w:rPr>
          <w:rFonts w:eastAsia="楷体" w:cs="Times New Roman"/>
          <w:szCs w:val="28"/>
          <w:u w:val="single"/>
        </w:rPr>
        <w:t>【条文说明】本条第5款，如果原基坑工程采用了如锚杆、内支撑等支护结构，这些支护体系与削方减载法存在相互干扰或影响，可能会影响整个原支护体系的效果和稳定性，需谨慎考虑是否采用削方减载法。</w:t>
      </w:r>
    </w:p>
    <w:bookmarkEnd w:id="67"/>
    <w:p w14:paraId="58ACA082">
      <w:pPr>
        <w:rPr>
          <w:rFonts w:cs="Times New Roman" w:eastAsiaTheme="minorEastAsia"/>
          <w:color w:val="000000"/>
          <w:spacing w:val="2"/>
        </w:rPr>
      </w:pPr>
      <w:r>
        <w:rPr>
          <w:rFonts w:cs="Times New Roman" w:eastAsiaTheme="minorEastAsia"/>
          <w:b/>
        </w:rPr>
        <w:t>5.</w:t>
      </w:r>
      <w:r>
        <w:rPr>
          <w:rFonts w:hint="eastAsia" w:cs="Times New Roman" w:eastAsiaTheme="minorEastAsia"/>
          <w:b/>
        </w:rPr>
        <w:t>4.3</w:t>
      </w:r>
      <w:r>
        <w:rPr>
          <w:rFonts w:cs="Times New Roman" w:eastAsiaTheme="minorEastAsia"/>
          <w:color w:val="000000"/>
        </w:rPr>
        <w:t xml:space="preserve"> </w:t>
      </w:r>
      <w:r>
        <w:rPr>
          <w:rFonts w:cs="Times New Roman"/>
          <w:szCs w:val="28"/>
        </w:rPr>
        <w:t>削方减载</w:t>
      </w:r>
      <w:r>
        <w:rPr>
          <w:rFonts w:cs="Times New Roman" w:eastAsiaTheme="minorEastAsia"/>
          <w:color w:val="000000"/>
          <w:spacing w:val="2"/>
        </w:rPr>
        <w:t>法设计应符合下列规定：</w:t>
      </w:r>
    </w:p>
    <w:p w14:paraId="719691E9">
      <w:pPr>
        <w:ind w:firstLine="366" w:firstLineChars="150"/>
        <w:rPr>
          <w:rFonts w:cs="Times New Roman" w:eastAsiaTheme="minorEastAsia"/>
          <w:b w:val="0"/>
          <w:bCs w:val="0"/>
          <w:color w:val="000000"/>
          <w:spacing w:val="2"/>
        </w:rPr>
      </w:pPr>
      <w:r>
        <w:rPr>
          <w:rFonts w:cs="Times New Roman" w:eastAsiaTheme="minorEastAsia"/>
          <w:b w:val="0"/>
          <w:bCs w:val="0"/>
          <w:color w:val="000000"/>
          <w:spacing w:val="2"/>
        </w:rPr>
        <w:t>1  削方量应根据基坑工程及支护结构的整体和局部稳定性验算确定；</w:t>
      </w:r>
    </w:p>
    <w:p w14:paraId="239FF63E">
      <w:pPr>
        <w:ind w:firstLine="366" w:firstLineChars="150"/>
        <w:rPr>
          <w:rFonts w:cs="Times New Roman" w:eastAsiaTheme="minorEastAsia"/>
          <w:b w:val="0"/>
          <w:bCs w:val="0"/>
          <w:color w:val="000000"/>
          <w:spacing w:val="2"/>
        </w:rPr>
      </w:pPr>
      <w:r>
        <w:rPr>
          <w:rFonts w:cs="Times New Roman" w:eastAsiaTheme="minorEastAsia"/>
          <w:b w:val="0"/>
          <w:bCs w:val="0"/>
          <w:color w:val="000000"/>
          <w:spacing w:val="2"/>
        </w:rPr>
        <w:t>2  削方应根据基坑变形、破坏情况，在推力段范围内进行；</w:t>
      </w:r>
    </w:p>
    <w:p w14:paraId="2645D342">
      <w:pPr>
        <w:ind w:firstLine="366" w:firstLineChars="150"/>
        <w:rPr>
          <w:rFonts w:cs="Times New Roman" w:eastAsiaTheme="minorEastAsia"/>
          <w:b w:val="0"/>
          <w:bCs w:val="0"/>
          <w:spacing w:val="2"/>
        </w:rPr>
      </w:pPr>
      <w:r>
        <w:rPr>
          <w:rFonts w:cs="Times New Roman" w:eastAsiaTheme="minorEastAsia"/>
          <w:b w:val="0"/>
          <w:bCs w:val="0"/>
          <w:spacing w:val="2"/>
        </w:rPr>
        <w:t>3  削方减载不应产生新的不稳定</w:t>
      </w:r>
      <w:r>
        <w:rPr>
          <w:rFonts w:hint="eastAsia" w:cs="Times New Roman" w:eastAsiaTheme="minorEastAsia"/>
          <w:b w:val="0"/>
          <w:bCs w:val="0"/>
          <w:spacing w:val="2"/>
        </w:rPr>
        <w:t>边</w:t>
      </w:r>
      <w:r>
        <w:rPr>
          <w:rFonts w:cs="Times New Roman" w:eastAsiaTheme="minorEastAsia"/>
          <w:b w:val="0"/>
          <w:bCs w:val="0"/>
          <w:spacing w:val="2"/>
        </w:rPr>
        <w:t>坡，</w:t>
      </w:r>
      <w:r>
        <w:rPr>
          <w:rFonts w:hint="eastAsia" w:cs="Times New Roman" w:eastAsiaTheme="minorEastAsia"/>
          <w:b w:val="0"/>
          <w:bCs w:val="0"/>
        </w:rPr>
        <w:t>削方后形成的基坑边坡应采用适宜的支护结构进行支护，并应满足原基坑工程的设计使用要求。</w:t>
      </w:r>
      <w:r>
        <w:rPr>
          <w:rFonts w:cs="Times New Roman" w:eastAsiaTheme="minorEastAsia"/>
          <w:b w:val="0"/>
          <w:bCs w:val="0"/>
          <w:spacing w:val="2"/>
        </w:rPr>
        <w:t>；</w:t>
      </w:r>
    </w:p>
    <w:p w14:paraId="38CDBCE6">
      <w:pPr>
        <w:ind w:firstLine="366" w:firstLineChars="150"/>
        <w:rPr>
          <w:rFonts w:cs="Times New Roman" w:eastAsiaTheme="minorEastAsia"/>
          <w:b w:val="0"/>
          <w:bCs w:val="0"/>
          <w:color w:val="000000"/>
          <w:spacing w:val="2"/>
        </w:rPr>
      </w:pPr>
      <w:r>
        <w:rPr>
          <w:rFonts w:cs="Times New Roman" w:eastAsiaTheme="minorEastAsia"/>
          <w:b w:val="0"/>
          <w:bCs w:val="0"/>
          <w:color w:val="000000"/>
          <w:spacing w:val="2"/>
        </w:rPr>
        <w:t>4  削方应距坡顶既有建构筑物有一定的安全距离，不得危及邻近建筑物、管线及道路等的安全及正常使用</w:t>
      </w:r>
      <w:r>
        <w:rPr>
          <w:rFonts w:hint="eastAsia" w:cs="Times New Roman" w:eastAsiaTheme="minorEastAsia"/>
          <w:b w:val="0"/>
          <w:bCs w:val="0"/>
          <w:color w:val="000000"/>
          <w:spacing w:val="2"/>
        </w:rPr>
        <w:t>。</w:t>
      </w:r>
    </w:p>
    <w:p w14:paraId="4EB44B48">
      <w:pPr>
        <w:rPr>
          <w:rFonts w:cs="Times New Roman" w:eastAsiaTheme="minorEastAsia"/>
          <w:color w:val="000000"/>
        </w:rPr>
      </w:pPr>
      <w:r>
        <w:rPr>
          <w:rFonts w:cs="Times New Roman" w:eastAsiaTheme="minorEastAsia"/>
          <w:b/>
        </w:rPr>
        <w:t>5.</w:t>
      </w:r>
      <w:r>
        <w:rPr>
          <w:rFonts w:hint="eastAsia" w:cs="Times New Roman" w:eastAsiaTheme="minorEastAsia"/>
          <w:b/>
        </w:rPr>
        <w:t>4.4</w:t>
      </w:r>
      <w:r>
        <w:rPr>
          <w:rFonts w:cs="Times New Roman" w:eastAsiaTheme="minorEastAsia"/>
          <w:color w:val="000000"/>
        </w:rPr>
        <w:t xml:space="preserve"> 采用削方减载时，应设置截排水系统。</w:t>
      </w:r>
    </w:p>
    <w:p w14:paraId="237CAD1E">
      <w:pPr>
        <w:rPr>
          <w:rFonts w:eastAsia="楷体" w:cs="Times New Roman"/>
          <w:u w:val="single"/>
        </w:rPr>
      </w:pPr>
      <w:r>
        <w:rPr>
          <w:rFonts w:eastAsia="楷体" w:cs="Times New Roman"/>
          <w:color w:val="000000"/>
          <w:u w:val="single"/>
        </w:rPr>
        <w:t>【条文说明】有条件采用削方减载法对既有基坑工程进行加固时，削方减载后使拟加固的基坑工程稳定性满足要求的同时，也应对坡顶一定范围内、坡面及坡脚采取防排水工程措施，形成完善的防、截、排水系统，与场地既有排水系统有效</w:t>
      </w:r>
      <w:r>
        <w:rPr>
          <w:rFonts w:eastAsia="楷体" w:cs="Times New Roman"/>
          <w:u w:val="single"/>
        </w:rPr>
        <w:t>衔接，确保排水通畅。</w:t>
      </w:r>
    </w:p>
    <w:p w14:paraId="320671CA">
      <w:pPr>
        <w:rPr>
          <w:rFonts w:cs="Times New Roman" w:eastAsiaTheme="minorEastAsia"/>
        </w:rPr>
      </w:pPr>
      <w:r>
        <w:rPr>
          <w:rFonts w:cs="Times New Roman" w:eastAsiaTheme="minorEastAsia"/>
          <w:b/>
        </w:rPr>
        <w:t>5.</w:t>
      </w:r>
      <w:r>
        <w:rPr>
          <w:rFonts w:hint="eastAsia" w:cs="Times New Roman" w:eastAsiaTheme="minorEastAsia"/>
          <w:b/>
        </w:rPr>
        <w:t>4.5</w:t>
      </w:r>
      <w:r>
        <w:rPr>
          <w:rFonts w:cs="Times New Roman" w:eastAsiaTheme="minorEastAsia"/>
        </w:rPr>
        <w:t xml:space="preserve"> 削方减载法作为应急措施对基坑加固处理后，应及时采用其他加固方法，并满足原基坑工程的设计使用要求。</w:t>
      </w:r>
    </w:p>
    <w:p w14:paraId="044DFAED">
      <w:pPr>
        <w:pStyle w:val="3"/>
        <w:rPr>
          <w:rFonts w:ascii="Times New Roman" w:hAnsi="Times New Roman" w:cs="Times New Roman" w:eastAsiaTheme="minorEastAsia"/>
          <w:sz w:val="28"/>
          <w:szCs w:val="28"/>
        </w:rPr>
      </w:pPr>
      <w:bookmarkStart w:id="68" w:name="_Toc26375"/>
      <w:r>
        <w:rPr>
          <w:rFonts w:hint="eastAsia" w:ascii="Times New Roman" w:hAnsi="Times New Roman" w:cs="Times New Roman" w:eastAsiaTheme="minorEastAsia"/>
          <w:sz w:val="28"/>
          <w:szCs w:val="28"/>
        </w:rPr>
        <w:t>5.5</w:t>
      </w:r>
      <w:r>
        <w:rPr>
          <w:rFonts w:ascii="Times New Roman" w:hAnsi="Times New Roman" w:cs="Times New Roman" w:eastAsiaTheme="minorEastAsia"/>
          <w:sz w:val="28"/>
          <w:szCs w:val="28"/>
        </w:rPr>
        <w:t>基坑土体加固法</w:t>
      </w:r>
      <w:bookmarkEnd w:id="68"/>
    </w:p>
    <w:p w14:paraId="0E83B7DF">
      <w:pPr>
        <w:rPr>
          <w:rFonts w:cs="Times New Roman" w:eastAsiaTheme="minorEastAsia"/>
          <w:spacing w:val="2"/>
        </w:rPr>
      </w:pPr>
      <w:r>
        <w:rPr>
          <w:rFonts w:cs="Times New Roman" w:eastAsiaTheme="minorEastAsia"/>
          <w:b/>
        </w:rPr>
        <w:t>5.</w:t>
      </w:r>
      <w:r>
        <w:rPr>
          <w:rFonts w:hint="eastAsia" w:cs="Times New Roman" w:eastAsiaTheme="minorEastAsia"/>
          <w:b/>
        </w:rPr>
        <w:t>5.1</w:t>
      </w:r>
      <w:r>
        <w:rPr>
          <w:rFonts w:cs="Times New Roman" w:eastAsiaTheme="minorEastAsia"/>
        </w:rPr>
        <w:t xml:space="preserve"> </w:t>
      </w:r>
      <w:r>
        <w:rPr>
          <w:rFonts w:cs="Times New Roman" w:eastAsiaTheme="minorEastAsia"/>
          <w:spacing w:val="2"/>
        </w:rPr>
        <w:t>基坑土体加固法适用于坑外主动区、坑内被动区、岩土边坡坡体等位置的软弱土体加固。</w:t>
      </w:r>
    </w:p>
    <w:p w14:paraId="7C0C8265">
      <w:pPr>
        <w:rPr>
          <w:rFonts w:cs="Times New Roman"/>
          <w:szCs w:val="28"/>
        </w:rPr>
      </w:pPr>
      <w:r>
        <w:rPr>
          <w:rFonts w:cs="Times New Roman" w:eastAsiaTheme="minorEastAsia"/>
          <w:b/>
        </w:rPr>
        <w:t>5.</w:t>
      </w:r>
      <w:r>
        <w:rPr>
          <w:rFonts w:hint="eastAsia" w:cs="Times New Roman" w:eastAsiaTheme="minorEastAsia"/>
          <w:b/>
        </w:rPr>
        <w:t>5.2</w:t>
      </w:r>
      <w:r>
        <w:rPr>
          <w:rFonts w:cs="Times New Roman" w:eastAsiaTheme="minorEastAsia"/>
        </w:rPr>
        <w:t xml:space="preserve"> </w:t>
      </w:r>
      <w:r>
        <w:rPr>
          <w:rFonts w:cs="Times New Roman"/>
          <w:szCs w:val="28"/>
        </w:rPr>
        <w:t>基坑土体加固可采用水泥土搅拌、高压喷射注浆、注浆加固等方法，基坑土体加固方法的适用范围见表5.</w:t>
      </w:r>
      <w:r>
        <w:rPr>
          <w:rFonts w:hint="eastAsia" w:cs="Times New Roman"/>
          <w:szCs w:val="28"/>
        </w:rPr>
        <w:t>5.2</w:t>
      </w:r>
      <w:r>
        <w:rPr>
          <w:rFonts w:cs="Times New Roman"/>
          <w:szCs w:val="28"/>
        </w:rPr>
        <w:t>。</w:t>
      </w:r>
    </w:p>
    <w:p w14:paraId="29771756">
      <w:pPr>
        <w:jc w:val="center"/>
        <w:rPr>
          <w:rFonts w:cs="Times New Roman"/>
          <w:b/>
          <w:bCs/>
          <w:szCs w:val="28"/>
        </w:rPr>
      </w:pPr>
      <w:r>
        <w:rPr>
          <w:rFonts w:cs="Times New Roman"/>
          <w:b/>
          <w:bCs/>
          <w:szCs w:val="28"/>
        </w:rPr>
        <w:t>表5.</w:t>
      </w:r>
      <w:r>
        <w:rPr>
          <w:rFonts w:hint="eastAsia" w:cs="Times New Roman"/>
          <w:b/>
          <w:bCs/>
          <w:szCs w:val="28"/>
        </w:rPr>
        <w:t>5.2</w:t>
      </w:r>
      <w:r>
        <w:rPr>
          <w:rFonts w:cs="Times New Roman"/>
          <w:b/>
          <w:bCs/>
          <w:szCs w:val="28"/>
        </w:rPr>
        <w:t xml:space="preserve">  基坑土体加固方法的适用范围</w:t>
      </w:r>
    </w:p>
    <w:tbl>
      <w:tblPr>
        <w:tblStyle w:val="14"/>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1743"/>
        <w:gridCol w:w="2074"/>
        <w:gridCol w:w="1995"/>
      </w:tblGrid>
      <w:tr w14:paraId="524FE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14:paraId="457ED56F">
            <w:pPr>
              <w:jc w:val="center"/>
              <w:rPr>
                <w:rFonts w:cs="Times New Roman"/>
                <w:szCs w:val="22"/>
              </w:rPr>
            </w:pPr>
            <w:r>
              <w:rPr>
                <w:rFonts w:cs="Times New Roman"/>
                <w:szCs w:val="22"/>
              </w:rPr>
              <w:t>加固方法</w:t>
            </w:r>
          </w:p>
        </w:tc>
        <w:tc>
          <w:tcPr>
            <w:tcW w:w="1743" w:type="dxa"/>
            <w:vAlign w:val="center"/>
          </w:tcPr>
          <w:p w14:paraId="2DCEE15C">
            <w:pPr>
              <w:jc w:val="center"/>
              <w:rPr>
                <w:rFonts w:cs="Times New Roman"/>
                <w:szCs w:val="22"/>
              </w:rPr>
            </w:pPr>
            <w:r>
              <w:rPr>
                <w:rFonts w:cs="Times New Roman"/>
                <w:szCs w:val="22"/>
              </w:rPr>
              <w:t>淤泥、淤泥质土、填土</w:t>
            </w:r>
          </w:p>
        </w:tc>
        <w:tc>
          <w:tcPr>
            <w:tcW w:w="2074" w:type="dxa"/>
            <w:vAlign w:val="center"/>
          </w:tcPr>
          <w:p w14:paraId="74A85EAF">
            <w:pPr>
              <w:jc w:val="center"/>
              <w:rPr>
                <w:rFonts w:cs="Times New Roman"/>
                <w:szCs w:val="22"/>
              </w:rPr>
            </w:pPr>
            <w:r>
              <w:rPr>
                <w:rFonts w:cs="Times New Roman"/>
                <w:szCs w:val="22"/>
              </w:rPr>
              <w:t>粉土、砂土</w:t>
            </w:r>
          </w:p>
        </w:tc>
        <w:tc>
          <w:tcPr>
            <w:tcW w:w="1995" w:type="dxa"/>
            <w:vAlign w:val="center"/>
          </w:tcPr>
          <w:p w14:paraId="7A455EB9">
            <w:pPr>
              <w:jc w:val="center"/>
              <w:rPr>
                <w:rFonts w:cs="Times New Roman"/>
                <w:szCs w:val="22"/>
              </w:rPr>
            </w:pPr>
            <w:r>
              <w:rPr>
                <w:rFonts w:cs="Times New Roman"/>
                <w:szCs w:val="22"/>
              </w:rPr>
              <w:t>碎（卵）石土</w:t>
            </w:r>
          </w:p>
        </w:tc>
      </w:tr>
      <w:tr w14:paraId="64B58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14:paraId="5EA4C098">
            <w:pPr>
              <w:jc w:val="center"/>
              <w:rPr>
                <w:rFonts w:cs="Times New Roman"/>
                <w:szCs w:val="22"/>
              </w:rPr>
            </w:pPr>
            <w:r>
              <w:rPr>
                <w:rFonts w:cs="Times New Roman"/>
                <w:szCs w:val="22"/>
              </w:rPr>
              <w:t>水泥土搅拌桩</w:t>
            </w:r>
          </w:p>
        </w:tc>
        <w:tc>
          <w:tcPr>
            <w:tcW w:w="1743" w:type="dxa"/>
            <w:vAlign w:val="center"/>
          </w:tcPr>
          <w:p w14:paraId="717D7968">
            <w:pPr>
              <w:jc w:val="center"/>
              <w:rPr>
                <w:rFonts w:cs="Times New Roman"/>
                <w:szCs w:val="22"/>
              </w:rPr>
            </w:pPr>
            <w:r>
              <w:rPr>
                <w:rFonts w:cs="Times New Roman"/>
                <w:sz w:val="18"/>
                <w:szCs w:val="20"/>
              </w:rPr>
              <w:t>○</w:t>
            </w:r>
          </w:p>
        </w:tc>
        <w:tc>
          <w:tcPr>
            <w:tcW w:w="2074" w:type="dxa"/>
            <w:vAlign w:val="center"/>
          </w:tcPr>
          <w:p w14:paraId="75A78416">
            <w:pPr>
              <w:jc w:val="center"/>
              <w:rPr>
                <w:rFonts w:cs="Times New Roman"/>
                <w:szCs w:val="22"/>
              </w:rPr>
            </w:pPr>
            <w:r>
              <w:rPr>
                <w:rFonts w:cs="Times New Roman"/>
                <w:sz w:val="18"/>
                <w:szCs w:val="20"/>
              </w:rPr>
              <w:t>○</w:t>
            </w:r>
          </w:p>
        </w:tc>
        <w:tc>
          <w:tcPr>
            <w:tcW w:w="1995" w:type="dxa"/>
            <w:vAlign w:val="center"/>
          </w:tcPr>
          <w:p w14:paraId="36834331">
            <w:pPr>
              <w:jc w:val="center"/>
              <w:rPr>
                <w:rFonts w:cs="Times New Roman"/>
                <w:szCs w:val="22"/>
              </w:rPr>
            </w:pPr>
            <w:r>
              <w:rPr>
                <w:rFonts w:cs="Times New Roman"/>
                <w:sz w:val="18"/>
                <w:szCs w:val="20"/>
              </w:rPr>
              <w:t>—</w:t>
            </w:r>
          </w:p>
        </w:tc>
      </w:tr>
      <w:tr w14:paraId="22CC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14:paraId="240BA497">
            <w:pPr>
              <w:jc w:val="center"/>
              <w:rPr>
                <w:rFonts w:cs="Times New Roman"/>
                <w:szCs w:val="22"/>
              </w:rPr>
            </w:pPr>
            <w:r>
              <w:rPr>
                <w:rFonts w:cs="Times New Roman"/>
                <w:szCs w:val="22"/>
              </w:rPr>
              <w:t>高压喷射注浆</w:t>
            </w:r>
          </w:p>
        </w:tc>
        <w:tc>
          <w:tcPr>
            <w:tcW w:w="1743" w:type="dxa"/>
            <w:vAlign w:val="center"/>
          </w:tcPr>
          <w:p w14:paraId="6DB5E8B4">
            <w:pPr>
              <w:jc w:val="center"/>
              <w:rPr>
                <w:rFonts w:cs="Times New Roman"/>
                <w:szCs w:val="22"/>
              </w:rPr>
            </w:pPr>
            <w:r>
              <w:rPr>
                <w:rFonts w:cs="Times New Roman"/>
                <w:sz w:val="18"/>
                <w:szCs w:val="20"/>
              </w:rPr>
              <w:t>○</w:t>
            </w:r>
          </w:p>
        </w:tc>
        <w:tc>
          <w:tcPr>
            <w:tcW w:w="2074" w:type="dxa"/>
            <w:vAlign w:val="center"/>
          </w:tcPr>
          <w:p w14:paraId="76AD35E7">
            <w:pPr>
              <w:jc w:val="center"/>
              <w:rPr>
                <w:rFonts w:cs="Times New Roman"/>
                <w:szCs w:val="22"/>
              </w:rPr>
            </w:pPr>
            <w:r>
              <w:rPr>
                <w:rFonts w:cs="Times New Roman"/>
                <w:sz w:val="18"/>
                <w:szCs w:val="20"/>
              </w:rPr>
              <w:t>○</w:t>
            </w:r>
          </w:p>
        </w:tc>
        <w:tc>
          <w:tcPr>
            <w:tcW w:w="1995" w:type="dxa"/>
            <w:vAlign w:val="center"/>
          </w:tcPr>
          <w:p w14:paraId="6DF9CA23">
            <w:pPr>
              <w:jc w:val="center"/>
              <w:rPr>
                <w:rFonts w:cs="Times New Roman"/>
                <w:szCs w:val="22"/>
              </w:rPr>
            </w:pPr>
            <w:r>
              <w:rPr>
                <w:rFonts w:cs="Times New Roman"/>
                <w:sz w:val="18"/>
                <w:szCs w:val="20"/>
              </w:rPr>
              <w:t>○</w:t>
            </w:r>
          </w:p>
        </w:tc>
      </w:tr>
      <w:tr w14:paraId="1DF9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14:paraId="13D7AC85">
            <w:pPr>
              <w:jc w:val="center"/>
              <w:rPr>
                <w:rFonts w:cs="Times New Roman"/>
                <w:szCs w:val="22"/>
              </w:rPr>
            </w:pPr>
            <w:r>
              <w:rPr>
                <w:rFonts w:cs="Times New Roman"/>
                <w:szCs w:val="22"/>
              </w:rPr>
              <w:t>注浆加固</w:t>
            </w:r>
          </w:p>
        </w:tc>
        <w:tc>
          <w:tcPr>
            <w:tcW w:w="1743" w:type="dxa"/>
            <w:vAlign w:val="center"/>
          </w:tcPr>
          <w:p w14:paraId="5402231C">
            <w:pPr>
              <w:jc w:val="center"/>
              <w:rPr>
                <w:rFonts w:cs="Times New Roman"/>
                <w:szCs w:val="22"/>
              </w:rPr>
            </w:pPr>
            <w:r>
              <w:rPr>
                <w:rFonts w:cs="Times New Roman"/>
                <w:sz w:val="18"/>
                <w:szCs w:val="20"/>
              </w:rPr>
              <w:t>—</w:t>
            </w:r>
          </w:p>
        </w:tc>
        <w:tc>
          <w:tcPr>
            <w:tcW w:w="2074" w:type="dxa"/>
            <w:vAlign w:val="center"/>
          </w:tcPr>
          <w:p w14:paraId="7109DD3C">
            <w:pPr>
              <w:jc w:val="center"/>
              <w:rPr>
                <w:rFonts w:cs="Times New Roman"/>
                <w:szCs w:val="22"/>
              </w:rPr>
            </w:pPr>
            <w:r>
              <w:rPr>
                <w:rFonts w:cs="Times New Roman"/>
                <w:sz w:val="18"/>
                <w:szCs w:val="20"/>
              </w:rPr>
              <w:t>○</w:t>
            </w:r>
          </w:p>
        </w:tc>
        <w:tc>
          <w:tcPr>
            <w:tcW w:w="1995" w:type="dxa"/>
            <w:vAlign w:val="center"/>
          </w:tcPr>
          <w:p w14:paraId="22792E80">
            <w:pPr>
              <w:jc w:val="center"/>
              <w:rPr>
                <w:rFonts w:cs="Times New Roman"/>
                <w:szCs w:val="22"/>
              </w:rPr>
            </w:pPr>
            <w:r>
              <w:rPr>
                <w:rFonts w:cs="Times New Roman"/>
                <w:sz w:val="18"/>
                <w:szCs w:val="20"/>
              </w:rPr>
              <w:t>○</w:t>
            </w:r>
          </w:p>
        </w:tc>
      </w:tr>
    </w:tbl>
    <w:p w14:paraId="24B61C4F">
      <w:pPr>
        <w:spacing w:line="240" w:lineRule="auto"/>
        <w:ind w:firstLine="360" w:firstLineChars="200"/>
        <w:rPr>
          <w:rFonts w:cs="Times New Roman"/>
          <w:sz w:val="18"/>
          <w:szCs w:val="20"/>
        </w:rPr>
      </w:pPr>
      <w:r>
        <w:rPr>
          <w:rFonts w:cs="Times New Roman"/>
          <w:sz w:val="18"/>
          <w:szCs w:val="20"/>
        </w:rPr>
        <w:t>注：</w:t>
      </w:r>
      <w:r>
        <w:rPr>
          <w:rFonts w:hint="eastAsia" w:cs="Times New Roman"/>
          <w:sz w:val="18"/>
          <w:szCs w:val="20"/>
        </w:rPr>
        <w:t xml:space="preserve">1  </w:t>
      </w:r>
      <w:r>
        <w:rPr>
          <w:rFonts w:cs="Times New Roman"/>
          <w:sz w:val="18"/>
          <w:szCs w:val="20"/>
        </w:rPr>
        <w:t>“○”表示可用，“—”表示不适用</w:t>
      </w:r>
      <w:r>
        <w:rPr>
          <w:rFonts w:hint="eastAsia" w:cs="Times New Roman"/>
          <w:sz w:val="18"/>
          <w:szCs w:val="20"/>
        </w:rPr>
        <w:t>；</w:t>
      </w:r>
    </w:p>
    <w:p w14:paraId="30F6750D">
      <w:pPr>
        <w:spacing w:line="240" w:lineRule="auto"/>
        <w:ind w:firstLine="720" w:firstLineChars="400"/>
        <w:rPr>
          <w:rFonts w:cs="Times New Roman"/>
          <w:sz w:val="18"/>
          <w:szCs w:val="20"/>
        </w:rPr>
      </w:pPr>
      <w:r>
        <w:rPr>
          <w:rFonts w:hint="eastAsia" w:cs="Times New Roman"/>
          <w:sz w:val="18"/>
          <w:szCs w:val="20"/>
        </w:rPr>
        <w:t>2  水泥土搅拌桩是指双轴和三轴水泥土搅拌桩。</w:t>
      </w:r>
    </w:p>
    <w:p w14:paraId="565DAC0E">
      <w:pPr>
        <w:rPr>
          <w:rFonts w:eastAsia="楷体" w:cs="Times New Roman"/>
          <w:spacing w:val="2"/>
          <w:u w:val="single"/>
        </w:rPr>
      </w:pPr>
      <w:r>
        <w:rPr>
          <w:rFonts w:eastAsia="楷体" w:cs="Times New Roman"/>
          <w:spacing w:val="2"/>
          <w:u w:val="single"/>
        </w:rPr>
        <w:t>【条文说明】基坑围护结构的变形与基坑内土体密切相关。采用水泥土搅拌桩、高压喷射注浆、注浆或其他方法对地基掺入一定量的固化剂或使土体固结,能有效提高土体的强度和土体的侧向抗力,减少围护结构的位移，以保证工程结构或邻近结构不致发生超过允许的沉降或位移。</w:t>
      </w:r>
    </w:p>
    <w:p w14:paraId="22C9EDB7">
      <w:pPr>
        <w:rPr>
          <w:rFonts w:cs="Times New Roman" w:eastAsiaTheme="minorEastAsia"/>
          <w:spacing w:val="2"/>
        </w:rPr>
      </w:pPr>
      <w:r>
        <w:rPr>
          <w:rFonts w:cs="Times New Roman" w:eastAsiaTheme="minorEastAsia"/>
          <w:b/>
        </w:rPr>
        <w:t>5.</w:t>
      </w:r>
      <w:r>
        <w:rPr>
          <w:rFonts w:hint="eastAsia" w:cs="Times New Roman" w:eastAsiaTheme="minorEastAsia"/>
          <w:b/>
        </w:rPr>
        <w:t>5.3</w:t>
      </w:r>
      <w:r>
        <w:rPr>
          <w:rFonts w:cs="Times New Roman" w:eastAsiaTheme="minorEastAsia"/>
        </w:rPr>
        <w:t xml:space="preserve"> </w:t>
      </w:r>
      <w:r>
        <w:rPr>
          <w:rFonts w:cs="Times New Roman" w:eastAsiaTheme="minorEastAsia"/>
          <w:spacing w:val="2"/>
        </w:rPr>
        <w:t>基坑土体加固设计应综合考虑地质条件、基坑加固要求、基坑稳定性、基坑支护形式、施工要求等因素合理选择加固方法和确定加固位置及范围。</w:t>
      </w:r>
    </w:p>
    <w:p w14:paraId="31E8F26B">
      <w:pPr>
        <w:rPr>
          <w:rFonts w:eastAsia="楷体" w:cs="Times New Roman"/>
          <w:spacing w:val="2"/>
          <w:u w:val="single"/>
        </w:rPr>
      </w:pPr>
      <w:r>
        <w:rPr>
          <w:rFonts w:eastAsia="楷体" w:cs="Times New Roman"/>
          <w:spacing w:val="2"/>
          <w:u w:val="single"/>
        </w:rPr>
        <w:t>【条文说明】土体加固设计与地质条件、基坑稳定性、基坑支护形式、施工要求等密切相关。地质条件主要是指被加固土体的分布范围、含水量、土的颗粒级配、有机质含量、地下水的侵蚀性、孔隙率等因素。土体加固设计应明确对加固范围和加固后的技术指标,以便施工的可操作性,并满足工程安全和环境保护要求。</w:t>
      </w:r>
    </w:p>
    <w:p w14:paraId="6BA2FC84">
      <w:pPr>
        <w:rPr>
          <w:rFonts w:cs="Times New Roman" w:eastAsiaTheme="minorEastAsia"/>
        </w:rPr>
      </w:pPr>
      <w:r>
        <w:rPr>
          <w:rFonts w:cs="Times New Roman" w:eastAsiaTheme="minorEastAsia"/>
          <w:b/>
        </w:rPr>
        <w:t>5.</w:t>
      </w:r>
      <w:r>
        <w:rPr>
          <w:rFonts w:hint="eastAsia" w:cs="Times New Roman" w:eastAsiaTheme="minorEastAsia"/>
          <w:b/>
        </w:rPr>
        <w:t>5.4</w:t>
      </w:r>
      <w:r>
        <w:rPr>
          <w:rFonts w:cs="Times New Roman" w:eastAsiaTheme="minorEastAsia"/>
        </w:rPr>
        <w:t xml:space="preserve"> </w:t>
      </w:r>
      <w:bookmarkStart w:id="69" w:name="OLE_LINK24"/>
      <w:r>
        <w:rPr>
          <w:rFonts w:cs="Times New Roman"/>
          <w:szCs w:val="28"/>
        </w:rPr>
        <w:t>基坑安全等级为一级的既有基坑工程，</w:t>
      </w:r>
      <w:bookmarkEnd w:id="69"/>
      <w:r>
        <w:rPr>
          <w:rFonts w:cs="Times New Roman"/>
          <w:szCs w:val="28"/>
        </w:rPr>
        <w:t>宜通过现场试验确定加固工艺的适用性和水泥掺量等参数，并满足设计强度要求。</w:t>
      </w:r>
    </w:p>
    <w:p w14:paraId="3193F0A7">
      <w:pPr>
        <w:rPr>
          <w:rFonts w:eastAsia="楷体" w:cs="Times New Roman"/>
          <w:u w:val="single"/>
        </w:rPr>
      </w:pPr>
      <w:r>
        <w:rPr>
          <w:rFonts w:eastAsia="楷体" w:cs="Times New Roman"/>
          <w:u w:val="single"/>
        </w:rPr>
        <w:t>【条文说明】基坑安全等级为一级时，一般要求进行加固工艺的适宜性试验及施工后的强度检测工作,以数据判断加固的有效性,提高工程的可靠性和安全性。对基坑安全等级为二、三级的基坑工程，应根据工程经验确定施工参数及施工工艺。</w:t>
      </w:r>
    </w:p>
    <w:p w14:paraId="40D52485">
      <w:pPr>
        <w:rPr>
          <w:rFonts w:cs="Times New Roman"/>
        </w:rPr>
      </w:pPr>
      <w:r>
        <w:rPr>
          <w:rFonts w:cs="Times New Roman" w:eastAsiaTheme="minorEastAsia"/>
          <w:b/>
        </w:rPr>
        <w:t>5.</w:t>
      </w:r>
      <w:r>
        <w:rPr>
          <w:rFonts w:hint="eastAsia" w:cs="Times New Roman" w:eastAsiaTheme="minorEastAsia"/>
          <w:b/>
        </w:rPr>
        <w:t>5.5</w:t>
      </w:r>
      <w:r>
        <w:rPr>
          <w:rFonts w:cs="Times New Roman" w:eastAsiaTheme="minorEastAsia"/>
          <w:b/>
        </w:rPr>
        <w:t xml:space="preserve"> </w:t>
      </w:r>
      <w:r>
        <w:rPr>
          <w:rFonts w:cs="Times New Roman"/>
        </w:rPr>
        <w:t>基坑土体加固28d龄期无侧限抗压强度不应小于设计要求。水泥宜采用强度等级不低于P.O42.5级的普通硅酸盐水泥，水泥掺量和水灰比宜根据工程经验或现场试验确定，并宜符合下列规定：</w:t>
      </w:r>
    </w:p>
    <w:p w14:paraId="4BE6E359">
      <w:pPr>
        <w:widowControl/>
        <w:ind w:firstLine="361" w:firstLineChars="150"/>
        <w:rPr>
          <w:rFonts w:cs="Times New Roman"/>
          <w:kern w:val="44"/>
        </w:rPr>
      </w:pPr>
      <w:r>
        <w:rPr>
          <w:rFonts w:cs="Times New Roman"/>
          <w:b/>
          <w:bCs/>
          <w:kern w:val="44"/>
        </w:rPr>
        <w:t xml:space="preserve">1  </w:t>
      </w:r>
      <w:r>
        <w:rPr>
          <w:rFonts w:cs="Times New Roman"/>
          <w:kern w:val="44"/>
        </w:rPr>
        <w:t>双轴水泥土搅拌桩的水泥掺量不宜小于13%，水灰比宜为0.5~0.6，水泥土加固的28d龄期无侧限抗压强度不宜低于0.8MPa；</w:t>
      </w:r>
    </w:p>
    <w:p w14:paraId="73ACAFC9">
      <w:pPr>
        <w:widowControl/>
        <w:ind w:firstLine="361" w:firstLineChars="150"/>
        <w:rPr>
          <w:rFonts w:cs="Times New Roman"/>
          <w:kern w:val="44"/>
        </w:rPr>
      </w:pPr>
      <w:r>
        <w:rPr>
          <w:rFonts w:cs="Times New Roman"/>
          <w:b/>
          <w:bCs/>
          <w:kern w:val="44"/>
        </w:rPr>
        <w:t xml:space="preserve">2  </w:t>
      </w:r>
      <w:r>
        <w:rPr>
          <w:rFonts w:cs="Times New Roman"/>
          <w:kern w:val="44"/>
        </w:rPr>
        <w:t>三轴水泥土搅拌桩的水泥掺量不宜小于20%，水灰比宜为1.2~1.5，水泥土加固体的28d龄期无侧限抗压不宜低于0.8MPa；</w:t>
      </w:r>
    </w:p>
    <w:p w14:paraId="3F44DBEC">
      <w:pPr>
        <w:widowControl/>
        <w:ind w:firstLine="361" w:firstLineChars="150"/>
        <w:rPr>
          <w:rFonts w:cs="Times New Roman"/>
          <w:kern w:val="44"/>
        </w:rPr>
      </w:pPr>
      <w:r>
        <w:rPr>
          <w:rFonts w:cs="Times New Roman"/>
          <w:b/>
          <w:bCs/>
          <w:kern w:val="44"/>
        </w:rPr>
        <w:t xml:space="preserve">3  </w:t>
      </w:r>
      <w:r>
        <w:rPr>
          <w:rFonts w:cs="Times New Roman"/>
          <w:kern w:val="44"/>
        </w:rPr>
        <w:t>高压喷射注浆的水泥掺量不宜小于25%，水灰比宜为0.7~1.0，水泥土加固体的28d龄期无侧限抗压不宜低于1.0MPa；</w:t>
      </w:r>
    </w:p>
    <w:p w14:paraId="0B92A6F3">
      <w:pPr>
        <w:widowControl/>
        <w:ind w:firstLine="361" w:firstLineChars="150"/>
        <w:rPr>
          <w:rFonts w:cs="Times New Roman"/>
          <w:kern w:val="44"/>
        </w:rPr>
      </w:pPr>
      <w:r>
        <w:rPr>
          <w:rFonts w:cs="Times New Roman"/>
          <w:b/>
          <w:bCs/>
          <w:kern w:val="44"/>
        </w:rPr>
        <w:t xml:space="preserve">4  </w:t>
      </w:r>
      <w:r>
        <w:rPr>
          <w:rFonts w:cs="Times New Roman"/>
          <w:kern w:val="44"/>
        </w:rPr>
        <w:t>注浆加固水泥掺量不宜小于7%，水灰比宜为0.45~0.55。注浆加固应考虑加固体的不均匀性影响，注浆加固区域的外围宜采用水泥土搅拌桩或高压喷射注浆封闭。</w:t>
      </w:r>
    </w:p>
    <w:p w14:paraId="17F95802">
      <w:pPr>
        <w:widowControl/>
        <w:rPr>
          <w:rFonts w:eastAsia="楷体" w:cs="Times New Roman"/>
          <w:kern w:val="44"/>
          <w:u w:val="single"/>
        </w:rPr>
      </w:pPr>
      <w:r>
        <w:rPr>
          <w:rFonts w:eastAsia="楷体" w:cs="Times New Roman"/>
          <w:kern w:val="44"/>
          <w:u w:val="single"/>
        </w:rPr>
        <w:t>【条文说明】加固时水泥的掺入量，以每立方米被加固软土所拌和的水泥重量计，加固体强度与加固体固化剂掺量和龄期是密切相关的,具有对应的关系。加固体材料技术指标，包括加固体材料强度指标（水泥标号）水泥掺量、加固体龄期、加固体强度等。对水泥固化剂而言，常用的水泥种类为普通硅酸盐水泥、矿渣水泥，强度等级常用为P.042.5级，对土体加固体强度要求较高时，建议用P.O52.5级水泥。基坑土体加固时的固化剂掺量和强度指标受施工工法的限制，其能掺入土中的固化剂含量因施工工法的不同而有所区别。</w:t>
      </w:r>
    </w:p>
    <w:p w14:paraId="6EFBA402">
      <w:pPr>
        <w:widowControl/>
        <w:ind w:firstLine="600" w:firstLineChars="250"/>
        <w:rPr>
          <w:rFonts w:eastAsia="楷体" w:cs="Times New Roman"/>
          <w:kern w:val="44"/>
          <w:u w:val="single"/>
        </w:rPr>
      </w:pPr>
      <w:r>
        <w:rPr>
          <w:rFonts w:eastAsia="楷体" w:cs="Times New Roman"/>
          <w:kern w:val="44"/>
          <w:u w:val="single"/>
        </w:rPr>
        <w:t>加固土体的力学性能受多种因素影响，例如水泥掺量、外掺剂和土体含水量等。根据上海、深圳、广州等多地的经验，松散填土层注浆加固后，其黏聚力可提高30%以上，压缩模量可提高50%以上，而内摩擦角的提高幅度相对较小。在软土地区，软土加固后的黏聚力通常可提高15%以上，内摩擦角可提高20%以上。然而，不同软土的加固效果存在差异，比如含有高岭石、蒙脱石等黏土矿物的软土加固效果较好，而含有伊利石、氯化物、水铝英石等矿物的黏性土，以及有机物含量高、酸碱度较低的黏性土，加固效果往往较差。此外，砂性土加固后的强度通常高于黏性土加固后的强度。采用水泥土搅拌桩加固时，土体的抗剪强度会显著提高，且随着无侧限抗压强度的增加而提高，内摩擦角变化范围在20°</w:t>
      </w:r>
      <w:r>
        <w:rPr>
          <w:rFonts w:cs="Times New Roman"/>
          <w:kern w:val="44"/>
          <w:u w:val="single"/>
        </w:rPr>
        <w:t>～</w:t>
      </w:r>
      <w:r>
        <w:rPr>
          <w:rFonts w:eastAsia="楷体" w:cs="Times New Roman"/>
          <w:kern w:val="44"/>
          <w:u w:val="single"/>
        </w:rPr>
        <w:t>30°之间，黏聚力一般为无侧限抗压强度的20%</w:t>
      </w:r>
      <w:r>
        <w:rPr>
          <w:rFonts w:cs="Times New Roman"/>
          <w:kern w:val="44"/>
          <w:u w:val="single"/>
        </w:rPr>
        <w:t>～</w:t>
      </w:r>
      <w:r>
        <w:rPr>
          <w:rFonts w:eastAsia="楷体" w:cs="Times New Roman"/>
          <w:kern w:val="44"/>
          <w:u w:val="single"/>
        </w:rPr>
        <w:t>30%。水泥搅拌桩复合地基的工作机理是水泥土搅拌桩与桩间土共同作用，其承载力也由桩间土和水泥土桩共同提供，复合地基的抗剪强度参数介于天然软土和水泥土的抗剪强度参数之间，具体取决于置换率。</w:t>
      </w:r>
    </w:p>
    <w:p w14:paraId="0D0749B2">
      <w:pPr>
        <w:rPr>
          <w:rFonts w:cs="Times New Roman" w:eastAsiaTheme="minorEastAsia"/>
          <w:spacing w:val="2"/>
        </w:rPr>
      </w:pPr>
      <w:r>
        <w:rPr>
          <w:rFonts w:cs="Times New Roman" w:eastAsiaTheme="minorEastAsia"/>
          <w:b/>
        </w:rPr>
        <w:t>5.</w:t>
      </w:r>
      <w:r>
        <w:rPr>
          <w:rFonts w:hint="eastAsia" w:cs="Times New Roman" w:eastAsiaTheme="minorEastAsia"/>
          <w:b/>
        </w:rPr>
        <w:t>5.6</w:t>
      </w:r>
      <w:r>
        <w:rPr>
          <w:rFonts w:cs="Times New Roman" w:eastAsiaTheme="minorEastAsia"/>
          <w:b/>
        </w:rPr>
        <w:t xml:space="preserve"> </w:t>
      </w:r>
      <w:r>
        <w:rPr>
          <w:rFonts w:cs="Times New Roman"/>
        </w:rPr>
        <w:t>在含有机质或淤泥的土层中，进行基坑土体加固应适当增加水泥掺量；当采用新型固化剂材料时，应进行现场试验确定其适用性；可掺加外掺剂改善水泥土加固体的性能和提高早期强度。</w:t>
      </w:r>
    </w:p>
    <w:p w14:paraId="68F704EB">
      <w:pPr>
        <w:rPr>
          <w:rFonts w:cs="Times New Roman" w:eastAsiaTheme="minorEastAsia"/>
        </w:rPr>
      </w:pPr>
      <w:r>
        <w:rPr>
          <w:rFonts w:cs="Times New Roman" w:eastAsiaTheme="minorEastAsia"/>
          <w:b/>
        </w:rPr>
        <w:t>5.</w:t>
      </w:r>
      <w:r>
        <w:rPr>
          <w:rFonts w:hint="eastAsia" w:cs="Times New Roman" w:eastAsiaTheme="minorEastAsia"/>
          <w:b/>
        </w:rPr>
        <w:t>5.7</w:t>
      </w:r>
      <w:r>
        <w:rPr>
          <w:rFonts w:cs="Times New Roman" w:eastAsiaTheme="minorEastAsia"/>
        </w:rPr>
        <w:t xml:space="preserve"> </w:t>
      </w:r>
      <w:r>
        <w:rPr>
          <w:rFonts w:cs="Times New Roman"/>
          <w:szCs w:val="28"/>
        </w:rPr>
        <w:t>基坑土体加固法设计应符合下列规定：</w:t>
      </w:r>
    </w:p>
    <w:p w14:paraId="6099850B">
      <w:pPr>
        <w:ind w:firstLine="361" w:firstLineChars="150"/>
        <w:rPr>
          <w:rFonts w:cs="Times New Roman" w:eastAsiaTheme="minorEastAsia"/>
        </w:rPr>
      </w:pPr>
      <w:r>
        <w:rPr>
          <w:rFonts w:cs="Times New Roman" w:eastAsiaTheme="minorEastAsia"/>
          <w:b/>
          <w:bCs/>
        </w:rPr>
        <w:t xml:space="preserve">1  </w:t>
      </w:r>
      <w:bookmarkStart w:id="70" w:name="OLE_LINK14"/>
      <w:r>
        <w:rPr>
          <w:rFonts w:cs="Times New Roman" w:eastAsiaTheme="minorEastAsia"/>
        </w:rPr>
        <w:t>被动区</w:t>
      </w:r>
      <w:bookmarkEnd w:id="70"/>
      <w:r>
        <w:rPr>
          <w:rFonts w:cs="Times New Roman"/>
        </w:rPr>
        <w:t>加固体的宽度不宜小于基坑开挖深度的0.4倍，并不宜小于4m；加固体的深度不宜小于3m；加固体的平面布置可采用墩式加固、裙边加固、抽条加固、满堂加固等形式</w:t>
      </w:r>
      <w:r>
        <w:rPr>
          <w:rFonts w:cs="Times New Roman" w:eastAsiaTheme="minorEastAsia"/>
        </w:rPr>
        <w:t>；</w:t>
      </w:r>
    </w:p>
    <w:p w14:paraId="7C91E6DC">
      <w:pPr>
        <w:ind w:firstLine="361" w:firstLineChars="150"/>
        <w:rPr>
          <w:rFonts w:cs="Times New Roman" w:eastAsiaTheme="minorEastAsia"/>
        </w:rPr>
      </w:pPr>
      <w:r>
        <w:rPr>
          <w:rFonts w:cs="Times New Roman" w:eastAsiaTheme="minorEastAsia"/>
          <w:b/>
          <w:bCs/>
        </w:rPr>
        <w:t>2</w:t>
      </w:r>
      <w:r>
        <w:rPr>
          <w:rFonts w:cs="Times New Roman" w:eastAsiaTheme="minorEastAsia"/>
        </w:rPr>
        <w:t xml:space="preserve">  被动区</w:t>
      </w:r>
      <w:r>
        <w:rPr>
          <w:rFonts w:cs="Times New Roman"/>
        </w:rPr>
        <w:t>加固桩体宜用格栅形布置，相邻加固桩应有效搭接，搭接长度不宜小于150mm，并使被加固土体在平面和深度范围内连成整体</w:t>
      </w:r>
      <w:r>
        <w:rPr>
          <w:rFonts w:cs="Times New Roman" w:eastAsiaTheme="minorEastAsia"/>
        </w:rPr>
        <w:t>；</w:t>
      </w:r>
    </w:p>
    <w:p w14:paraId="2689336C">
      <w:pPr>
        <w:ind w:firstLine="361" w:firstLineChars="150"/>
        <w:rPr>
          <w:rFonts w:cs="Times New Roman"/>
        </w:rPr>
      </w:pPr>
      <w:r>
        <w:rPr>
          <w:rFonts w:cs="Times New Roman" w:eastAsiaTheme="minorEastAsia"/>
          <w:b/>
          <w:bCs/>
        </w:rPr>
        <w:t xml:space="preserve">3  </w:t>
      </w:r>
      <w:r>
        <w:rPr>
          <w:rFonts w:cs="Times New Roman"/>
        </w:rPr>
        <w:t>紧贴坑壁一排</w:t>
      </w:r>
      <w:r>
        <w:rPr>
          <w:rFonts w:cs="Times New Roman" w:eastAsiaTheme="minorEastAsia"/>
        </w:rPr>
        <w:t>被动区</w:t>
      </w:r>
      <w:r>
        <w:rPr>
          <w:rFonts w:cs="Times New Roman"/>
        </w:rPr>
        <w:t>加固体应连续布置，当采用水泥土搅拌桩加固时，加固体与围护墙之间的空隙宜采用高压喷射注浆或注浆等措施进行加固</w:t>
      </w:r>
      <w:bookmarkStart w:id="71" w:name="OLE_LINK13"/>
      <w:r>
        <w:rPr>
          <w:rFonts w:cs="Times New Roman"/>
        </w:rPr>
        <w:t>；</w:t>
      </w:r>
    </w:p>
    <w:p w14:paraId="66568FA3">
      <w:pPr>
        <w:ind w:firstLine="361" w:firstLineChars="150"/>
        <w:rPr>
          <w:rFonts w:cs="Times New Roman"/>
        </w:rPr>
      </w:pPr>
      <w:r>
        <w:rPr>
          <w:rFonts w:cs="Times New Roman" w:eastAsiaTheme="minorEastAsia"/>
          <w:b/>
          <w:bCs/>
        </w:rPr>
        <w:t xml:space="preserve">4  </w:t>
      </w:r>
      <w:r>
        <w:rPr>
          <w:rFonts w:cs="Times New Roman"/>
        </w:rPr>
        <w:t>坑外主动区加固</w:t>
      </w:r>
      <w:r>
        <w:rPr>
          <w:rFonts w:hint="eastAsia" w:cs="Times New Roman"/>
        </w:rPr>
        <w:t>宜</w:t>
      </w:r>
      <w:r>
        <w:rPr>
          <w:rFonts w:cs="Times New Roman"/>
        </w:rPr>
        <w:t>采用水泥土搅拌桩、高压喷射注浆法、注浆法加固或隔离桩；</w:t>
      </w:r>
    </w:p>
    <w:bookmarkEnd w:id="71"/>
    <w:p w14:paraId="71F4D8D1">
      <w:pPr>
        <w:ind w:firstLine="361" w:firstLineChars="150"/>
        <w:rPr>
          <w:rFonts w:cs="Times New Roman"/>
        </w:rPr>
      </w:pPr>
      <w:bookmarkStart w:id="72" w:name="OLE_LINK8"/>
      <w:r>
        <w:rPr>
          <w:rFonts w:cs="Times New Roman" w:eastAsiaTheme="minorEastAsia"/>
          <w:b/>
          <w:bCs/>
        </w:rPr>
        <w:t xml:space="preserve">5  </w:t>
      </w:r>
      <w:bookmarkEnd w:id="72"/>
      <w:r>
        <w:rPr>
          <w:rFonts w:cs="Times New Roman" w:eastAsiaTheme="minorEastAsia"/>
        </w:rPr>
        <w:t>当</w:t>
      </w:r>
      <w:r>
        <w:rPr>
          <w:rFonts w:cs="Times New Roman"/>
        </w:rPr>
        <w:t>土体加固法用于控制基坑变形时，注浆深度应超过基坑潜在滑动面以下；</w:t>
      </w:r>
    </w:p>
    <w:p w14:paraId="5BC5B2C4">
      <w:pPr>
        <w:ind w:firstLine="361" w:firstLineChars="150"/>
        <w:rPr>
          <w:rFonts w:cs="Times New Roman"/>
        </w:rPr>
      </w:pPr>
      <w:r>
        <w:rPr>
          <w:rFonts w:cs="Times New Roman" w:eastAsiaTheme="minorEastAsia"/>
          <w:b/>
          <w:bCs/>
        </w:rPr>
        <w:t xml:space="preserve">6  </w:t>
      </w:r>
      <w:r>
        <w:rPr>
          <w:rFonts w:cs="Times New Roman"/>
        </w:rPr>
        <w:t>注浆加固法应符合下列规定：</w:t>
      </w:r>
    </w:p>
    <w:p w14:paraId="0E8808F1">
      <w:pPr>
        <w:ind w:firstLine="602" w:firstLineChars="250"/>
        <w:rPr>
          <w:rFonts w:cs="Times New Roman"/>
        </w:rPr>
      </w:pPr>
      <w:r>
        <w:rPr>
          <w:rFonts w:cs="Times New Roman"/>
          <w:b/>
          <w:bCs/>
        </w:rPr>
        <w:t>1）</w:t>
      </w:r>
      <w:r>
        <w:rPr>
          <w:rFonts w:cs="Times New Roman"/>
        </w:rPr>
        <w:t>应根据</w:t>
      </w:r>
      <w:r>
        <w:rPr>
          <w:rFonts w:hint="eastAsia" w:cs="Times New Roman"/>
        </w:rPr>
        <w:t>基坑</w:t>
      </w:r>
      <w:r>
        <w:rPr>
          <w:rFonts w:cs="Times New Roman"/>
        </w:rPr>
        <w:t>加固的要求，选择注浆材料、注浆方法；以提高岩土体抗剪参数为主时，可采用以水泥为主剂的浆液；以防渗堵漏为主时，可采用黏土水泥浆等浆液；孔隙较大的砂卵石层和裂隙岩层，可采用渗透注浆法；黏性土层可采用劈裂注浆法；</w:t>
      </w:r>
    </w:p>
    <w:p w14:paraId="4BF5F7B8">
      <w:pPr>
        <w:ind w:firstLine="602" w:firstLineChars="250"/>
        <w:rPr>
          <w:rFonts w:cs="Times New Roman"/>
        </w:rPr>
      </w:pPr>
      <w:r>
        <w:rPr>
          <w:rFonts w:cs="Times New Roman"/>
          <w:b/>
          <w:bCs/>
        </w:rPr>
        <w:t>2）</w:t>
      </w:r>
      <w:r>
        <w:rPr>
          <w:rFonts w:cs="Times New Roman"/>
        </w:rPr>
        <w:t>注浆孔可采用等距布孔、梅花形布置；渗透性较好的砂性土层，注浆孔间距可取1.0m</w:t>
      </w:r>
      <w:bookmarkStart w:id="73" w:name="OLE_LINK9"/>
      <w:r>
        <w:rPr>
          <w:rFonts w:cs="Times New Roman"/>
        </w:rPr>
        <w:t>～</w:t>
      </w:r>
      <w:bookmarkEnd w:id="73"/>
      <w:r>
        <w:rPr>
          <w:rFonts w:cs="Times New Roman"/>
        </w:rPr>
        <w:t>2.0m；黏性土层可取0.8m～1.5m；</w:t>
      </w:r>
    </w:p>
    <w:p w14:paraId="1D1BD7EB">
      <w:pPr>
        <w:ind w:firstLine="602" w:firstLineChars="250"/>
        <w:rPr>
          <w:rFonts w:cs="Times New Roman"/>
        </w:rPr>
      </w:pPr>
      <w:r>
        <w:rPr>
          <w:rFonts w:cs="Times New Roman"/>
          <w:b/>
          <w:bCs/>
        </w:rPr>
        <w:t>3）</w:t>
      </w:r>
      <w:r>
        <w:rPr>
          <w:rFonts w:cs="Times New Roman"/>
        </w:rPr>
        <w:t>劈裂注浆的注浆压力，在砂土中宜为0.2MPa～0.5MPa，在黏性土中宜为0.2MPa～0.3MPa；对压密注浆，水泥砂浆浆液坍落度宜为25mm～75mm，注浆压力宜为</w:t>
      </w:r>
      <w:r>
        <w:rPr>
          <w:rFonts w:cs="Times New Roman"/>
          <w:highlight w:val="none"/>
        </w:rPr>
        <w:t>1.0MPa～7.0MPa</w:t>
      </w:r>
      <w:r>
        <w:rPr>
          <w:rFonts w:hint="eastAsia" w:cs="Times New Roman"/>
          <w:highlight w:val="none"/>
        </w:rPr>
        <w:t>；</w:t>
      </w:r>
      <w:r>
        <w:rPr>
          <w:rFonts w:cs="Times New Roman"/>
          <w:highlight w:val="none"/>
        </w:rPr>
        <w:t>渗透注</w:t>
      </w:r>
      <w:r>
        <w:rPr>
          <w:rFonts w:cs="Times New Roman"/>
        </w:rPr>
        <w:t>浆的注浆压力不应超过注浆点处覆盖层土体的自重压力与外加荷载压力之和。</w:t>
      </w:r>
    </w:p>
    <w:p w14:paraId="2D08EED6">
      <w:pPr>
        <w:rPr>
          <w:rFonts w:eastAsia="楷体" w:cs="Times New Roman"/>
          <w:u w:val="single"/>
        </w:rPr>
      </w:pPr>
      <w:r>
        <w:rPr>
          <w:rFonts w:eastAsia="楷体" w:cs="Times New Roman"/>
          <w:u w:val="single"/>
        </w:rPr>
        <w:t>【条文说明】本条第6款，基坑注浆堵塞的泄水孔应重新采取清孔措施，同时应控制注浆压力，避免注浆过程中边坡稳定性降低或对支护结构带来新的损伤。渗透注浆是在很小的压力下，克服地下水压和土的阻力，渗人土体的天然孔隙，在土层结构基本不受扰动和破坏的情况下达到加固的目的。</w:t>
      </w:r>
    </w:p>
    <w:p w14:paraId="7A99736B">
      <w:pPr>
        <w:rPr>
          <w:rFonts w:cs="Times New Roman" w:eastAsiaTheme="minorEastAsia"/>
        </w:rPr>
      </w:pPr>
      <w:r>
        <w:rPr>
          <w:rFonts w:cs="Times New Roman" w:eastAsiaTheme="minorEastAsia"/>
          <w:b/>
        </w:rPr>
        <w:t>5.</w:t>
      </w:r>
      <w:r>
        <w:rPr>
          <w:rFonts w:hint="eastAsia" w:cs="Times New Roman" w:eastAsiaTheme="minorEastAsia"/>
          <w:b/>
        </w:rPr>
        <w:t>5.8</w:t>
      </w:r>
      <w:r>
        <w:rPr>
          <w:rFonts w:cs="Times New Roman" w:eastAsiaTheme="minorEastAsia"/>
        </w:rPr>
        <w:t xml:space="preserve"> </w:t>
      </w:r>
      <w:r>
        <w:rPr>
          <w:rFonts w:cs="Times New Roman" w:eastAsiaTheme="minorEastAsia"/>
          <w:b/>
          <w:bCs/>
        </w:rPr>
        <w:t xml:space="preserve"> </w:t>
      </w:r>
      <w:r>
        <w:rPr>
          <w:rFonts w:cs="Times New Roman" w:eastAsiaTheme="minorEastAsia"/>
        </w:rPr>
        <w:t>对地下水流速过大和已涌水的基坑工程，不宜采用土体加固方法。</w:t>
      </w:r>
    </w:p>
    <w:p w14:paraId="6BEDBDCA">
      <w:pPr>
        <w:rPr>
          <w:rFonts w:cs="Times New Roman" w:eastAsiaTheme="minorEastAsia"/>
        </w:rPr>
      </w:pPr>
      <w:bookmarkStart w:id="74" w:name="OLE_LINK10"/>
      <w:r>
        <w:rPr>
          <w:rFonts w:cs="Times New Roman" w:eastAsiaTheme="minorEastAsia"/>
          <w:b/>
        </w:rPr>
        <w:t>5.</w:t>
      </w:r>
      <w:r>
        <w:rPr>
          <w:rFonts w:hint="eastAsia" w:cs="Times New Roman" w:eastAsiaTheme="minorEastAsia"/>
          <w:b/>
        </w:rPr>
        <w:t>5.9</w:t>
      </w:r>
      <w:r>
        <w:rPr>
          <w:rFonts w:cs="Times New Roman" w:eastAsiaTheme="minorEastAsia"/>
        </w:rPr>
        <w:t xml:space="preserve"> </w:t>
      </w:r>
      <w:r>
        <w:rPr>
          <w:rFonts w:cs="Times New Roman" w:eastAsiaTheme="minorEastAsia"/>
          <w:b/>
          <w:bCs/>
        </w:rPr>
        <w:t xml:space="preserve"> </w:t>
      </w:r>
      <w:bookmarkEnd w:id="74"/>
      <w:r>
        <w:rPr>
          <w:rFonts w:cs="Times New Roman" w:eastAsiaTheme="minorEastAsia"/>
        </w:rPr>
        <w:t>当加固施工影响范围内存在对土体变形敏感、结构性差的建（构）筑物时，不宜采用土体加固法。</w:t>
      </w:r>
    </w:p>
    <w:p w14:paraId="1CE305CF">
      <w:pPr>
        <w:rPr>
          <w:rFonts w:cs="Times New Roman" w:eastAsiaTheme="minorEastAsia"/>
        </w:rPr>
      </w:pPr>
      <w:r>
        <w:rPr>
          <w:rFonts w:cs="Times New Roman" w:eastAsiaTheme="minorEastAsia"/>
          <w:b/>
        </w:rPr>
        <w:t>5.</w:t>
      </w:r>
      <w:r>
        <w:rPr>
          <w:rFonts w:hint="eastAsia" w:cs="Times New Roman" w:eastAsiaTheme="minorEastAsia"/>
          <w:b/>
        </w:rPr>
        <w:t>5.10</w:t>
      </w:r>
      <w:r>
        <w:rPr>
          <w:rFonts w:cs="Times New Roman" w:eastAsiaTheme="minorEastAsia"/>
        </w:rPr>
        <w:t xml:space="preserve"> 基坑土体加固设计可按现行行业标准《建筑地基处理技术规范》JGJ79的要求执行。</w:t>
      </w:r>
    </w:p>
    <w:p w14:paraId="1FE65E84">
      <w:pPr>
        <w:pStyle w:val="3"/>
        <w:rPr>
          <w:rFonts w:ascii="Times New Roman" w:hAnsi="Times New Roman" w:cs="Times New Roman" w:eastAsiaTheme="minorEastAsia"/>
          <w:sz w:val="28"/>
          <w:szCs w:val="28"/>
        </w:rPr>
      </w:pPr>
      <w:bookmarkStart w:id="75" w:name="_Toc9947"/>
      <w:r>
        <w:rPr>
          <w:rFonts w:hint="eastAsia" w:ascii="Times New Roman" w:hAnsi="Times New Roman" w:cs="Times New Roman" w:eastAsiaTheme="minorEastAsia"/>
          <w:sz w:val="28"/>
          <w:szCs w:val="28"/>
        </w:rPr>
        <w:t>5.6</w:t>
      </w:r>
      <w:r>
        <w:rPr>
          <w:rFonts w:ascii="Times New Roman" w:hAnsi="Times New Roman" w:cs="Times New Roman" w:eastAsiaTheme="minorEastAsia"/>
          <w:sz w:val="28"/>
          <w:szCs w:val="28"/>
        </w:rPr>
        <w:t>微型桩加固法</w:t>
      </w:r>
      <w:bookmarkEnd w:id="75"/>
    </w:p>
    <w:p w14:paraId="2D9579AF">
      <w:pPr>
        <w:rPr>
          <w:rFonts w:cs="Times New Roman" w:eastAsiaTheme="minorEastAsia"/>
        </w:rPr>
      </w:pPr>
      <w:r>
        <w:rPr>
          <w:rFonts w:cs="Times New Roman" w:eastAsiaTheme="minorEastAsia"/>
          <w:b/>
        </w:rPr>
        <w:t>5.</w:t>
      </w:r>
      <w:r>
        <w:rPr>
          <w:rFonts w:hint="eastAsia" w:cs="Times New Roman" w:eastAsiaTheme="minorEastAsia"/>
          <w:b/>
        </w:rPr>
        <w:t>6.1</w:t>
      </w:r>
      <w:r>
        <w:rPr>
          <w:rFonts w:cs="Times New Roman" w:eastAsiaTheme="minorEastAsia"/>
          <w:b/>
          <w:bCs/>
        </w:rPr>
        <w:t xml:space="preserve"> </w:t>
      </w:r>
      <w:r>
        <w:rPr>
          <w:rFonts w:cs="Times New Roman"/>
          <w:szCs w:val="28"/>
        </w:rPr>
        <w:t>微型桩加固</w:t>
      </w:r>
      <w:r>
        <w:rPr>
          <w:rFonts w:cs="Times New Roman" w:eastAsiaTheme="minorEastAsia"/>
          <w:spacing w:val="2"/>
        </w:rPr>
        <w:t>法适用于加固区土体为淤泥、淤泥质土、黏性土、粉土、砂土、碎石土</w:t>
      </w:r>
      <w:r>
        <w:rPr>
          <w:rFonts w:hint="eastAsia" w:cs="Times New Roman" w:eastAsiaTheme="minorEastAsia"/>
          <w:spacing w:val="2"/>
        </w:rPr>
        <w:t>、</w:t>
      </w:r>
      <w:r>
        <w:rPr>
          <w:rFonts w:ascii="宋体" w:hAnsi="宋体"/>
        </w:rPr>
        <w:t>风化岩</w:t>
      </w:r>
      <w:r>
        <w:rPr>
          <w:rFonts w:cs="Times New Roman" w:eastAsiaTheme="minorEastAsia"/>
          <w:spacing w:val="2"/>
        </w:rPr>
        <w:t>及人工填土等的基坑。</w:t>
      </w:r>
    </w:p>
    <w:p w14:paraId="37D0C0A6">
      <w:pPr>
        <w:rPr>
          <w:rFonts w:cs="Times New Roman"/>
          <w:szCs w:val="28"/>
        </w:rPr>
      </w:pPr>
      <w:bookmarkStart w:id="76" w:name="OLE_LINK11"/>
      <w:r>
        <w:rPr>
          <w:rFonts w:cs="Times New Roman" w:eastAsiaTheme="minorEastAsia"/>
          <w:b/>
        </w:rPr>
        <w:t>5.</w:t>
      </w:r>
      <w:r>
        <w:rPr>
          <w:rFonts w:hint="eastAsia" w:cs="Times New Roman" w:eastAsiaTheme="minorEastAsia"/>
          <w:b/>
        </w:rPr>
        <w:t>6.2</w:t>
      </w:r>
      <w:r>
        <w:rPr>
          <w:rFonts w:cs="Times New Roman" w:eastAsiaTheme="minorEastAsia"/>
        </w:rPr>
        <w:t xml:space="preserve"> </w:t>
      </w:r>
      <w:r>
        <w:rPr>
          <w:rFonts w:cs="Times New Roman"/>
          <w:szCs w:val="28"/>
        </w:rPr>
        <w:t>当存在下列情况时，宜采用微型桩加固法：</w:t>
      </w:r>
    </w:p>
    <w:p w14:paraId="5E7B6636">
      <w:pPr>
        <w:ind w:firstLine="480" w:firstLineChars="200"/>
        <w:rPr>
          <w:rFonts w:cs="Times New Roman"/>
          <w:b w:val="0"/>
          <w:bCs w:val="0"/>
          <w:szCs w:val="28"/>
        </w:rPr>
      </w:pPr>
      <w:r>
        <w:rPr>
          <w:rFonts w:cs="Times New Roman"/>
          <w:b w:val="0"/>
          <w:bCs w:val="0"/>
          <w:szCs w:val="28"/>
        </w:rPr>
        <w:t>1  基坑周边无放坡空间；</w:t>
      </w:r>
    </w:p>
    <w:p w14:paraId="3F0D1184">
      <w:pPr>
        <w:ind w:firstLine="480" w:firstLineChars="200"/>
        <w:rPr>
          <w:rFonts w:cs="Times New Roman"/>
          <w:b w:val="0"/>
          <w:bCs w:val="0"/>
          <w:szCs w:val="28"/>
        </w:rPr>
      </w:pPr>
      <w:r>
        <w:rPr>
          <w:rFonts w:cs="Times New Roman"/>
          <w:b w:val="0"/>
          <w:bCs w:val="0"/>
          <w:szCs w:val="28"/>
        </w:rPr>
        <w:t>2  周边存在较为重要的建（构）筑物；</w:t>
      </w:r>
    </w:p>
    <w:p w14:paraId="7365BE01">
      <w:pPr>
        <w:ind w:firstLine="480" w:firstLineChars="200"/>
        <w:rPr>
          <w:rFonts w:cs="Times New Roman"/>
          <w:b w:val="0"/>
          <w:bCs w:val="0"/>
          <w:szCs w:val="28"/>
        </w:rPr>
      </w:pPr>
      <w:r>
        <w:rPr>
          <w:rFonts w:cs="Times New Roman"/>
          <w:b w:val="0"/>
          <w:bCs w:val="0"/>
          <w:szCs w:val="28"/>
        </w:rPr>
        <w:t>3  待加固区域无法使用大型施工设备。</w:t>
      </w:r>
    </w:p>
    <w:p w14:paraId="21373064">
      <w:pPr>
        <w:rPr>
          <w:rFonts w:eastAsia="楷体" w:cs="Times New Roman"/>
          <w:u w:val="single"/>
        </w:rPr>
      </w:pPr>
      <w:r>
        <w:rPr>
          <w:rFonts w:eastAsia="楷体" w:cs="Times New Roman"/>
          <w:u w:val="single"/>
        </w:rPr>
        <w:t>【条文说明】微型桩加固法主要适用于场地狭小，大型设备不满足施工条件，支护空间受限且工期紧迫的情况，该法可快速提高基坑边坡整体稳定，减小基坑侧压力和基坑支护结构变形。</w:t>
      </w:r>
    </w:p>
    <w:p w14:paraId="70967042">
      <w:pPr>
        <w:rPr>
          <w:rFonts w:cs="Times New Roman" w:eastAsiaTheme="minorEastAsia"/>
        </w:rPr>
      </w:pPr>
      <w:r>
        <w:rPr>
          <w:rFonts w:cs="Times New Roman" w:eastAsiaTheme="minorEastAsia"/>
          <w:b/>
        </w:rPr>
        <w:t>5.</w:t>
      </w:r>
      <w:r>
        <w:rPr>
          <w:rFonts w:hint="eastAsia" w:cs="Times New Roman" w:eastAsiaTheme="minorEastAsia"/>
          <w:b/>
        </w:rPr>
        <w:t>6.3</w:t>
      </w:r>
      <w:r>
        <w:rPr>
          <w:rFonts w:cs="Times New Roman" w:eastAsiaTheme="minorEastAsia"/>
        </w:rPr>
        <w:t xml:space="preserve"> </w:t>
      </w:r>
      <w:bookmarkEnd w:id="76"/>
      <w:r>
        <w:rPr>
          <w:rFonts w:cs="Times New Roman" w:eastAsiaTheme="minorEastAsia"/>
        </w:rPr>
        <w:t>微型桩加固法设计应符合下列规定：</w:t>
      </w:r>
    </w:p>
    <w:p w14:paraId="5D472ED6">
      <w:pPr>
        <w:ind w:firstLine="360" w:firstLineChars="150"/>
        <w:rPr>
          <w:rFonts w:cs="Times New Roman" w:eastAsiaTheme="minorEastAsia"/>
          <w:b w:val="0"/>
          <w:bCs w:val="0"/>
        </w:rPr>
      </w:pPr>
      <w:r>
        <w:rPr>
          <w:rFonts w:cs="Times New Roman" w:eastAsiaTheme="minorEastAsia"/>
          <w:b w:val="0"/>
          <w:bCs w:val="0"/>
        </w:rPr>
        <w:t>1  微型桩宜采用钢管、型钢或钢筋笼等，成孔直径宜为150mm~300mm，设计桩长应满足嵌固深度要求；</w:t>
      </w:r>
    </w:p>
    <w:p w14:paraId="4388E66C">
      <w:pPr>
        <w:ind w:firstLine="360" w:firstLineChars="150"/>
        <w:rPr>
          <w:rFonts w:cs="Times New Roman" w:eastAsiaTheme="minorEastAsia"/>
          <w:b w:val="0"/>
          <w:bCs w:val="0"/>
        </w:rPr>
      </w:pPr>
      <w:r>
        <w:rPr>
          <w:rFonts w:cs="Times New Roman"/>
          <w:b w:val="0"/>
          <w:bCs w:val="0"/>
          <w:szCs w:val="28"/>
        </w:rPr>
        <w:t>2  微型桩</w:t>
      </w:r>
      <w:r>
        <w:rPr>
          <w:rFonts w:cs="Times New Roman" w:eastAsiaTheme="minorEastAsia"/>
          <w:b w:val="0"/>
          <w:bCs w:val="0"/>
        </w:rPr>
        <w:t>可按单排、双排或多排布置，桩间距宜为0.5m~2.0m，排间距不宜小于0.5m；桩顶宜设置通长冠梁，当采用多排布置时，前后排注浆钢管桩间宜设置连梁；</w:t>
      </w:r>
    </w:p>
    <w:p w14:paraId="0F97C29E">
      <w:pPr>
        <w:ind w:firstLine="360" w:firstLineChars="150"/>
        <w:rPr>
          <w:rFonts w:cs="Times New Roman" w:eastAsiaTheme="minorEastAsia"/>
          <w:b w:val="0"/>
          <w:bCs w:val="0"/>
        </w:rPr>
      </w:pPr>
      <w:r>
        <w:rPr>
          <w:rFonts w:cs="Times New Roman" w:eastAsiaTheme="minorEastAsia"/>
          <w:b w:val="0"/>
          <w:bCs w:val="0"/>
        </w:rPr>
        <w:t>3  注浆钢管桩的注浆材料可采用水泥浆、水泥砂浆、细石混凝土或其他灌浆料</w:t>
      </w:r>
      <w:r>
        <w:rPr>
          <w:rFonts w:hint="eastAsia" w:cs="Times New Roman" w:eastAsiaTheme="minorEastAsia"/>
          <w:b w:val="0"/>
          <w:bCs w:val="0"/>
        </w:rPr>
        <w:t>，</w:t>
      </w:r>
      <w:r>
        <w:rPr>
          <w:rFonts w:cs="Times New Roman" w:eastAsiaTheme="minorEastAsia"/>
          <w:b w:val="0"/>
          <w:bCs w:val="0"/>
        </w:rPr>
        <w:t>其28d抗压设计强度不应小于20N/mm</w:t>
      </w:r>
      <w:r>
        <w:rPr>
          <w:rFonts w:cs="Times New Roman" w:eastAsiaTheme="minorEastAsia"/>
          <w:b w:val="0"/>
          <w:bCs w:val="0"/>
          <w:vertAlign w:val="superscript"/>
        </w:rPr>
        <w:t>2</w:t>
      </w:r>
      <w:r>
        <w:rPr>
          <w:rFonts w:cs="Times New Roman" w:eastAsiaTheme="minorEastAsia"/>
          <w:b w:val="0"/>
          <w:bCs w:val="0"/>
        </w:rPr>
        <w:t>；当采用小直径钢筋笼时，主筋根数不宜少于3根且直径不小于12mm，并通长配筋；</w:t>
      </w:r>
    </w:p>
    <w:p w14:paraId="4C11E9B6">
      <w:pPr>
        <w:ind w:firstLine="360" w:firstLineChars="150"/>
        <w:rPr>
          <w:rFonts w:cs="Times New Roman" w:eastAsiaTheme="minorEastAsia"/>
        </w:rPr>
      </w:pPr>
      <w:r>
        <w:rPr>
          <w:rFonts w:cs="Times New Roman" w:eastAsiaTheme="minorEastAsia"/>
          <w:b w:val="0"/>
          <w:bCs w:val="0"/>
        </w:rPr>
        <w:t>4  注浆钢管桩的钢管连接应采用套管焊接，焊接强度与质量应满足现行国家标准《建筑地基基础工程施工质量验收规范》GB 50202的要求。</w:t>
      </w:r>
    </w:p>
    <w:p w14:paraId="56688FA9">
      <w:pPr>
        <w:rPr>
          <w:rFonts w:eastAsia="楷体" w:cs="Times New Roman"/>
          <w:u w:val="single"/>
        </w:rPr>
      </w:pPr>
      <w:r>
        <w:rPr>
          <w:rFonts w:eastAsia="楷体" w:cs="Times New Roman"/>
          <w:u w:val="single"/>
        </w:rPr>
        <w:t>【条文说明】微型桩作为一种小型轻型支挡结构，具有施工方便、对坡体扰动小、侧向刚度大等特点，当既有基坑发生滑塌需应急治理时由于工期紧迫,且支挡空间受限,微型桩加固法可快速产生支挡作用，目前已广泛应用于基坑加固工程中。</w:t>
      </w:r>
    </w:p>
    <w:p w14:paraId="045C276E">
      <w:pPr>
        <w:ind w:firstLine="480" w:firstLineChars="200"/>
        <w:rPr>
          <w:rFonts w:eastAsia="楷体" w:cs="Times New Roman"/>
          <w:u w:val="single"/>
        </w:rPr>
      </w:pPr>
      <w:r>
        <w:rPr>
          <w:rFonts w:eastAsia="楷体" w:cs="Times New Roman"/>
          <w:u w:val="single"/>
        </w:rPr>
        <w:t>注浆钢管桩筋材形式有圆形钢管桩、工字型钢、U型槽钢和钢轨等（图1）；</w:t>
      </w:r>
    </w:p>
    <w:p w14:paraId="5E61630D">
      <w:pPr>
        <w:ind w:firstLine="480" w:firstLineChars="200"/>
        <w:jc w:val="center"/>
        <w:rPr>
          <w:rFonts w:eastAsia="楷体" w:cs="Times New Roman"/>
          <w:u w:val="single"/>
        </w:rPr>
      </w:pPr>
      <w:r>
        <w:rPr>
          <w:rFonts w:cs="Times New Roman"/>
        </w:rPr>
        <w:drawing>
          <wp:inline distT="0" distB="0" distL="0" distR="0">
            <wp:extent cx="1967230" cy="1005840"/>
            <wp:effectExtent l="0" t="0" r="0" b="3810"/>
            <wp:docPr id="20939771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77177" name="图片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021820" cy="1034297"/>
                    </a:xfrm>
                    <a:prstGeom prst="rect">
                      <a:avLst/>
                    </a:prstGeom>
                  </pic:spPr>
                </pic:pic>
              </a:graphicData>
            </a:graphic>
          </wp:inline>
        </w:drawing>
      </w:r>
    </w:p>
    <w:p w14:paraId="033AD03E">
      <w:pPr>
        <w:ind w:firstLine="480" w:firstLineChars="200"/>
        <w:jc w:val="center"/>
        <w:rPr>
          <w:rFonts w:eastAsia="楷体" w:cs="Times New Roman"/>
          <w:u w:val="single"/>
        </w:rPr>
      </w:pPr>
      <w:r>
        <w:rPr>
          <w:rFonts w:eastAsia="楷体" w:cs="Times New Roman"/>
          <w:u w:val="single"/>
        </w:rPr>
        <w:t>图1  微型桩常用截面形式</w:t>
      </w:r>
    </w:p>
    <w:p w14:paraId="0253871C">
      <w:pPr>
        <w:ind w:firstLine="360" w:firstLineChars="150"/>
        <w:rPr>
          <w:rFonts w:eastAsia="楷体" w:cs="Times New Roman"/>
          <w:u w:val="single"/>
        </w:rPr>
      </w:pPr>
      <w:r>
        <w:rPr>
          <w:rFonts w:eastAsia="楷体" w:cs="Times New Roman"/>
          <w:u w:val="single"/>
        </w:rPr>
        <w:t>如是提高软弱土体的抗剪强度，可采用单根布置；如是用于提高基坑支护体系抗弯性能，控制变形位移的基坑，可采用单排、双排或多排布置，形成微型桩轻型挡墙围护结构，其是将钻孔注浆微型桩与圬工体相结合，形成复合支护结构，主要由微型桩、砼面板、注浆锚杆、加强筋等组成（图2）。</w:t>
      </w:r>
    </w:p>
    <w:p w14:paraId="5972F392">
      <w:pPr>
        <w:ind w:firstLine="360" w:firstLineChars="150"/>
        <w:rPr>
          <w:rFonts w:cs="Times New Roman" w:eastAsiaTheme="minorEastAsia"/>
        </w:rPr>
      </w:pPr>
      <w:r>
        <w:rPr>
          <w:rFonts w:cs="Times New Roman"/>
        </w:rPr>
        <w:drawing>
          <wp:inline distT="0" distB="0" distL="0" distR="0">
            <wp:extent cx="2513965" cy="2056765"/>
            <wp:effectExtent l="0" t="0" r="635" b="635"/>
            <wp:docPr id="19665251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25163" name="图片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522412" cy="2063323"/>
                    </a:xfrm>
                    <a:prstGeom prst="rect">
                      <a:avLst/>
                    </a:prstGeom>
                  </pic:spPr>
                </pic:pic>
              </a:graphicData>
            </a:graphic>
          </wp:inline>
        </w:drawing>
      </w:r>
      <w:r>
        <w:rPr>
          <w:rFonts w:cs="Times New Roman" w:eastAsiaTheme="minorEastAsia"/>
        </w:rPr>
        <w:t xml:space="preserve">  </w:t>
      </w:r>
      <w:r>
        <w:rPr>
          <w:rFonts w:cs="Times New Roman"/>
        </w:rPr>
        <w:drawing>
          <wp:inline distT="0" distB="0" distL="0" distR="0">
            <wp:extent cx="2348230" cy="2025015"/>
            <wp:effectExtent l="0" t="0" r="0" b="0"/>
            <wp:docPr id="3693746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74637" name="图片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362087" cy="2037300"/>
                    </a:xfrm>
                    <a:prstGeom prst="rect">
                      <a:avLst/>
                    </a:prstGeom>
                  </pic:spPr>
                </pic:pic>
              </a:graphicData>
            </a:graphic>
          </wp:inline>
        </w:drawing>
      </w:r>
    </w:p>
    <w:p w14:paraId="29F713EF">
      <w:pPr>
        <w:ind w:firstLine="1320" w:firstLineChars="550"/>
        <w:rPr>
          <w:rFonts w:eastAsia="楷体" w:cs="Times New Roman"/>
          <w:u w:val="single"/>
        </w:rPr>
      </w:pPr>
      <w:r>
        <w:rPr>
          <w:rFonts w:eastAsia="楷体" w:cs="Times New Roman"/>
          <w:u w:val="single"/>
        </w:rPr>
        <w:t>（a）单排布置型式                 （b）多排布置型式</w:t>
      </w:r>
    </w:p>
    <w:p w14:paraId="06C4793E">
      <w:pPr>
        <w:ind w:firstLine="360" w:firstLineChars="150"/>
        <w:jc w:val="center"/>
        <w:rPr>
          <w:rFonts w:eastAsia="楷体" w:cs="Times New Roman"/>
          <w:u w:val="single"/>
        </w:rPr>
      </w:pPr>
      <w:r>
        <w:rPr>
          <w:rFonts w:eastAsia="楷体" w:cs="Times New Roman"/>
          <w:u w:val="single"/>
        </w:rPr>
        <w:t>图2  微型桩轻型挡墙围护结构</w:t>
      </w:r>
    </w:p>
    <w:p w14:paraId="1B57E920">
      <w:pPr>
        <w:rPr>
          <w:rFonts w:cs="Times New Roman"/>
          <w:szCs w:val="28"/>
        </w:rPr>
      </w:pPr>
      <w:r>
        <w:rPr>
          <w:rFonts w:cs="Times New Roman" w:eastAsiaTheme="minorEastAsia"/>
          <w:b/>
        </w:rPr>
        <w:t>5.</w:t>
      </w:r>
      <w:r>
        <w:rPr>
          <w:rFonts w:hint="eastAsia" w:cs="Times New Roman" w:eastAsiaTheme="minorEastAsia"/>
          <w:b/>
        </w:rPr>
        <w:t>6.4</w:t>
      </w:r>
      <w:r>
        <w:rPr>
          <w:rFonts w:cs="Times New Roman" w:eastAsiaTheme="minorEastAsia"/>
        </w:rPr>
        <w:t xml:space="preserve"> </w:t>
      </w:r>
      <w:r>
        <w:rPr>
          <w:rFonts w:cs="Times New Roman"/>
          <w:szCs w:val="28"/>
        </w:rPr>
        <w:t>微型桩用于坡脚加固时，宜与锚杆（索）、内支撑联合使用。</w:t>
      </w:r>
    </w:p>
    <w:p w14:paraId="16971FA5">
      <w:pPr>
        <w:rPr>
          <w:rFonts w:eastAsia="楷体" w:cs="Times New Roman"/>
          <w:u w:val="single"/>
        </w:rPr>
      </w:pPr>
      <w:r>
        <w:rPr>
          <w:rFonts w:eastAsia="楷体" w:cs="Times New Roman"/>
          <w:u w:val="single"/>
        </w:rPr>
        <w:t>【条文说明】微型桩悬臂长度一般不超过5m，当用于坡脚加固，悬臂长度过长时，宜在桩顶附近增设预应力锚杆，改善微型桩的受力状况，减小桩顶的位移变形。</w:t>
      </w:r>
    </w:p>
    <w:p w14:paraId="3EA5C2D0">
      <w:pPr>
        <w:rPr>
          <w:rFonts w:eastAsia="楷体" w:cs="Times New Roman"/>
          <w:u w:val="single"/>
        </w:rPr>
      </w:pPr>
      <w:r>
        <w:rPr>
          <w:rFonts w:cs="Times New Roman" w:eastAsiaTheme="minorEastAsia"/>
          <w:b/>
        </w:rPr>
        <w:t>5.</w:t>
      </w:r>
      <w:r>
        <w:rPr>
          <w:rFonts w:hint="eastAsia" w:cs="Times New Roman" w:eastAsiaTheme="minorEastAsia"/>
          <w:b/>
        </w:rPr>
        <w:t>6.5</w:t>
      </w:r>
      <w:r>
        <w:rPr>
          <w:rFonts w:cs="Times New Roman" w:eastAsiaTheme="minorEastAsia"/>
        </w:rPr>
        <w:t xml:space="preserve"> </w:t>
      </w:r>
      <w:r>
        <w:rPr>
          <w:rFonts w:cs="Times New Roman"/>
          <w:szCs w:val="28"/>
        </w:rPr>
        <w:t>微型桩</w:t>
      </w:r>
      <w:r>
        <w:rPr>
          <w:rFonts w:cs="Times New Roman" w:eastAsiaTheme="minorEastAsia"/>
        </w:rPr>
        <w:t>加固设计计算应符合本标准第5.2.</w:t>
      </w:r>
      <w:r>
        <w:rPr>
          <w:rFonts w:hint="eastAsia" w:cs="Times New Roman" w:eastAsiaTheme="minorEastAsia"/>
        </w:rPr>
        <w:t>8</w:t>
      </w:r>
      <w:r>
        <w:rPr>
          <w:rFonts w:cs="Times New Roman" w:eastAsiaTheme="minorEastAsia"/>
        </w:rPr>
        <w:t>条的规定。</w:t>
      </w:r>
    </w:p>
    <w:p w14:paraId="0A5F9AF7">
      <w:pPr>
        <w:pStyle w:val="3"/>
        <w:rPr>
          <w:rFonts w:ascii="Times New Roman" w:hAnsi="Times New Roman" w:cs="Times New Roman" w:eastAsiaTheme="minorEastAsia"/>
          <w:sz w:val="28"/>
          <w:szCs w:val="28"/>
        </w:rPr>
      </w:pPr>
      <w:bookmarkStart w:id="77" w:name="_Toc15411"/>
      <w:r>
        <w:rPr>
          <w:rFonts w:hint="eastAsia" w:ascii="Times New Roman" w:hAnsi="Times New Roman" w:cs="Times New Roman" w:eastAsiaTheme="minorEastAsia"/>
          <w:sz w:val="28"/>
          <w:szCs w:val="28"/>
        </w:rPr>
        <w:t>5.7</w:t>
      </w:r>
      <w:r>
        <w:rPr>
          <w:rFonts w:ascii="Times New Roman" w:hAnsi="Times New Roman" w:cs="Times New Roman" w:eastAsiaTheme="minorEastAsia"/>
          <w:sz w:val="28"/>
          <w:szCs w:val="28"/>
        </w:rPr>
        <w:t>钢板桩加固法</w:t>
      </w:r>
      <w:bookmarkEnd w:id="77"/>
    </w:p>
    <w:p w14:paraId="10C8BA98">
      <w:pPr>
        <w:rPr>
          <w:rFonts w:cs="Times New Roman" w:eastAsiaTheme="minorEastAsia"/>
        </w:rPr>
      </w:pPr>
      <w:r>
        <w:rPr>
          <w:rFonts w:cs="Times New Roman" w:eastAsiaTheme="minorEastAsia"/>
          <w:b/>
        </w:rPr>
        <w:t>5.</w:t>
      </w:r>
      <w:r>
        <w:rPr>
          <w:rFonts w:hint="eastAsia" w:cs="Times New Roman" w:eastAsiaTheme="minorEastAsia"/>
          <w:b/>
        </w:rPr>
        <w:t>7.1</w:t>
      </w:r>
      <w:r>
        <w:rPr>
          <w:rFonts w:cs="Times New Roman" w:eastAsiaTheme="minorEastAsia"/>
        </w:rPr>
        <w:t xml:space="preserve"> </w:t>
      </w:r>
      <w:r>
        <w:rPr>
          <w:rFonts w:cs="Times New Roman"/>
          <w:szCs w:val="28"/>
        </w:rPr>
        <w:t>钢板桩加固</w:t>
      </w:r>
      <w:r>
        <w:rPr>
          <w:rFonts w:cs="Times New Roman" w:eastAsiaTheme="minorEastAsia"/>
          <w:spacing w:val="2"/>
        </w:rPr>
        <w:t>法适用于具有一定坡率的基坑坡面坡脚处，存在软弱土地层时的基坑。</w:t>
      </w:r>
    </w:p>
    <w:p w14:paraId="7322AD48">
      <w:pPr>
        <w:rPr>
          <w:rFonts w:cs="Times New Roman" w:eastAsiaTheme="minorEastAsia"/>
        </w:rPr>
      </w:pPr>
      <w:r>
        <w:rPr>
          <w:rFonts w:cs="Times New Roman" w:eastAsiaTheme="minorEastAsia"/>
          <w:b/>
          <w:bCs/>
        </w:rPr>
        <w:t>5.</w:t>
      </w:r>
      <w:r>
        <w:rPr>
          <w:rFonts w:hint="eastAsia" w:cs="Times New Roman" w:eastAsiaTheme="minorEastAsia"/>
          <w:b/>
          <w:bCs/>
        </w:rPr>
        <w:t>7.2</w:t>
      </w:r>
      <w:r>
        <w:rPr>
          <w:rFonts w:cs="Times New Roman" w:eastAsiaTheme="minorEastAsia"/>
          <w:b/>
          <w:bCs/>
        </w:rPr>
        <w:t xml:space="preserve"> </w:t>
      </w:r>
      <w:r>
        <w:rPr>
          <w:rFonts w:cs="Times New Roman" w:eastAsiaTheme="minorEastAsia"/>
        </w:rPr>
        <w:t>应根据场地条件及既有基坑支护形式、开挖深度、工程地质条件等因素，结合基坑支护结构的安全等级，选择经济合理、安全可靠的钢板桩支护类型。</w:t>
      </w:r>
    </w:p>
    <w:p w14:paraId="749ED494">
      <w:pPr>
        <w:rPr>
          <w:rFonts w:cs="Times New Roman" w:eastAsiaTheme="minorEastAsia"/>
        </w:rPr>
      </w:pPr>
      <w:r>
        <w:rPr>
          <w:rFonts w:cs="Times New Roman" w:eastAsiaTheme="minorEastAsia"/>
          <w:b/>
        </w:rPr>
        <w:t>5.</w:t>
      </w:r>
      <w:r>
        <w:rPr>
          <w:rFonts w:hint="eastAsia" w:cs="Times New Roman" w:eastAsiaTheme="minorEastAsia"/>
          <w:b/>
        </w:rPr>
        <w:t>7.3</w:t>
      </w:r>
      <w:r>
        <w:rPr>
          <w:rFonts w:cs="Times New Roman" w:eastAsiaTheme="minorEastAsia"/>
        </w:rPr>
        <w:t xml:space="preserve"> </w:t>
      </w:r>
      <w:bookmarkStart w:id="78" w:name="OLE_LINK25"/>
      <w:r>
        <w:rPr>
          <w:rFonts w:cs="Times New Roman" w:eastAsiaTheme="minorEastAsia"/>
        </w:rPr>
        <w:t>钢板桩加固法设计应符合下列规定：</w:t>
      </w:r>
      <w:bookmarkEnd w:id="78"/>
    </w:p>
    <w:p w14:paraId="0B2E34DC">
      <w:pPr>
        <w:ind w:firstLine="360" w:firstLineChars="150"/>
        <w:rPr>
          <w:rFonts w:cs="Times New Roman" w:eastAsiaTheme="minorEastAsia"/>
          <w:b w:val="0"/>
          <w:bCs w:val="0"/>
        </w:rPr>
      </w:pPr>
      <w:r>
        <w:rPr>
          <w:rFonts w:cs="Times New Roman" w:eastAsiaTheme="minorEastAsia"/>
          <w:b w:val="0"/>
          <w:bCs w:val="0"/>
        </w:rPr>
        <w:t>1  钢板桩宜布置在坡脚、放坡平台及坡顶等，且未扰动原状土体的位置；施工前应验证施工可行性，且应避免基坑既有支护结构对施工产生不利影响。</w:t>
      </w:r>
    </w:p>
    <w:p w14:paraId="6ACAFAE9">
      <w:pPr>
        <w:ind w:firstLine="360" w:firstLineChars="150"/>
        <w:rPr>
          <w:rFonts w:cs="Times New Roman" w:eastAsiaTheme="minorEastAsia"/>
          <w:b w:val="0"/>
          <w:bCs w:val="0"/>
        </w:rPr>
      </w:pPr>
      <w:r>
        <w:rPr>
          <w:rFonts w:cs="Times New Roman" w:eastAsiaTheme="minorEastAsia"/>
          <w:b w:val="0"/>
          <w:bCs w:val="0"/>
        </w:rPr>
        <w:t>2  钢板桩长应根据基坑工程的稳定性验算分析确定；</w:t>
      </w:r>
    </w:p>
    <w:p w14:paraId="28636084">
      <w:pPr>
        <w:ind w:firstLine="360" w:firstLineChars="150"/>
        <w:rPr>
          <w:rFonts w:cs="Times New Roman" w:eastAsiaTheme="minorEastAsia"/>
          <w:b w:val="0"/>
          <w:bCs w:val="0"/>
        </w:rPr>
      </w:pPr>
      <w:r>
        <w:rPr>
          <w:rFonts w:cs="Times New Roman" w:eastAsiaTheme="minorEastAsia"/>
          <w:b w:val="0"/>
          <w:bCs w:val="0"/>
        </w:rPr>
        <w:t>3  钢板桩可采用冷弯钢板桩和热轧钢板桩，截面形式可采用U型（拉森式）、Z型、直线型和帽型等；</w:t>
      </w:r>
    </w:p>
    <w:p w14:paraId="113C416D">
      <w:pPr>
        <w:ind w:firstLine="360" w:firstLineChars="150"/>
        <w:rPr>
          <w:rFonts w:cs="Times New Roman" w:eastAsiaTheme="minorEastAsia"/>
          <w:b w:val="0"/>
          <w:bCs w:val="0"/>
        </w:rPr>
      </w:pPr>
      <w:r>
        <w:rPr>
          <w:rFonts w:cs="Times New Roman" w:eastAsiaTheme="minorEastAsia"/>
          <w:b w:val="0"/>
          <w:bCs w:val="0"/>
        </w:rPr>
        <w:t>4  钢板桩宜设置钢围檩，钢围檩与钢板桩宜采用焊接的连接方式。钢围檩应贴合钢板桩，其间如果存在间隙应灌以细石混凝土填实。</w:t>
      </w:r>
    </w:p>
    <w:p w14:paraId="0E8434D5">
      <w:pPr>
        <w:rPr>
          <w:rFonts w:cs="Times New Roman" w:eastAsiaTheme="minorEastAsia"/>
        </w:rPr>
      </w:pPr>
      <w:r>
        <w:rPr>
          <w:rFonts w:cs="Times New Roman" w:eastAsiaTheme="minorEastAsia"/>
          <w:b/>
          <w:bCs/>
        </w:rPr>
        <w:t>5.</w:t>
      </w:r>
      <w:r>
        <w:rPr>
          <w:rFonts w:hint="eastAsia" w:cs="Times New Roman" w:eastAsiaTheme="minorEastAsia"/>
          <w:b/>
          <w:bCs/>
        </w:rPr>
        <w:t>7.4</w:t>
      </w:r>
      <w:r>
        <w:rPr>
          <w:rFonts w:cs="Times New Roman" w:eastAsiaTheme="minorEastAsia"/>
          <w:b/>
          <w:bCs/>
        </w:rPr>
        <w:t xml:space="preserve"> </w:t>
      </w:r>
      <w:r>
        <w:rPr>
          <w:rFonts w:cs="Times New Roman" w:eastAsiaTheme="minorEastAsia"/>
        </w:rPr>
        <w:t>对有止水要求的基坑，钢板桩应保证搭接，侧壁不得出现明显的渗漏及水土流水，确保止水效果。</w:t>
      </w:r>
    </w:p>
    <w:p w14:paraId="591D157E">
      <w:pPr>
        <w:rPr>
          <w:rFonts w:cs="Times New Roman" w:eastAsiaTheme="minorEastAsia"/>
        </w:rPr>
      </w:pPr>
      <w:r>
        <w:rPr>
          <w:rFonts w:cs="Times New Roman" w:eastAsiaTheme="minorEastAsia"/>
          <w:b/>
          <w:bCs/>
        </w:rPr>
        <w:t>5.</w:t>
      </w:r>
      <w:r>
        <w:rPr>
          <w:rFonts w:hint="eastAsia" w:cs="Times New Roman" w:eastAsiaTheme="minorEastAsia"/>
          <w:b/>
          <w:bCs/>
        </w:rPr>
        <w:t>7.5</w:t>
      </w:r>
      <w:r>
        <w:rPr>
          <w:rFonts w:cs="Times New Roman" w:eastAsiaTheme="minorEastAsia"/>
        </w:rPr>
        <w:t xml:space="preserve"> 钢板桩用于坡脚加固时，可配合锚杆、竖向斜支撑等形成组合式支护体系。</w:t>
      </w:r>
    </w:p>
    <w:p w14:paraId="376D1DD2">
      <w:pPr>
        <w:pStyle w:val="3"/>
        <w:rPr>
          <w:rFonts w:ascii="Times New Roman" w:hAnsi="Times New Roman" w:cs="Times New Roman" w:eastAsiaTheme="minorEastAsia"/>
          <w:sz w:val="28"/>
          <w:szCs w:val="28"/>
        </w:rPr>
      </w:pPr>
      <w:bookmarkStart w:id="79" w:name="_Toc4512"/>
      <w:r>
        <w:rPr>
          <w:rFonts w:hint="eastAsia" w:ascii="Times New Roman" w:hAnsi="Times New Roman" w:cs="Times New Roman" w:eastAsiaTheme="minorEastAsia"/>
          <w:sz w:val="28"/>
          <w:szCs w:val="28"/>
        </w:rPr>
        <w:t>5.8</w:t>
      </w:r>
      <w:r>
        <w:rPr>
          <w:rFonts w:ascii="Times New Roman" w:hAnsi="Times New Roman" w:cs="Times New Roman" w:eastAsiaTheme="minorEastAsia"/>
          <w:sz w:val="28"/>
          <w:szCs w:val="28"/>
        </w:rPr>
        <w:t>锚杆（索）加固法</w:t>
      </w:r>
      <w:bookmarkEnd w:id="79"/>
    </w:p>
    <w:p w14:paraId="563A90AF">
      <w:pPr>
        <w:rPr>
          <w:rFonts w:cs="Times New Roman" w:eastAsiaTheme="minorEastAsia"/>
          <w:color w:val="000000"/>
          <w:spacing w:val="2"/>
        </w:rPr>
      </w:pPr>
      <w:r>
        <w:rPr>
          <w:rFonts w:cs="Times New Roman" w:eastAsiaTheme="minorEastAsia"/>
          <w:b/>
        </w:rPr>
        <w:t>5.</w:t>
      </w:r>
      <w:r>
        <w:rPr>
          <w:rFonts w:hint="eastAsia" w:cs="Times New Roman" w:eastAsiaTheme="minorEastAsia"/>
          <w:b/>
        </w:rPr>
        <w:t>8.1</w:t>
      </w:r>
      <w:r>
        <w:rPr>
          <w:rFonts w:cs="Times New Roman" w:eastAsiaTheme="minorEastAsia"/>
          <w:b/>
          <w:bCs/>
          <w:color w:val="000000"/>
        </w:rPr>
        <w:t xml:space="preserve"> </w:t>
      </w:r>
      <w:r>
        <w:rPr>
          <w:rFonts w:cs="Times New Roman" w:eastAsiaTheme="minorEastAsia"/>
          <w:color w:val="000000"/>
          <w:spacing w:val="2"/>
        </w:rPr>
        <w:t>锚杆（索）加固法适用于有锚固条件的基坑整体稳定和支护结构抗滑移、抗倾覆、支护结构及构件承载力等不满足要求时的加固。</w:t>
      </w:r>
    </w:p>
    <w:p w14:paraId="1BC07FF1">
      <w:pPr>
        <w:rPr>
          <w:rFonts w:eastAsia="楷体" w:cs="Times New Roman"/>
          <w:color w:val="000000"/>
          <w:u w:val="single"/>
        </w:rPr>
      </w:pPr>
      <w:r>
        <w:rPr>
          <w:rFonts w:eastAsia="楷体" w:cs="Times New Roman"/>
          <w:color w:val="000000"/>
          <w:u w:val="single"/>
        </w:rPr>
        <w:t>【条文说明】锚杆（索）加固法用于有锚固条件的工程主要是指新增锚杆或锚固体系具有可施作的场地以及周围建筑物的基础、管线、工程地质、水文地质条件满足锚杆施工和承载力的要求等:锚杆作用的部位、方向、结构参数、间距和施作时机可以根据需要较为方便地进行设定和调整，能以最小的支护抗力，获得最佳的稳定效果，因此对于基坑的稳定、支护结构抗滑移、抗倾覆等加固具有良好的适应性和加固效果，技术经济效益显著。</w:t>
      </w:r>
    </w:p>
    <w:p w14:paraId="27AA9151">
      <w:pPr>
        <w:rPr>
          <w:rFonts w:cs="Times New Roman" w:eastAsiaTheme="minorEastAsia"/>
          <w:color w:val="000000"/>
        </w:rPr>
      </w:pPr>
      <w:r>
        <w:rPr>
          <w:rFonts w:cs="Times New Roman" w:eastAsiaTheme="minorEastAsia"/>
          <w:b/>
        </w:rPr>
        <w:t>5.</w:t>
      </w:r>
      <w:r>
        <w:rPr>
          <w:rFonts w:hint="eastAsia" w:cs="Times New Roman" w:eastAsiaTheme="minorEastAsia"/>
          <w:b/>
        </w:rPr>
        <w:t>8.2</w:t>
      </w:r>
      <w:r>
        <w:rPr>
          <w:rFonts w:cs="Times New Roman" w:eastAsiaTheme="minorEastAsia"/>
          <w:color w:val="000000"/>
        </w:rPr>
        <w:t xml:space="preserve"> </w:t>
      </w:r>
      <w:r>
        <w:rPr>
          <w:rFonts w:cs="Times New Roman" w:eastAsiaTheme="minorEastAsia"/>
          <w:color w:val="000000"/>
          <w:spacing w:val="2"/>
        </w:rPr>
        <w:t>下列情况的基坑工程宜优先采用锚杆（索）加固法：</w:t>
      </w:r>
    </w:p>
    <w:p w14:paraId="62680111">
      <w:pPr>
        <w:ind w:firstLine="360" w:firstLineChars="150"/>
        <w:rPr>
          <w:rFonts w:cs="Times New Roman" w:eastAsiaTheme="minorEastAsia"/>
          <w:b w:val="0"/>
          <w:bCs w:val="0"/>
          <w:color w:val="000000"/>
        </w:rPr>
      </w:pPr>
      <w:r>
        <w:rPr>
          <w:rFonts w:cs="Times New Roman" w:eastAsiaTheme="minorEastAsia"/>
          <w:b w:val="0"/>
          <w:bCs w:val="0"/>
          <w:color w:val="000000"/>
        </w:rPr>
        <w:t>1  采用含有锚杆（索）支护型式的既有基坑工程；</w:t>
      </w:r>
    </w:p>
    <w:p w14:paraId="4AFDD9F1">
      <w:pPr>
        <w:ind w:firstLine="360" w:firstLineChars="150"/>
        <w:rPr>
          <w:rFonts w:cs="Times New Roman" w:eastAsiaTheme="minorEastAsia"/>
          <w:b w:val="0"/>
          <w:bCs w:val="0"/>
          <w:color w:val="000000"/>
        </w:rPr>
      </w:pPr>
      <w:r>
        <w:rPr>
          <w:rFonts w:cs="Times New Roman" w:eastAsiaTheme="minorEastAsia"/>
          <w:b w:val="0"/>
          <w:bCs w:val="0"/>
          <w:color w:val="000000"/>
        </w:rPr>
        <w:t>2  基坑侧壁岩土体能提供可靠的锚固力；</w:t>
      </w:r>
    </w:p>
    <w:p w14:paraId="0F5CF0E0">
      <w:pPr>
        <w:ind w:firstLine="360" w:firstLineChars="150"/>
        <w:rPr>
          <w:rFonts w:cs="Times New Roman" w:eastAsiaTheme="minorEastAsia"/>
          <w:b w:val="0"/>
          <w:bCs w:val="0"/>
          <w:color w:val="000000"/>
        </w:rPr>
      </w:pPr>
      <w:r>
        <w:rPr>
          <w:rFonts w:cs="Times New Roman" w:eastAsiaTheme="minorEastAsia"/>
          <w:b w:val="0"/>
          <w:bCs w:val="0"/>
          <w:color w:val="000000"/>
        </w:rPr>
        <w:t>3  基坑顶部有需要保护的建（构）筑物，对变形控制要求较高的基坑工程；</w:t>
      </w:r>
    </w:p>
    <w:p w14:paraId="4FE69150">
      <w:pPr>
        <w:ind w:firstLine="360" w:firstLineChars="150"/>
        <w:rPr>
          <w:rFonts w:cs="Times New Roman" w:eastAsiaTheme="minorEastAsia"/>
          <w:b w:val="0"/>
          <w:bCs w:val="0"/>
          <w:color w:val="000000"/>
        </w:rPr>
      </w:pPr>
      <w:r>
        <w:rPr>
          <w:rFonts w:cs="Times New Roman" w:eastAsiaTheme="minorEastAsia"/>
          <w:b w:val="0"/>
          <w:bCs w:val="0"/>
          <w:color w:val="000000"/>
        </w:rPr>
        <w:t>4  基坑加固时空间有限，且稳定性受施工扰动影响大的基坑工程。</w:t>
      </w:r>
    </w:p>
    <w:p w14:paraId="71F0B961">
      <w:pPr>
        <w:rPr>
          <w:rFonts w:cs="Times New Roman" w:eastAsiaTheme="minorEastAsia"/>
          <w:color w:val="000000"/>
        </w:rPr>
      </w:pPr>
      <w:r>
        <w:rPr>
          <w:rFonts w:cs="Times New Roman" w:eastAsiaTheme="minorEastAsia"/>
          <w:b/>
        </w:rPr>
        <w:t>5.</w:t>
      </w:r>
      <w:r>
        <w:rPr>
          <w:rFonts w:hint="eastAsia" w:cs="Times New Roman" w:eastAsiaTheme="minorEastAsia"/>
          <w:b/>
        </w:rPr>
        <w:t>8.3</w:t>
      </w:r>
      <w:r>
        <w:rPr>
          <w:rFonts w:cs="Times New Roman" w:eastAsiaTheme="minorEastAsia"/>
          <w:color w:val="000000"/>
        </w:rPr>
        <w:t xml:space="preserve"> </w:t>
      </w:r>
      <w:r>
        <w:rPr>
          <w:rFonts w:cs="Times New Roman" w:eastAsiaTheme="minorEastAsia"/>
          <w:color w:val="000000"/>
          <w:spacing w:val="2"/>
        </w:rPr>
        <w:t>下列情况的基坑工程不应采用锚杆（索）加固法：</w:t>
      </w:r>
    </w:p>
    <w:p w14:paraId="4567799A">
      <w:pPr>
        <w:ind w:firstLine="360" w:firstLineChars="150"/>
        <w:rPr>
          <w:rFonts w:cs="Times New Roman" w:eastAsiaTheme="minorEastAsia"/>
          <w:b w:val="0"/>
          <w:bCs w:val="0"/>
          <w:color w:val="000000"/>
        </w:rPr>
      </w:pPr>
      <w:r>
        <w:rPr>
          <w:rFonts w:cs="Times New Roman" w:eastAsiaTheme="minorEastAsia"/>
          <w:b w:val="0"/>
          <w:bCs w:val="0"/>
          <w:color w:val="000000"/>
        </w:rPr>
        <w:t>1  软弱土层的基坑工程；</w:t>
      </w:r>
    </w:p>
    <w:p w14:paraId="453BFDC2">
      <w:pPr>
        <w:ind w:firstLine="360" w:firstLineChars="150"/>
        <w:rPr>
          <w:rFonts w:cs="Times New Roman" w:eastAsiaTheme="minorEastAsia"/>
          <w:b w:val="0"/>
          <w:bCs w:val="0"/>
          <w:color w:val="000000"/>
        </w:rPr>
      </w:pPr>
      <w:r>
        <w:rPr>
          <w:rFonts w:cs="Times New Roman" w:eastAsiaTheme="minorEastAsia"/>
          <w:b w:val="0"/>
          <w:bCs w:val="0"/>
          <w:color w:val="000000"/>
        </w:rPr>
        <w:t xml:space="preserve">2  </w:t>
      </w:r>
      <w:r>
        <w:rPr>
          <w:rFonts w:hint="eastAsia" w:cs="Times New Roman" w:eastAsiaTheme="minorEastAsia"/>
          <w:b w:val="0"/>
          <w:bCs w:val="0"/>
          <w:color w:val="000000"/>
        </w:rPr>
        <w:t xml:space="preserve">无法避免群锚效应的基坑工程； </w:t>
      </w:r>
    </w:p>
    <w:p w14:paraId="5487849F">
      <w:pPr>
        <w:ind w:firstLine="360" w:firstLineChars="150"/>
        <w:rPr>
          <w:rFonts w:cs="Times New Roman" w:eastAsiaTheme="minorEastAsia"/>
          <w:b w:val="0"/>
          <w:bCs w:val="0"/>
          <w:color w:val="000000"/>
        </w:rPr>
      </w:pPr>
      <w:r>
        <w:rPr>
          <w:rFonts w:cs="Times New Roman" w:eastAsiaTheme="minorEastAsia"/>
          <w:b w:val="0"/>
          <w:bCs w:val="0"/>
          <w:color w:val="000000"/>
        </w:rPr>
        <w:t>3  锚固段无法避让或穿越未经处理的软弱土层、不稳定土层和不良地质地段的既有基坑；</w:t>
      </w:r>
    </w:p>
    <w:p w14:paraId="74B4394D">
      <w:pPr>
        <w:ind w:firstLine="360" w:firstLineChars="150"/>
        <w:rPr>
          <w:rFonts w:cs="Times New Roman" w:eastAsiaTheme="minorEastAsia"/>
          <w:b w:val="0"/>
          <w:bCs w:val="0"/>
          <w:color w:val="000000"/>
        </w:rPr>
      </w:pPr>
      <w:r>
        <w:rPr>
          <w:rFonts w:cs="Times New Roman" w:eastAsiaTheme="minorEastAsia"/>
          <w:b w:val="0"/>
          <w:bCs w:val="0"/>
          <w:color w:val="000000"/>
        </w:rPr>
        <w:t>4  钻孔注浆可能引发较大土体沉降的既有基坑。</w:t>
      </w:r>
    </w:p>
    <w:p w14:paraId="66D53021">
      <w:pPr>
        <w:rPr>
          <w:rFonts w:eastAsia="楷体" w:cs="Times New Roman"/>
          <w:color w:val="000000"/>
          <w:u w:val="single"/>
        </w:rPr>
      </w:pPr>
      <w:r>
        <w:rPr>
          <w:rFonts w:eastAsia="楷体" w:cs="Times New Roman"/>
          <w:color w:val="000000"/>
          <w:u w:val="single"/>
        </w:rPr>
        <w:t>【条文说明】锚杆锚固段设置在软弱土层或经处理也不能满足锚固要求的地层中，会引起显著的蠕变而导致锚杆预应力值降低，或因锚固段注浆体与土层间的摩阻强度过低无法满足设计要求的锚固力；由于地层对钢筋和灌浆体的强腐蚀性，降低了锚杆的使用寿命，导致基坑存在安全隐患和基坑稳定维护成本的增加；填方锚杆挡墙垮塌事故经验证实，锚杆自由段处在欠固结的新填土及竖向变形较大的侧壁中,在锚杆施工完成后,随着填土的固结和沉降,竖向变形加大导致锚杆的拉压力增加和对挡墙附加推力增加，不利于基坑的稳定，因此根据上述分析，对不适于锚杆的情况进行了规定。</w:t>
      </w:r>
    </w:p>
    <w:p w14:paraId="1A55CC22">
      <w:pPr>
        <w:rPr>
          <w:rFonts w:cs="Times New Roman" w:eastAsiaTheme="minorEastAsia"/>
          <w:spacing w:val="2"/>
        </w:rPr>
      </w:pPr>
      <w:r>
        <w:rPr>
          <w:rFonts w:cs="Times New Roman" w:eastAsiaTheme="minorEastAsia"/>
          <w:b/>
        </w:rPr>
        <w:t>5.</w:t>
      </w:r>
      <w:r>
        <w:rPr>
          <w:rFonts w:hint="eastAsia" w:cs="Times New Roman" w:eastAsiaTheme="minorEastAsia"/>
          <w:b/>
        </w:rPr>
        <w:t>8.4</w:t>
      </w:r>
      <w:r>
        <w:rPr>
          <w:rFonts w:cs="Times New Roman" w:eastAsiaTheme="minorEastAsia"/>
        </w:rPr>
        <w:t xml:space="preserve"> </w:t>
      </w:r>
      <w:r>
        <w:rPr>
          <w:rFonts w:cs="Times New Roman" w:eastAsiaTheme="minorEastAsia"/>
          <w:spacing w:val="2"/>
        </w:rPr>
        <w:t>锚杆（索）加固布置应满足下列要求：</w:t>
      </w:r>
    </w:p>
    <w:p w14:paraId="26AE6C96">
      <w:pPr>
        <w:ind w:firstLine="360" w:firstLineChars="150"/>
        <w:rPr>
          <w:rFonts w:cs="Times New Roman" w:eastAsiaTheme="minorEastAsia"/>
          <w:b w:val="0"/>
          <w:bCs w:val="0"/>
        </w:rPr>
      </w:pPr>
      <w:bookmarkStart w:id="80" w:name="OLE_LINK15"/>
      <w:r>
        <w:rPr>
          <w:rFonts w:cs="Times New Roman" w:eastAsiaTheme="minorEastAsia"/>
          <w:b w:val="0"/>
          <w:bCs w:val="0"/>
        </w:rPr>
        <w:t xml:space="preserve">1  </w:t>
      </w:r>
      <w:bookmarkEnd w:id="80"/>
      <w:r>
        <w:rPr>
          <w:rFonts w:cs="Times New Roman" w:eastAsiaTheme="minorEastAsia"/>
          <w:b w:val="0"/>
          <w:bCs w:val="0"/>
        </w:rPr>
        <w:t>锚杆（索）的布设位置及方位应根据基坑潜在的破坏模式、支护结构抗滑移、抗倾覆和构件强度等要求确定，并考虑基坑作用力分布形态；</w:t>
      </w:r>
    </w:p>
    <w:p w14:paraId="09C34DFA">
      <w:pPr>
        <w:ind w:firstLine="360" w:firstLineChars="150"/>
        <w:rPr>
          <w:rFonts w:cs="Times New Roman" w:eastAsiaTheme="minorEastAsia"/>
          <w:b w:val="0"/>
          <w:bCs w:val="0"/>
        </w:rPr>
      </w:pPr>
      <w:r>
        <w:rPr>
          <w:rFonts w:cs="Times New Roman" w:eastAsiaTheme="minorEastAsia"/>
          <w:b w:val="0"/>
          <w:bCs w:val="0"/>
        </w:rPr>
        <w:t>2  锚固加固法可与微型桩加固法、内支撑加固法</w:t>
      </w:r>
      <w:r>
        <w:rPr>
          <w:rFonts w:hint="eastAsia" w:cs="Times New Roman" w:eastAsiaTheme="minorEastAsia"/>
          <w:b w:val="0"/>
          <w:bCs w:val="0"/>
        </w:rPr>
        <w:t>等方法</w:t>
      </w:r>
      <w:r>
        <w:rPr>
          <w:rFonts w:cs="Times New Roman" w:eastAsiaTheme="minorEastAsia"/>
          <w:b w:val="0"/>
          <w:bCs w:val="0"/>
        </w:rPr>
        <w:t>联合使用，并宜布置于既有基坑变形较大处或基坑的加深部位</w:t>
      </w:r>
      <w:r>
        <w:rPr>
          <w:rFonts w:hint="eastAsia" w:cs="Times New Roman" w:eastAsiaTheme="minorEastAsia"/>
          <w:b w:val="0"/>
          <w:bCs w:val="0"/>
        </w:rPr>
        <w:t>。</w:t>
      </w:r>
    </w:p>
    <w:p w14:paraId="5EC20098">
      <w:pPr>
        <w:rPr>
          <w:rFonts w:eastAsia="楷体" w:cs="Times New Roman"/>
          <w:u w:val="single"/>
        </w:rPr>
      </w:pPr>
      <w:r>
        <w:rPr>
          <w:rFonts w:eastAsia="楷体" w:cs="Times New Roman"/>
          <w:u w:val="single"/>
        </w:rPr>
        <w:t>【条文说明】锚固加固法可与微型桩加固法、内支撑加固法联合使用，比如在既有土钉墙支护结构采用放坡+微型桩+预应力锚杆（索）支护加固方法，原有支护结构深度范围内根据加深情况可增设比原有土钉长的土钉或锚杆，或增设微型桩、预应力锚索等形成复合土钉墙型式。如图1所示土钉墙加深后的3种基本加固形式：</w:t>
      </w:r>
    </w:p>
    <w:p w14:paraId="539DA481">
      <w:pPr>
        <w:rPr>
          <w:rFonts w:cs="Times New Roman"/>
        </w:rPr>
      </w:pPr>
      <w:r>
        <w:rPr>
          <w:rFonts w:cs="Times New Roman"/>
        </w:rPr>
        <w:drawing>
          <wp:inline distT="0" distB="0" distL="0" distR="0">
            <wp:extent cx="5274310" cy="1829435"/>
            <wp:effectExtent l="19050" t="19050" r="21590" b="18415"/>
            <wp:docPr id="1086133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33149" name="图片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1829435"/>
                    </a:xfrm>
                    <a:prstGeom prst="rect">
                      <a:avLst/>
                    </a:prstGeom>
                    <a:ln>
                      <a:solidFill>
                        <a:schemeClr val="tx1"/>
                      </a:solidFill>
                    </a:ln>
                  </pic:spPr>
                </pic:pic>
              </a:graphicData>
            </a:graphic>
          </wp:inline>
        </w:drawing>
      </w:r>
    </w:p>
    <w:p w14:paraId="5E8CBF40">
      <w:pPr>
        <w:ind w:firstLine="720" w:firstLineChars="300"/>
        <w:rPr>
          <w:rFonts w:eastAsia="楷体" w:cs="Times New Roman"/>
          <w:u w:val="single"/>
        </w:rPr>
      </w:pPr>
      <w:r>
        <w:rPr>
          <w:rFonts w:eastAsia="楷体" w:cs="Times New Roman"/>
          <w:u w:val="single"/>
        </w:rPr>
        <w:t>（a）新增土钉      （b）新增微型桩    （c）新增微型桩+预应力锚索</w:t>
      </w:r>
    </w:p>
    <w:p w14:paraId="61BCC82C">
      <w:pPr>
        <w:jc w:val="center"/>
        <w:rPr>
          <w:rFonts w:eastAsia="楷体" w:cs="Times New Roman"/>
          <w:u w:val="single"/>
        </w:rPr>
      </w:pPr>
      <w:r>
        <w:rPr>
          <w:rFonts w:eastAsia="楷体" w:cs="Times New Roman"/>
          <w:u w:val="single"/>
        </w:rPr>
        <w:t>图3  基本加固形式</w:t>
      </w:r>
    </w:p>
    <w:p w14:paraId="2BB3EB56">
      <w:pPr>
        <w:ind w:firstLine="480" w:firstLineChars="200"/>
        <w:rPr>
          <w:rFonts w:eastAsia="楷体" w:cs="Times New Roman"/>
          <w:u w:val="single"/>
        </w:rPr>
      </w:pPr>
      <w:r>
        <w:rPr>
          <w:rFonts w:eastAsia="楷体" w:cs="Times New Roman"/>
          <w:u w:val="single"/>
        </w:rPr>
        <w:t>对于基坑加深导致既有支护桩嵌固段减少，而又无条件在基坑内侧再施工一排桩，通常可在桩端增设预应力锚索进行加固（如图2）；如果基坑加深超过既有支护桩嵌固长度，是指基坑加深深度大，原有支护桩端已外露，桩底标高已高于加深基坑底标高，这时可考虑利用原有支护桩，对原支护桩端以下岩土体采用新增微型桩或灌注桩，并结合锚杆（索）、内支撑进行加固，这时为保证新增支护体系对既有支护桩反力的有效传递，应在新增支护体系顶处设置通长冠梁和连接梁，新旧支护体系搭接长度不小于1000mm（如图2）。</w:t>
      </w:r>
    </w:p>
    <w:p w14:paraId="305806BA">
      <w:pPr>
        <w:rPr>
          <w:rFonts w:eastAsia="楷体" w:cs="Times New Roman"/>
          <w:u w:val="single"/>
        </w:rPr>
      </w:pPr>
      <w:r>
        <w:drawing>
          <wp:inline distT="0" distB="0" distL="0" distR="0">
            <wp:extent cx="2478405" cy="2355850"/>
            <wp:effectExtent l="19050" t="19050" r="17145" b="25400"/>
            <wp:docPr id="536163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6335" name="图片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489990" cy="2366725"/>
                    </a:xfrm>
                    <a:prstGeom prst="rect">
                      <a:avLst/>
                    </a:prstGeom>
                    <a:ln>
                      <a:solidFill>
                        <a:schemeClr val="tx1"/>
                      </a:solidFill>
                    </a:ln>
                  </pic:spPr>
                </pic:pic>
              </a:graphicData>
            </a:graphic>
          </wp:inline>
        </w:drawing>
      </w:r>
      <w:r>
        <w:rPr>
          <w:rFonts w:hint="eastAsia"/>
          <w:lang w:val="en-US" w:eastAsia="zh-CN"/>
        </w:rPr>
        <w:t xml:space="preserve">  </w:t>
      </w:r>
      <w:r>
        <w:rPr>
          <w:rFonts w:cs="Times New Roman"/>
        </w:rPr>
        <w:drawing>
          <wp:inline distT="0" distB="0" distL="0" distR="0">
            <wp:extent cx="2323465" cy="2377440"/>
            <wp:effectExtent l="9525" t="9525" r="10160" b="13335"/>
            <wp:docPr id="14440305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30570" name="图片 1"/>
                    <pic:cNvPicPr>
                      <a:picLocks noChangeAspect="1"/>
                    </pic:cNvPicPr>
                  </pic:nvPicPr>
                  <pic:blipFill>
                    <a:blip r:embed="rId23"/>
                    <a:stretch>
                      <a:fillRect/>
                    </a:stretch>
                  </pic:blipFill>
                  <pic:spPr>
                    <a:xfrm>
                      <a:off x="0" y="0"/>
                      <a:ext cx="2335213" cy="2377440"/>
                    </a:xfrm>
                    <a:prstGeom prst="rect">
                      <a:avLst/>
                    </a:prstGeom>
                    <a:ln>
                      <a:solidFill>
                        <a:schemeClr val="tx1"/>
                      </a:solidFill>
                    </a:ln>
                  </pic:spPr>
                </pic:pic>
              </a:graphicData>
            </a:graphic>
          </wp:inline>
        </w:drawing>
      </w:r>
    </w:p>
    <w:p w14:paraId="14294113">
      <w:pPr>
        <w:rPr>
          <w:rFonts w:eastAsia="楷体" w:cs="Times New Roman"/>
          <w:u w:val="single"/>
        </w:rPr>
      </w:pPr>
      <w:r>
        <w:rPr>
          <w:rFonts w:cs="Times New Roman"/>
        </w:rPr>
        <w:drawing>
          <wp:inline distT="0" distB="0" distL="0" distR="0">
            <wp:extent cx="2550795" cy="2364105"/>
            <wp:effectExtent l="19050" t="19050" r="20955" b="17145"/>
            <wp:docPr id="9324101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10181" name="图片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563621" cy="2376037"/>
                    </a:xfrm>
                    <a:prstGeom prst="rect">
                      <a:avLst/>
                    </a:prstGeom>
                    <a:ln>
                      <a:solidFill>
                        <a:schemeClr val="tx1"/>
                      </a:solidFill>
                    </a:ln>
                  </pic:spPr>
                </pic:pic>
              </a:graphicData>
            </a:graphic>
          </wp:inline>
        </w:drawing>
      </w:r>
      <w:r>
        <w:rPr>
          <w:rFonts w:hint="eastAsia" w:cs="Times New Roman"/>
          <w:lang w:val="en-US" w:eastAsia="zh-CN"/>
        </w:rPr>
        <w:t xml:space="preserve">  </w:t>
      </w:r>
      <w:r>
        <w:rPr>
          <w:rFonts w:cs="Times New Roman"/>
        </w:rPr>
        <w:drawing>
          <wp:inline distT="0" distB="0" distL="0" distR="0">
            <wp:extent cx="2204085" cy="2543175"/>
            <wp:effectExtent l="19050" t="19050" r="24765" b="28575"/>
            <wp:docPr id="8195039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03949" name="图片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212398" cy="2552769"/>
                    </a:xfrm>
                    <a:prstGeom prst="rect">
                      <a:avLst/>
                    </a:prstGeom>
                    <a:ln>
                      <a:solidFill>
                        <a:schemeClr val="tx1"/>
                      </a:solidFill>
                    </a:ln>
                  </pic:spPr>
                </pic:pic>
              </a:graphicData>
            </a:graphic>
          </wp:inline>
        </w:drawing>
      </w:r>
    </w:p>
    <w:p w14:paraId="3C06E829">
      <w:pPr>
        <w:jc w:val="center"/>
        <w:rPr>
          <w:rFonts w:eastAsia="楷体" w:cs="Times New Roman"/>
          <w:u w:val="single"/>
        </w:rPr>
      </w:pPr>
      <w:r>
        <w:rPr>
          <w:rFonts w:eastAsia="楷体" w:cs="Times New Roman"/>
          <w:u w:val="single"/>
        </w:rPr>
        <w:t>图4  嵌固段减少或无嵌固段加固基坑形式</w:t>
      </w:r>
    </w:p>
    <w:p w14:paraId="541D6802">
      <w:pPr>
        <w:rPr>
          <w:rFonts w:cs="Times New Roman" w:eastAsiaTheme="minorEastAsia"/>
          <w:color w:val="000000"/>
        </w:rPr>
      </w:pPr>
      <w:bookmarkStart w:id="81" w:name="OLE_LINK43"/>
      <w:r>
        <w:rPr>
          <w:rFonts w:cs="Times New Roman" w:eastAsiaTheme="minorEastAsia"/>
          <w:b/>
        </w:rPr>
        <w:t>5.</w:t>
      </w:r>
      <w:r>
        <w:rPr>
          <w:rFonts w:hint="eastAsia" w:cs="Times New Roman" w:eastAsiaTheme="minorEastAsia"/>
          <w:b/>
        </w:rPr>
        <w:t>8.5</w:t>
      </w:r>
      <w:r>
        <w:rPr>
          <w:rFonts w:cs="Times New Roman" w:eastAsiaTheme="minorEastAsia"/>
          <w:color w:val="000000"/>
        </w:rPr>
        <w:t xml:space="preserve"> </w:t>
      </w:r>
      <w:r>
        <w:rPr>
          <w:rFonts w:cs="Times New Roman" w:eastAsiaTheme="minorEastAsia"/>
          <w:color w:val="000000"/>
          <w:spacing w:val="2"/>
        </w:rPr>
        <w:t>锚杆（索</w:t>
      </w:r>
      <w:bookmarkEnd w:id="81"/>
      <w:r>
        <w:rPr>
          <w:rFonts w:cs="Times New Roman" w:eastAsiaTheme="minorEastAsia"/>
          <w:color w:val="000000"/>
          <w:spacing w:val="2"/>
        </w:rPr>
        <w:t>）加固法设计应符合下列规定：</w:t>
      </w:r>
    </w:p>
    <w:p w14:paraId="66D7A539">
      <w:pPr>
        <w:ind w:firstLine="360" w:firstLineChars="150"/>
        <w:rPr>
          <w:rFonts w:cs="Times New Roman" w:eastAsiaTheme="minorEastAsia"/>
          <w:b w:val="0"/>
          <w:bCs w:val="0"/>
          <w:color w:val="000000"/>
        </w:rPr>
      </w:pPr>
      <w:r>
        <w:rPr>
          <w:rFonts w:cs="Times New Roman" w:eastAsiaTheme="minorEastAsia"/>
          <w:b w:val="0"/>
          <w:bCs w:val="0"/>
          <w:color w:val="000000"/>
        </w:rPr>
        <w:t>1  新增锚杆</w:t>
      </w:r>
      <w:bookmarkStart w:id="82" w:name="OLE_LINK12"/>
      <w:r>
        <w:rPr>
          <w:rFonts w:cs="Times New Roman" w:eastAsiaTheme="minorEastAsia"/>
          <w:b w:val="0"/>
          <w:bCs w:val="0"/>
          <w:color w:val="000000"/>
        </w:rPr>
        <w:t>（索）</w:t>
      </w:r>
      <w:bookmarkEnd w:id="82"/>
      <w:r>
        <w:rPr>
          <w:rFonts w:cs="Times New Roman" w:eastAsiaTheme="minorEastAsia"/>
          <w:b w:val="0"/>
          <w:bCs w:val="0"/>
          <w:color w:val="000000"/>
        </w:rPr>
        <w:t>的承载力、数量及间距应根据基坑整体稳定性、支护结构抗滑移、抗倾覆稳定性、支护结构及构件的强度等计算确定，并符合现行行业标准《建筑基坑支护技术规程》JGJ 120的规定；</w:t>
      </w:r>
    </w:p>
    <w:p w14:paraId="5F8B757D">
      <w:pPr>
        <w:ind w:firstLine="360" w:firstLineChars="150"/>
        <w:rPr>
          <w:rFonts w:cs="Times New Roman" w:eastAsiaTheme="minorEastAsia"/>
          <w:b w:val="0"/>
          <w:bCs w:val="0"/>
          <w:color w:val="000000"/>
        </w:rPr>
      </w:pPr>
      <w:r>
        <w:rPr>
          <w:rFonts w:cs="Times New Roman" w:eastAsiaTheme="minorEastAsia"/>
          <w:b w:val="0"/>
          <w:bCs w:val="0"/>
          <w:color w:val="000000"/>
        </w:rPr>
        <w:t>3  新增锚杆（索）与原支护结构中的锚杆间距不宜小于1m，且应将锚固段错开布置，或改变锚杆的倾角或水平方向角；新增锚杆（索）自由段应穿越已有滑裂面或潜在滑裂面不小于2m，锚固段长度应根据现状基坑的变形情况和破坏模式计算确定，宜大于既有锚杆的锚固段长度；</w:t>
      </w:r>
    </w:p>
    <w:p w14:paraId="7834ED31">
      <w:pPr>
        <w:ind w:firstLine="360" w:firstLineChars="150"/>
        <w:rPr>
          <w:rFonts w:cs="Times New Roman" w:eastAsiaTheme="minorEastAsia"/>
          <w:b w:val="0"/>
          <w:bCs w:val="0"/>
          <w:color w:val="000000"/>
        </w:rPr>
      </w:pPr>
      <w:r>
        <w:rPr>
          <w:rFonts w:cs="Times New Roman" w:eastAsiaTheme="minorEastAsia"/>
          <w:b w:val="0"/>
          <w:bCs w:val="0"/>
          <w:color w:val="000000"/>
        </w:rPr>
        <w:t>4  锚杆（索）外锚头处的传力构件应有足够的强度与刚度；</w:t>
      </w:r>
    </w:p>
    <w:p w14:paraId="33141001">
      <w:pPr>
        <w:ind w:firstLine="360" w:firstLineChars="150"/>
        <w:rPr>
          <w:rFonts w:cs="Times New Roman" w:eastAsiaTheme="minorEastAsia"/>
          <w:b w:val="0"/>
          <w:bCs w:val="0"/>
          <w:color w:val="000000"/>
        </w:rPr>
      </w:pPr>
      <w:r>
        <w:rPr>
          <w:rFonts w:cs="Times New Roman" w:eastAsiaTheme="minorEastAsia"/>
          <w:b w:val="0"/>
          <w:bCs w:val="0"/>
          <w:color w:val="000000"/>
        </w:rPr>
        <w:t>5  预应力锚杆（索）宜采用精轧螺纹钢筋、无粘结钢绞线等易于调整预应力值的锚固体系；</w:t>
      </w:r>
    </w:p>
    <w:p w14:paraId="2F731B6D">
      <w:pPr>
        <w:ind w:firstLine="360" w:firstLineChars="150"/>
        <w:rPr>
          <w:rFonts w:cs="Times New Roman" w:eastAsiaTheme="minorEastAsia"/>
          <w:b w:val="0"/>
          <w:bCs w:val="0"/>
          <w:color w:val="000000"/>
        </w:rPr>
      </w:pPr>
      <w:r>
        <w:rPr>
          <w:rFonts w:cs="Times New Roman" w:eastAsiaTheme="minorEastAsia"/>
          <w:b w:val="0"/>
          <w:bCs w:val="0"/>
          <w:color w:val="000000"/>
        </w:rPr>
        <w:t>6  新增锚杆（索）的锁定预应力值宜为锚杆拉力设计值；当被锚固的支护结构位移控制值较低时，预应力锚杆（索）的锁定预应力值可为锚杆拉力设计值的75%~90%；锚杆（索）防腐和其他应符合现行行业标准《建筑基坑支护技术规程》JGJ 120的有关规定；</w:t>
      </w:r>
    </w:p>
    <w:p w14:paraId="2C3F4F92">
      <w:pPr>
        <w:ind w:firstLine="360" w:firstLineChars="150"/>
        <w:rPr>
          <w:rFonts w:cs="Times New Roman" w:eastAsiaTheme="minorEastAsia"/>
          <w:b w:val="0"/>
          <w:bCs w:val="0"/>
        </w:rPr>
      </w:pPr>
      <w:r>
        <w:rPr>
          <w:rFonts w:cs="Times New Roman" w:eastAsiaTheme="minorEastAsia"/>
          <w:b w:val="0"/>
          <w:bCs w:val="0"/>
        </w:rPr>
        <w:t>7  新增预应力锚杆（索）、微型桩形成的复合支护结构稳定性验算应按本标准第5.2.1</w:t>
      </w:r>
      <w:r>
        <w:rPr>
          <w:rFonts w:hint="eastAsia" w:cs="Times New Roman" w:eastAsiaTheme="minorEastAsia"/>
          <w:b w:val="0"/>
          <w:bCs w:val="0"/>
        </w:rPr>
        <w:t>0</w:t>
      </w:r>
      <w:r>
        <w:rPr>
          <w:rFonts w:cs="Times New Roman" w:eastAsiaTheme="minorEastAsia"/>
          <w:b w:val="0"/>
          <w:bCs w:val="0"/>
        </w:rPr>
        <w:t>条的规定计算。</w:t>
      </w:r>
    </w:p>
    <w:p w14:paraId="1C038A70">
      <w:pPr>
        <w:rPr>
          <w:rFonts w:eastAsia="楷体" w:cs="Times New Roman"/>
          <w:u w:val="single"/>
        </w:rPr>
      </w:pPr>
      <w:r>
        <w:rPr>
          <w:rFonts w:eastAsia="楷体" w:cs="Times New Roman"/>
          <w:u w:val="single"/>
        </w:rPr>
        <w:t>【条文说明】本条第7款，</w:t>
      </w:r>
      <w:bookmarkStart w:id="83" w:name="OLE_LINK16"/>
      <w:r>
        <w:rPr>
          <w:rFonts w:eastAsia="楷体" w:cs="Times New Roman"/>
          <w:u w:val="single"/>
        </w:rPr>
        <w:t>加固形成的复合</w:t>
      </w:r>
      <w:bookmarkEnd w:id="83"/>
      <w:r>
        <w:rPr>
          <w:rFonts w:eastAsia="楷体" w:cs="Times New Roman"/>
          <w:u w:val="single"/>
        </w:rPr>
        <w:t>支护结构整体稳定验算可计取加固新增的止水帷幕、预应力锚杆及微型桩的作用，这是经大量工程实践统计的结果。如果不计取这些构件的作用，设计将过于保守，不仅与事实不符，且有些情况下（如在软弱土层中）设计计算很难达到一定的安全度，当然也不能过高估算这些新增支护构件的作用，公式中通过设置组合作用折减系数，限制了这些复合构件的作用程度。</w:t>
      </w:r>
    </w:p>
    <w:p w14:paraId="2CD3F31A">
      <w:pPr>
        <w:rPr>
          <w:rFonts w:cs="Times New Roman" w:eastAsiaTheme="minorEastAsia"/>
          <w:spacing w:val="2"/>
        </w:rPr>
      </w:pPr>
      <w:r>
        <w:rPr>
          <w:rFonts w:cs="Times New Roman" w:eastAsiaTheme="minorEastAsia"/>
          <w:b/>
        </w:rPr>
        <w:t>5.</w:t>
      </w:r>
      <w:r>
        <w:rPr>
          <w:rFonts w:hint="eastAsia" w:cs="Times New Roman" w:eastAsiaTheme="minorEastAsia"/>
          <w:b/>
        </w:rPr>
        <w:t>8.6</w:t>
      </w:r>
      <w:r>
        <w:rPr>
          <w:rFonts w:cs="Times New Roman" w:eastAsiaTheme="minorEastAsia"/>
        </w:rPr>
        <w:t xml:space="preserve"> </w:t>
      </w:r>
      <w:r>
        <w:rPr>
          <w:rFonts w:hint="eastAsia" w:cs="Times New Roman" w:eastAsiaTheme="minorEastAsia"/>
          <w:spacing w:val="2"/>
        </w:rPr>
        <w:t>吊脚桩加固设计宜满足下列要求：</w:t>
      </w:r>
    </w:p>
    <w:p w14:paraId="4DB94E45">
      <w:pPr>
        <w:ind w:firstLine="360" w:firstLineChars="150"/>
        <w:rPr>
          <w:rFonts w:cs="Times New Roman" w:eastAsiaTheme="minorEastAsia"/>
          <w:b w:val="0"/>
          <w:bCs/>
        </w:rPr>
      </w:pPr>
      <w:r>
        <w:rPr>
          <w:rFonts w:cs="Times New Roman" w:eastAsiaTheme="minorEastAsia"/>
          <w:b w:val="0"/>
          <w:bCs/>
        </w:rPr>
        <w:t xml:space="preserve">1  </w:t>
      </w:r>
      <w:r>
        <w:rPr>
          <w:rFonts w:hint="eastAsia" w:cs="Times New Roman" w:eastAsiaTheme="minorEastAsia"/>
          <w:b w:val="0"/>
          <w:bCs/>
        </w:rPr>
        <w:t>对土岩基坑，</w:t>
      </w:r>
      <w:r>
        <w:rPr>
          <w:rFonts w:cs="Times New Roman" w:eastAsiaTheme="minorEastAsia"/>
          <w:b w:val="0"/>
          <w:bCs/>
        </w:rPr>
        <w:t>吊脚桩入岩处宜设置锁脚锚杆（索）。锚杆（索）应设置于下部搭接位置以上不大于1.0m，锚杆（索）宜施加50kN~100kN的预应力，锚杆（索）长度6.0m~9.0m；</w:t>
      </w:r>
    </w:p>
    <w:p w14:paraId="5A0C80C1">
      <w:pPr>
        <w:ind w:firstLine="360" w:firstLineChars="150"/>
        <w:rPr>
          <w:rFonts w:cs="Times New Roman" w:eastAsiaTheme="minorEastAsia"/>
          <w:b w:val="0"/>
          <w:bCs/>
        </w:rPr>
      </w:pPr>
      <w:r>
        <w:rPr>
          <w:rFonts w:cs="Times New Roman" w:eastAsiaTheme="minorEastAsia"/>
          <w:b w:val="0"/>
          <w:bCs/>
        </w:rPr>
        <w:t xml:space="preserve">2  </w:t>
      </w:r>
      <w:r>
        <w:rPr>
          <w:rFonts w:hint="eastAsia" w:cs="Times New Roman" w:eastAsiaTheme="minorEastAsia"/>
          <w:b w:val="0"/>
          <w:bCs/>
        </w:rPr>
        <w:t>对土岩基坑，</w:t>
      </w:r>
      <w:r>
        <w:rPr>
          <w:rFonts w:cs="Times New Roman" w:eastAsiaTheme="minorEastAsia"/>
          <w:b w:val="0"/>
          <w:bCs/>
        </w:rPr>
        <w:t>吊脚</w:t>
      </w:r>
      <w:r>
        <w:rPr>
          <w:rFonts w:hint="eastAsia" w:cs="Times New Roman" w:eastAsiaTheme="minorEastAsia"/>
          <w:b w:val="0"/>
          <w:bCs/>
        </w:rPr>
        <w:t>桩可</w:t>
      </w:r>
      <w:r>
        <w:rPr>
          <w:rFonts w:cs="Times New Roman" w:eastAsiaTheme="minorEastAsia"/>
          <w:b w:val="0"/>
          <w:bCs/>
        </w:rPr>
        <w:t>采用微型桩加固支护时，</w:t>
      </w:r>
      <w:r>
        <w:rPr>
          <w:rFonts w:hint="eastAsia" w:cs="Times New Roman" w:eastAsiaTheme="minorEastAsia"/>
          <w:b w:val="0"/>
          <w:bCs/>
          <w:highlight w:val="none"/>
        </w:rPr>
        <w:t>新旧支护结构搭接长度不宜小于</w:t>
      </w:r>
      <w:r>
        <w:rPr>
          <w:rFonts w:cs="Times New Roman" w:eastAsiaTheme="minorEastAsia"/>
          <w:b w:val="0"/>
          <w:bCs/>
          <w:highlight w:val="none"/>
        </w:rPr>
        <w:t>1000mm</w:t>
      </w:r>
      <w:r>
        <w:rPr>
          <w:rFonts w:hint="eastAsia" w:cs="Times New Roman" w:eastAsiaTheme="minorEastAsia"/>
          <w:b w:val="0"/>
          <w:bCs/>
          <w:highlight w:val="none"/>
        </w:rPr>
        <w:t>，</w:t>
      </w:r>
      <w:r>
        <w:rPr>
          <w:rFonts w:cs="Times New Roman" w:eastAsiaTheme="minorEastAsia"/>
          <w:b w:val="0"/>
          <w:bCs/>
        </w:rPr>
        <w:t>微型桩冠梁宜与锚杆端部腰梁组合形成L型梁。锁脚锚杆（索）端部工型梁高度宜取600mm~800mm；</w:t>
      </w:r>
    </w:p>
    <w:p w14:paraId="0A18C78E">
      <w:pPr>
        <w:ind w:firstLine="360" w:firstLineChars="150"/>
        <w:rPr>
          <w:rFonts w:cs="Times New Roman" w:eastAsiaTheme="minorEastAsia"/>
          <w:b w:val="0"/>
          <w:bCs/>
        </w:rPr>
      </w:pPr>
      <w:r>
        <w:rPr>
          <w:rFonts w:cs="Times New Roman" w:eastAsiaTheme="minorEastAsia"/>
          <w:b w:val="0"/>
          <w:bCs/>
        </w:rPr>
        <w:t>3  吊脚桩应按本标准第5.2.1</w:t>
      </w:r>
      <w:r>
        <w:rPr>
          <w:rFonts w:hint="eastAsia" w:cs="Times New Roman" w:eastAsiaTheme="minorEastAsia"/>
          <w:b w:val="0"/>
          <w:bCs/>
        </w:rPr>
        <w:t>3</w:t>
      </w:r>
      <w:r>
        <w:rPr>
          <w:rFonts w:cs="Times New Roman" w:eastAsiaTheme="minorEastAsia"/>
          <w:b w:val="0"/>
          <w:bCs/>
        </w:rPr>
        <w:t>条的规定验算桩端压应力承载力。</w:t>
      </w:r>
    </w:p>
    <w:p w14:paraId="577C0AB2">
      <w:pPr>
        <w:ind w:firstLine="0" w:firstLineChars="0"/>
        <w:rPr>
          <w:rFonts w:ascii="楷体" w:hAnsi="楷体" w:eastAsia="楷体" w:cs="Times New Roman"/>
          <w:bCs/>
        </w:rPr>
      </w:pPr>
      <w:r>
        <w:rPr>
          <w:rFonts w:hint="eastAsia" w:ascii="楷体" w:hAnsi="楷体" w:eastAsia="楷体" w:cs="Times New Roman"/>
          <w:bCs/>
        </w:rPr>
        <w:t>【条文说明】对于土岩基坑，当吊脚桩端处于较完整基岩面以下时，加深的基岩基坑稳定性较好，一般对加深基坑可采用锚喷支护或微型桩加固，但是在吊脚桩端处宜设置锁脚锚杆（索）或保证一定的搭接长度，以提高既有基坑支护结构的稳定性。</w:t>
      </w:r>
      <w:r>
        <w:rPr>
          <w:rFonts w:eastAsia="楷体" w:cs="Times New Roman"/>
          <w:u w:val="single"/>
        </w:rPr>
        <w:t>这时</w:t>
      </w:r>
      <w:r>
        <w:rPr>
          <w:rFonts w:hint="eastAsia" w:eastAsia="楷体" w:cs="Times New Roman"/>
          <w:u w:val="single"/>
        </w:rPr>
        <w:t>还</w:t>
      </w:r>
      <w:r>
        <w:rPr>
          <w:rFonts w:eastAsia="楷体" w:cs="Times New Roman"/>
          <w:u w:val="single"/>
        </w:rPr>
        <w:t>应对</w:t>
      </w:r>
      <w:r>
        <w:rPr>
          <w:rFonts w:hint="eastAsia" w:eastAsia="楷体" w:cs="Times New Roman"/>
          <w:u w:val="single"/>
        </w:rPr>
        <w:t>既有吊脚桩</w:t>
      </w:r>
      <w:r>
        <w:rPr>
          <w:rFonts w:eastAsia="楷体" w:cs="Times New Roman"/>
          <w:u w:val="single"/>
        </w:rPr>
        <w:t>端底的地基承载力进行必要的验算，防止桩端地基发生沉降、变形或倾覆</w:t>
      </w:r>
      <w:r>
        <w:rPr>
          <w:rFonts w:hint="eastAsia" w:eastAsia="楷体" w:cs="Times New Roman"/>
          <w:u w:val="single"/>
        </w:rPr>
        <w:t>。</w:t>
      </w:r>
    </w:p>
    <w:p w14:paraId="1ED546B3">
      <w:pPr>
        <w:ind w:firstLine="360" w:firstLineChars="150"/>
        <w:jc w:val="center"/>
        <w:rPr>
          <w:rFonts w:cs="Times New Roman" w:eastAsiaTheme="minorEastAsia"/>
          <w:bCs/>
        </w:rPr>
      </w:pPr>
      <w:r>
        <w:rPr>
          <w:rFonts w:cs="Times New Roman"/>
        </w:rPr>
        <w:drawing>
          <wp:inline distT="0" distB="0" distL="0" distR="0">
            <wp:extent cx="4596130" cy="1752600"/>
            <wp:effectExtent l="0" t="0" r="0" b="0"/>
            <wp:docPr id="21016905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90562" name="图片 1"/>
                    <pic:cNvPicPr>
                      <a:picLocks noChangeAspect="1"/>
                    </pic:cNvPicPr>
                  </pic:nvPicPr>
                  <pic:blipFill>
                    <a:blip r:embed="rId26">
                      <a:extLst>
                        <a:ext uri="{28A0092B-C50C-407E-A947-70E740481C1C}">
                          <a14:useLocalDpi xmlns:a14="http://schemas.microsoft.com/office/drawing/2010/main" val="0"/>
                        </a:ext>
                      </a:extLst>
                    </a:blip>
                    <a:srcRect b="10737"/>
                    <a:stretch>
                      <a:fillRect/>
                    </a:stretch>
                  </pic:blipFill>
                  <pic:spPr>
                    <a:xfrm>
                      <a:off x="0" y="0"/>
                      <a:ext cx="4613638" cy="1759660"/>
                    </a:xfrm>
                    <a:prstGeom prst="rect">
                      <a:avLst/>
                    </a:prstGeom>
                    <a:ln>
                      <a:noFill/>
                    </a:ln>
                  </pic:spPr>
                </pic:pic>
              </a:graphicData>
            </a:graphic>
          </wp:inline>
        </w:drawing>
      </w:r>
    </w:p>
    <w:p w14:paraId="28F2FE12">
      <w:pPr>
        <w:jc w:val="center"/>
        <w:rPr>
          <w:rFonts w:hint="eastAsia" w:ascii="楷体" w:hAnsi="楷体" w:eastAsia="楷体" w:cs="Times New Roman"/>
          <w:bCs/>
        </w:rPr>
      </w:pPr>
      <w:r>
        <w:rPr>
          <w:rFonts w:hint="default" w:ascii="Times New Roman" w:hAnsi="Times New Roman" w:eastAsia="楷体" w:cs="Times New Roman"/>
          <w:bCs/>
        </w:rPr>
        <w:t>图</w:t>
      </w:r>
      <w:r>
        <w:rPr>
          <w:rFonts w:hint="default" w:ascii="Times New Roman" w:hAnsi="Times New Roman" w:eastAsia="楷体" w:cs="Times New Roman"/>
          <w:bCs/>
          <w:lang w:val="en-US" w:eastAsia="zh-CN"/>
        </w:rPr>
        <w:t>1-2</w:t>
      </w:r>
      <w:r>
        <w:rPr>
          <w:rFonts w:hint="default" w:ascii="Times New Roman" w:hAnsi="Times New Roman" w:eastAsia="楷体" w:cs="Times New Roman"/>
          <w:bCs/>
        </w:rPr>
        <w:t xml:space="preserve"> </w:t>
      </w:r>
      <w:r>
        <w:rPr>
          <w:rFonts w:ascii="楷体" w:hAnsi="楷体" w:eastAsia="楷体" w:cs="Times New Roman"/>
          <w:bCs/>
        </w:rPr>
        <w:t xml:space="preserve"> </w:t>
      </w:r>
      <w:r>
        <w:rPr>
          <w:rFonts w:hint="eastAsia" w:ascii="楷体" w:hAnsi="楷体" w:eastAsia="楷体" w:cs="Times New Roman"/>
          <w:bCs/>
        </w:rPr>
        <w:t>吊脚桩加固设计方法示意图</w:t>
      </w:r>
    </w:p>
    <w:p w14:paraId="4581A3B9">
      <w:pPr>
        <w:rPr>
          <w:rFonts w:cs="Times New Roman" w:eastAsiaTheme="minorEastAsia"/>
          <w:color w:val="000000"/>
        </w:rPr>
      </w:pPr>
      <w:r>
        <w:rPr>
          <w:rFonts w:cs="Times New Roman" w:eastAsiaTheme="minorEastAsia"/>
          <w:b/>
        </w:rPr>
        <w:t>5.</w:t>
      </w:r>
      <w:r>
        <w:rPr>
          <w:rFonts w:hint="eastAsia" w:cs="Times New Roman" w:eastAsiaTheme="minorEastAsia"/>
          <w:b/>
        </w:rPr>
        <w:t>8.7</w:t>
      </w:r>
      <w:r>
        <w:rPr>
          <w:rFonts w:cs="Times New Roman" w:eastAsiaTheme="minorEastAsia"/>
          <w:color w:val="000000"/>
        </w:rPr>
        <w:t xml:space="preserve"> </w:t>
      </w:r>
      <w:r>
        <w:rPr>
          <w:rFonts w:cs="Times New Roman" w:eastAsiaTheme="minorEastAsia"/>
          <w:color w:val="000000"/>
          <w:spacing w:val="2"/>
        </w:rPr>
        <w:t>新增锚杆</w:t>
      </w:r>
      <w:r>
        <w:rPr>
          <w:rFonts w:cs="Times New Roman" w:eastAsiaTheme="minorEastAsia"/>
          <w:color w:val="000000"/>
        </w:rPr>
        <w:t>（索）</w:t>
      </w:r>
      <w:r>
        <w:rPr>
          <w:rFonts w:cs="Times New Roman" w:eastAsiaTheme="minorEastAsia"/>
          <w:color w:val="000000"/>
          <w:spacing w:val="2"/>
        </w:rPr>
        <w:t>锚固于既有基坑混凝土冠梁或腰梁时，冠梁或腰梁应按</w:t>
      </w:r>
      <w:r>
        <w:rPr>
          <w:rFonts w:cs="Times New Roman" w:eastAsiaTheme="minorEastAsia"/>
          <w:color w:val="000000"/>
        </w:rPr>
        <w:t>受弯构件复核承载力，不满足要求时应进行加固处理。</w:t>
      </w:r>
    </w:p>
    <w:p w14:paraId="2ABBE377">
      <w:pPr>
        <w:rPr>
          <w:rFonts w:cs="Times New Roman" w:eastAsiaTheme="minorEastAsia"/>
          <w:color w:val="000000"/>
          <w:spacing w:val="2"/>
        </w:rPr>
      </w:pPr>
      <w:r>
        <w:rPr>
          <w:rFonts w:cs="Times New Roman" w:eastAsiaTheme="minorEastAsia"/>
          <w:b/>
        </w:rPr>
        <w:t>5.</w:t>
      </w:r>
      <w:r>
        <w:rPr>
          <w:rFonts w:hint="eastAsia" w:cs="Times New Roman" w:eastAsiaTheme="minorEastAsia"/>
          <w:b/>
        </w:rPr>
        <w:t>8.8</w:t>
      </w:r>
      <w:r>
        <w:rPr>
          <w:rFonts w:cs="Times New Roman" w:eastAsiaTheme="minorEastAsia"/>
          <w:color w:val="000000"/>
        </w:rPr>
        <w:t xml:space="preserve"> </w:t>
      </w:r>
      <w:r>
        <w:rPr>
          <w:rFonts w:cs="Times New Roman" w:eastAsiaTheme="minorEastAsia"/>
          <w:color w:val="000000"/>
          <w:spacing w:val="2"/>
        </w:rPr>
        <w:t>原有锚杆</w:t>
      </w:r>
      <w:r>
        <w:rPr>
          <w:rFonts w:cs="Times New Roman" w:eastAsiaTheme="minorEastAsia"/>
          <w:color w:val="000000"/>
        </w:rPr>
        <w:t>（索）</w:t>
      </w:r>
      <w:r>
        <w:rPr>
          <w:rFonts w:cs="Times New Roman" w:eastAsiaTheme="minorEastAsia"/>
          <w:color w:val="000000"/>
          <w:spacing w:val="2"/>
        </w:rPr>
        <w:t>外锚头出现锈蚀或保护层开裂时，应按国家现行标准的有关规定进行修复。</w:t>
      </w:r>
    </w:p>
    <w:p w14:paraId="36A4AD60">
      <w:pPr>
        <w:pStyle w:val="3"/>
        <w:rPr>
          <w:rFonts w:ascii="Times New Roman" w:hAnsi="Times New Roman" w:cs="Times New Roman" w:eastAsiaTheme="minorEastAsia"/>
          <w:sz w:val="28"/>
          <w:szCs w:val="28"/>
        </w:rPr>
      </w:pPr>
      <w:bookmarkStart w:id="84" w:name="_Toc21806"/>
      <w:r>
        <w:rPr>
          <w:rFonts w:hint="eastAsia" w:ascii="Times New Roman" w:hAnsi="Times New Roman" w:cs="Times New Roman" w:eastAsiaTheme="minorEastAsia"/>
          <w:sz w:val="28"/>
          <w:szCs w:val="28"/>
          <w:lang w:val="en-US" w:eastAsia="zh-CN"/>
        </w:rPr>
        <w:t>5</w:t>
      </w:r>
      <w:r>
        <w:rPr>
          <w:rFonts w:hint="eastAsia" w:ascii="Times New Roman" w:hAnsi="Times New Roman" w:cs="Times New Roman" w:eastAsiaTheme="minorEastAsia"/>
          <w:sz w:val="28"/>
          <w:szCs w:val="28"/>
        </w:rPr>
        <w:t>.9</w:t>
      </w:r>
      <w:r>
        <w:rPr>
          <w:rFonts w:ascii="Times New Roman" w:hAnsi="Times New Roman" w:cs="Times New Roman" w:eastAsiaTheme="minorEastAsia"/>
          <w:sz w:val="28"/>
          <w:szCs w:val="28"/>
        </w:rPr>
        <w:t>灌注桩加固</w:t>
      </w:r>
      <w:bookmarkEnd w:id="84"/>
    </w:p>
    <w:p w14:paraId="0EA6811F">
      <w:pPr>
        <w:rPr>
          <w:rFonts w:cs="Times New Roman" w:eastAsiaTheme="minorEastAsia"/>
          <w:color w:val="000000"/>
        </w:rPr>
      </w:pPr>
      <w:r>
        <w:rPr>
          <w:rFonts w:cs="Times New Roman" w:eastAsiaTheme="minorEastAsia"/>
          <w:b/>
        </w:rPr>
        <w:t>5.</w:t>
      </w:r>
      <w:r>
        <w:rPr>
          <w:rFonts w:hint="eastAsia" w:cs="Times New Roman" w:eastAsiaTheme="minorEastAsia"/>
          <w:b/>
        </w:rPr>
        <w:t>9.1</w:t>
      </w:r>
      <w:r>
        <w:rPr>
          <w:rFonts w:cs="Times New Roman" w:eastAsiaTheme="minorEastAsia"/>
          <w:color w:val="000000"/>
        </w:rPr>
        <w:t xml:space="preserve"> </w:t>
      </w:r>
      <w:r>
        <w:rPr>
          <w:rFonts w:cs="Times New Roman" w:eastAsiaTheme="minorEastAsia"/>
          <w:color w:val="000000"/>
          <w:spacing w:val="2"/>
        </w:rPr>
        <w:t>灌注桩加固法适用于</w:t>
      </w:r>
      <w:bookmarkStart w:id="85" w:name="OLE_LINK4"/>
      <w:r>
        <w:rPr>
          <w:rFonts w:cs="Times New Roman" w:eastAsiaTheme="minorEastAsia"/>
          <w:color w:val="000000"/>
          <w:spacing w:val="2"/>
        </w:rPr>
        <w:t>既有基坑及支护结构的加固</w:t>
      </w:r>
      <w:bookmarkEnd w:id="85"/>
      <w:r>
        <w:rPr>
          <w:rFonts w:cs="Times New Roman" w:eastAsiaTheme="minorEastAsia"/>
          <w:color w:val="000000"/>
          <w:spacing w:val="2"/>
        </w:rPr>
        <w:t>。</w:t>
      </w:r>
      <w:r>
        <w:rPr>
          <w:rFonts w:cs="Times New Roman" w:eastAsiaTheme="minorEastAsia"/>
          <w:color w:val="000000"/>
        </w:rPr>
        <w:t>对既有支护桩不满足安全要求时，可采用新增灌注桩、接桩或增大桩身截面等方法加固。</w:t>
      </w:r>
    </w:p>
    <w:p w14:paraId="7F997A9B">
      <w:pPr>
        <w:rPr>
          <w:rFonts w:cs="Times New Roman" w:eastAsiaTheme="minorEastAsia"/>
        </w:rPr>
      </w:pPr>
      <w:r>
        <w:rPr>
          <w:rFonts w:cs="Times New Roman" w:eastAsiaTheme="minorEastAsia"/>
          <w:b/>
        </w:rPr>
        <w:t>5.</w:t>
      </w:r>
      <w:r>
        <w:rPr>
          <w:rFonts w:hint="eastAsia" w:cs="Times New Roman" w:eastAsiaTheme="minorEastAsia"/>
          <w:b/>
        </w:rPr>
        <w:t>9.2</w:t>
      </w:r>
      <w:r>
        <w:rPr>
          <w:rFonts w:cs="Times New Roman" w:eastAsiaTheme="minorEastAsia"/>
        </w:rPr>
        <w:t xml:space="preserve"> </w:t>
      </w:r>
      <w:r>
        <w:rPr>
          <w:rFonts w:cs="Times New Roman" w:eastAsiaTheme="minorEastAsia"/>
          <w:spacing w:val="2"/>
        </w:rPr>
        <w:t>灌注桩加固布置应满足下列要求</w:t>
      </w:r>
      <w:r>
        <w:rPr>
          <w:rFonts w:cs="Times New Roman" w:eastAsiaTheme="minorEastAsia"/>
        </w:rPr>
        <w:t>：</w:t>
      </w:r>
    </w:p>
    <w:p w14:paraId="02F9A632">
      <w:pPr>
        <w:ind w:firstLine="360" w:firstLineChars="150"/>
        <w:rPr>
          <w:rFonts w:cs="Times New Roman" w:eastAsiaTheme="minorEastAsia"/>
          <w:b w:val="0"/>
          <w:bCs/>
        </w:rPr>
      </w:pPr>
      <w:r>
        <w:rPr>
          <w:rFonts w:cs="Times New Roman" w:eastAsiaTheme="minorEastAsia"/>
          <w:b w:val="0"/>
          <w:bCs/>
        </w:rPr>
        <w:t>1  既有基坑支护形式为竖向结构不满足基坑稳定性要求时，可在基坑外侧稳定区域增设灌注桩，新增灌注桩应与既有支护桩设置可靠的连接构件；</w:t>
      </w:r>
    </w:p>
    <w:p w14:paraId="2CDC9663">
      <w:pPr>
        <w:ind w:firstLine="360" w:firstLineChars="150"/>
        <w:rPr>
          <w:rFonts w:cs="Times New Roman" w:eastAsiaTheme="minorEastAsia"/>
          <w:b w:val="0"/>
          <w:bCs/>
        </w:rPr>
      </w:pPr>
      <w:r>
        <w:rPr>
          <w:rFonts w:cs="Times New Roman" w:eastAsiaTheme="minorEastAsia"/>
          <w:b w:val="0"/>
          <w:bCs/>
        </w:rPr>
        <w:t>2  当基坑外侧空间受限或因基坑加深超过既有竖向结构嵌固段长度时，可在既有基坑内侧新增灌注桩，并与预应力锚杆（索）、内支撑加固法联合使用；</w:t>
      </w:r>
    </w:p>
    <w:p w14:paraId="0C3F8D48">
      <w:pPr>
        <w:ind w:firstLine="360" w:firstLineChars="150"/>
        <w:rPr>
          <w:rFonts w:cs="Times New Roman" w:eastAsiaTheme="minorEastAsia"/>
          <w:b w:val="0"/>
          <w:bCs/>
        </w:rPr>
      </w:pPr>
      <w:bookmarkStart w:id="86" w:name="OLE_LINK20"/>
      <w:r>
        <w:rPr>
          <w:rFonts w:cs="Times New Roman" w:eastAsiaTheme="minorEastAsia"/>
          <w:b w:val="0"/>
          <w:bCs/>
        </w:rPr>
        <w:t>3  支护形式为坡率法或土钉墙的既有基坑，当不满足基坑稳定性要求时，可在坡底、坡面或放坡平台上增设灌注桩。</w:t>
      </w:r>
    </w:p>
    <w:bookmarkEnd w:id="86"/>
    <w:p w14:paraId="50EE5065">
      <w:pPr>
        <w:rPr>
          <w:rFonts w:eastAsia="楷体" w:cs="Times New Roman"/>
          <w:u w:val="single"/>
        </w:rPr>
      </w:pPr>
      <w:r>
        <w:rPr>
          <w:rFonts w:eastAsia="楷体" w:cs="Times New Roman"/>
          <w:u w:val="single"/>
        </w:rPr>
        <w:t>【条文说明】本条第1款，新增设灌注桩布设的位置要充分考虑基坑开挖变更方案、既有基坑支护结构形式、基坑可能发生的破坏模式、支护结构抗滑移、抗倾覆和强度等要求。在基坑外侧新增桩能与原支护体系中的支护桩刚性连接达到共同受力效果，形成双排桩空间刚架结构（图3）；</w:t>
      </w:r>
    </w:p>
    <w:p w14:paraId="350B7400">
      <w:pPr>
        <w:ind w:firstLine="480" w:firstLineChars="200"/>
        <w:jc w:val="center"/>
        <w:rPr>
          <w:rFonts w:eastAsia="楷体" w:cs="Times New Roman"/>
          <w:u w:val="single"/>
        </w:rPr>
      </w:pPr>
      <w:r>
        <w:rPr>
          <w:rFonts w:cs="Times New Roman"/>
        </w:rPr>
        <w:drawing>
          <wp:inline distT="0" distB="0" distL="0" distR="0">
            <wp:extent cx="3435350" cy="1741170"/>
            <wp:effectExtent l="19050" t="19050" r="12700" b="11430"/>
            <wp:docPr id="644433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433495" name="图片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456786" cy="1752114"/>
                    </a:xfrm>
                    <a:prstGeom prst="rect">
                      <a:avLst/>
                    </a:prstGeom>
                    <a:ln>
                      <a:solidFill>
                        <a:schemeClr val="tx1"/>
                      </a:solidFill>
                    </a:ln>
                  </pic:spPr>
                </pic:pic>
              </a:graphicData>
            </a:graphic>
          </wp:inline>
        </w:drawing>
      </w:r>
    </w:p>
    <w:p w14:paraId="1BCF3416">
      <w:pPr>
        <w:jc w:val="center"/>
        <w:rPr>
          <w:rFonts w:eastAsia="楷体" w:cs="Times New Roman"/>
          <w:u w:val="single"/>
        </w:rPr>
      </w:pPr>
      <w:r>
        <w:rPr>
          <w:rFonts w:eastAsia="楷体" w:cs="Times New Roman"/>
          <w:u w:val="single"/>
        </w:rPr>
        <w:t>图3  新旧桩间通过连梁连接</w:t>
      </w:r>
    </w:p>
    <w:p w14:paraId="1FBE8B99">
      <w:pPr>
        <w:ind w:firstLine="480" w:firstLineChars="200"/>
        <w:rPr>
          <w:rFonts w:eastAsia="楷体" w:cs="Times New Roman"/>
          <w:u w:val="single"/>
        </w:rPr>
      </w:pPr>
      <w:r>
        <w:rPr>
          <w:rFonts w:eastAsia="楷体" w:cs="Times New Roman"/>
          <w:u w:val="single"/>
        </w:rPr>
        <w:t>第2款，因基坑加深超过既有支护桩嵌固长度是指基坑开挖后，原有支护桩已无嵌固段，桩底标高已高于加深基坑底标高，如果将原桩破除，将造成很大浪费，这时可充分利用原有支护桩，在基坑内侧紧贴原桩搭接新增灌注桩，并配合增设预应力锚索形成新旧结合的加固支护体系（图4）。</w:t>
      </w:r>
    </w:p>
    <w:p w14:paraId="45ADC384">
      <w:pPr>
        <w:jc w:val="center"/>
        <w:rPr>
          <w:rFonts w:eastAsia="楷体" w:cs="Times New Roman"/>
          <w:u w:val="single"/>
        </w:rPr>
      </w:pPr>
      <w:r>
        <w:drawing>
          <wp:inline distT="0" distB="0" distL="0" distR="0">
            <wp:extent cx="2315845" cy="2468245"/>
            <wp:effectExtent l="19050" t="19050" r="27305" b="27305"/>
            <wp:docPr id="13580675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67582" name="图片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24741" cy="2477708"/>
                    </a:xfrm>
                    <a:prstGeom prst="rect">
                      <a:avLst/>
                    </a:prstGeom>
                    <a:ln>
                      <a:solidFill>
                        <a:schemeClr val="tx1"/>
                      </a:solidFill>
                    </a:ln>
                  </pic:spPr>
                </pic:pic>
              </a:graphicData>
            </a:graphic>
          </wp:inline>
        </w:drawing>
      </w:r>
    </w:p>
    <w:p w14:paraId="79D59F1D">
      <w:pPr>
        <w:jc w:val="center"/>
        <w:rPr>
          <w:rFonts w:eastAsia="楷体" w:cs="Times New Roman"/>
          <w:u w:val="single"/>
        </w:rPr>
      </w:pPr>
      <w:r>
        <w:rPr>
          <w:rFonts w:eastAsia="楷体" w:cs="Times New Roman"/>
          <w:u w:val="single"/>
        </w:rPr>
        <w:t>图4  新旧桩搭接加固支护体系</w:t>
      </w:r>
    </w:p>
    <w:p w14:paraId="556AD68A">
      <w:pPr>
        <w:ind w:firstLine="480" w:firstLineChars="200"/>
        <w:rPr>
          <w:rFonts w:eastAsia="楷体" w:cs="Times New Roman"/>
          <w:u w:val="single"/>
        </w:rPr>
      </w:pPr>
      <w:r>
        <w:rPr>
          <w:rFonts w:eastAsia="楷体" w:cs="Times New Roman"/>
          <w:u w:val="single"/>
        </w:rPr>
        <w:t>第3款，对采用坡率法或土钉墙的既有基坑，因基坑变形或基坑加深导致不满足安全要求时，可在坡底、坡面或放坡平台上增设桩，并配合增设预应力锚索等方式加固（图5）。</w:t>
      </w:r>
    </w:p>
    <w:p w14:paraId="44FB5B8D">
      <w:pPr>
        <w:jc w:val="center"/>
        <w:rPr>
          <w:rFonts w:eastAsia="楷体" w:cs="Times New Roman"/>
          <w:u w:val="single"/>
        </w:rPr>
      </w:pPr>
      <w:r>
        <w:rPr>
          <w:rFonts w:cs="Times New Roman"/>
        </w:rPr>
        <w:drawing>
          <wp:inline distT="0" distB="0" distL="0" distR="0">
            <wp:extent cx="4529455" cy="2279650"/>
            <wp:effectExtent l="19050" t="19050" r="23495" b="25400"/>
            <wp:docPr id="4302975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97569" name="图片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542288" cy="2286456"/>
                    </a:xfrm>
                    <a:prstGeom prst="rect">
                      <a:avLst/>
                    </a:prstGeom>
                    <a:ln>
                      <a:solidFill>
                        <a:schemeClr val="tx1"/>
                      </a:solidFill>
                    </a:ln>
                  </pic:spPr>
                </pic:pic>
              </a:graphicData>
            </a:graphic>
          </wp:inline>
        </w:drawing>
      </w:r>
    </w:p>
    <w:p w14:paraId="2725CA5C">
      <w:pPr>
        <w:jc w:val="center"/>
        <w:rPr>
          <w:rFonts w:eastAsia="楷体" w:cs="Times New Roman"/>
          <w:u w:val="single"/>
        </w:rPr>
      </w:pPr>
      <w:r>
        <w:rPr>
          <w:rFonts w:eastAsia="楷体" w:cs="Times New Roman"/>
          <w:u w:val="single"/>
        </w:rPr>
        <w:t>图5  新增桩与既有土钉墙加固支护体系</w:t>
      </w:r>
    </w:p>
    <w:p w14:paraId="4F149D79">
      <w:pPr>
        <w:rPr>
          <w:rFonts w:cs="Times New Roman" w:eastAsiaTheme="minorEastAsia"/>
        </w:rPr>
      </w:pPr>
      <w:r>
        <w:rPr>
          <w:rFonts w:cs="Times New Roman" w:eastAsiaTheme="minorEastAsia"/>
          <w:b/>
        </w:rPr>
        <w:t>5.</w:t>
      </w:r>
      <w:r>
        <w:rPr>
          <w:rFonts w:hint="eastAsia" w:cs="Times New Roman" w:eastAsiaTheme="minorEastAsia"/>
          <w:b/>
        </w:rPr>
        <w:t>9.3</w:t>
      </w:r>
      <w:r>
        <w:rPr>
          <w:rFonts w:cs="Times New Roman" w:eastAsiaTheme="minorEastAsia"/>
        </w:rPr>
        <w:t xml:space="preserve"> </w:t>
      </w:r>
      <w:r>
        <w:rPr>
          <w:rFonts w:cs="Times New Roman" w:eastAsiaTheme="minorEastAsia"/>
          <w:spacing w:val="2"/>
        </w:rPr>
        <w:t>灌注桩加固法设计应符合下列规定：</w:t>
      </w:r>
    </w:p>
    <w:p w14:paraId="0474DE4F">
      <w:pPr>
        <w:ind w:firstLine="360" w:firstLineChars="150"/>
        <w:rPr>
          <w:rFonts w:cs="Times New Roman" w:eastAsiaTheme="minorEastAsia"/>
          <w:b w:val="0"/>
          <w:bCs w:val="0"/>
        </w:rPr>
      </w:pPr>
      <w:r>
        <w:rPr>
          <w:rFonts w:cs="Times New Roman" w:eastAsiaTheme="minorEastAsia"/>
          <w:b w:val="0"/>
          <w:bCs w:val="0"/>
        </w:rPr>
        <w:t>1  新增灌注桩的布置、桩径、桩长应根据基坑工程的稳定性验算分析确定；</w:t>
      </w:r>
    </w:p>
    <w:p w14:paraId="7CB06188">
      <w:pPr>
        <w:ind w:firstLine="360" w:firstLineChars="150"/>
        <w:rPr>
          <w:rFonts w:cs="Times New Roman" w:eastAsiaTheme="minorEastAsia"/>
          <w:b w:val="0"/>
          <w:bCs w:val="0"/>
        </w:rPr>
      </w:pPr>
      <w:bookmarkStart w:id="87" w:name="OLE_LINK19"/>
      <w:r>
        <w:rPr>
          <w:rFonts w:cs="Times New Roman" w:eastAsiaTheme="minorEastAsia"/>
          <w:b w:val="0"/>
          <w:bCs w:val="0"/>
        </w:rPr>
        <w:t xml:space="preserve">2  </w:t>
      </w:r>
      <w:bookmarkStart w:id="88" w:name="OLE_LINK22"/>
      <w:r>
        <w:rPr>
          <w:rFonts w:cs="Times New Roman" w:eastAsiaTheme="minorEastAsia"/>
          <w:b w:val="0"/>
          <w:bCs w:val="0"/>
        </w:rPr>
        <w:t>新增灌注桩</w:t>
      </w:r>
      <w:bookmarkEnd w:id="88"/>
      <w:r>
        <w:rPr>
          <w:rFonts w:cs="Times New Roman" w:eastAsiaTheme="minorEastAsia"/>
          <w:b w:val="0"/>
          <w:bCs w:val="0"/>
        </w:rPr>
        <w:t>布置于基坑外侧时，可按原桩间距等距或间隔布置，新增桩与原支护桩间距不宜小于1倍桩径；新增桩长宜大于原桩桩长；</w:t>
      </w:r>
      <w:bookmarkEnd w:id="87"/>
    </w:p>
    <w:p w14:paraId="09328C52">
      <w:pPr>
        <w:ind w:firstLine="360" w:firstLineChars="150"/>
        <w:rPr>
          <w:rFonts w:cs="Times New Roman" w:eastAsiaTheme="minorEastAsia"/>
          <w:b w:val="0"/>
          <w:bCs w:val="0"/>
        </w:rPr>
      </w:pPr>
      <w:r>
        <w:rPr>
          <w:rFonts w:cs="Times New Roman" w:eastAsiaTheme="minorEastAsia"/>
          <w:b w:val="0"/>
          <w:bCs w:val="0"/>
        </w:rPr>
        <w:t>3  新增灌注桩布置于基坑内侧时，宜设于原支护桩前，并按原桩间距等距布置；新旧桩搭接长度不宜小于4</w:t>
      </w:r>
      <w:r>
        <w:rPr>
          <w:rFonts w:cs="Times New Roman" w:eastAsiaTheme="minorEastAsia"/>
          <w:b w:val="0"/>
          <w:bCs w:val="0"/>
          <w:i/>
          <w:iCs/>
        </w:rPr>
        <w:t>d</w:t>
      </w:r>
      <w:r>
        <w:rPr>
          <w:rFonts w:cs="Times New Roman" w:eastAsiaTheme="minorEastAsia"/>
          <w:b w:val="0"/>
          <w:bCs w:val="0"/>
        </w:rPr>
        <w:t>（</w:t>
      </w:r>
      <w:r>
        <w:rPr>
          <w:rFonts w:cs="Times New Roman" w:eastAsiaTheme="minorEastAsia"/>
          <w:b w:val="0"/>
          <w:bCs w:val="0"/>
          <w:i/>
          <w:iCs/>
        </w:rPr>
        <w:t>d</w:t>
      </w:r>
      <w:r>
        <w:rPr>
          <w:rFonts w:cs="Times New Roman" w:eastAsiaTheme="minorEastAsia"/>
          <w:b w:val="0"/>
          <w:bCs w:val="0"/>
        </w:rPr>
        <w:t>为原支护桩直径），且不小于4m；</w:t>
      </w:r>
    </w:p>
    <w:p w14:paraId="5B5BC598">
      <w:pPr>
        <w:ind w:firstLine="360" w:firstLineChars="150"/>
        <w:rPr>
          <w:rFonts w:cs="Times New Roman" w:eastAsiaTheme="minorEastAsia"/>
          <w:b w:val="0"/>
          <w:bCs w:val="0"/>
        </w:rPr>
      </w:pPr>
      <w:r>
        <w:rPr>
          <w:rFonts w:cs="Times New Roman" w:eastAsiaTheme="minorEastAsia"/>
          <w:b w:val="0"/>
          <w:bCs w:val="0"/>
        </w:rPr>
        <w:t>4  新增灌注桩顶部应设置冠梁，并与原支护桩身或冠梁设置可靠的连接构件；</w:t>
      </w:r>
    </w:p>
    <w:p w14:paraId="05716FCD">
      <w:pPr>
        <w:ind w:firstLine="360" w:firstLineChars="150"/>
        <w:rPr>
          <w:rFonts w:cs="Times New Roman" w:eastAsiaTheme="minorEastAsia"/>
          <w:b w:val="0"/>
          <w:bCs w:val="0"/>
        </w:rPr>
      </w:pPr>
      <w:r>
        <w:rPr>
          <w:rFonts w:cs="Times New Roman" w:eastAsiaTheme="minorEastAsia"/>
          <w:b w:val="0"/>
          <w:bCs w:val="0"/>
        </w:rPr>
        <w:t>5  当新增灌注桩紧贴原桩布置时，新增桩径不宜小于原桩直径，且新旧桩之间间隙应采用高压</w:t>
      </w:r>
      <w:r>
        <w:rPr>
          <w:rFonts w:hint="eastAsia" w:cs="Times New Roman" w:eastAsiaTheme="minorEastAsia"/>
          <w:b w:val="0"/>
          <w:bCs w:val="0"/>
        </w:rPr>
        <w:t>喷射注浆或细石混凝土等措施填实</w:t>
      </w:r>
      <w:r>
        <w:rPr>
          <w:rFonts w:cs="Times New Roman" w:eastAsiaTheme="minorEastAsia"/>
          <w:b w:val="0"/>
          <w:bCs w:val="0"/>
        </w:rPr>
        <w:t>；</w:t>
      </w:r>
    </w:p>
    <w:p w14:paraId="52AC31C3">
      <w:pPr>
        <w:ind w:firstLine="360" w:firstLineChars="150"/>
        <w:rPr>
          <w:rFonts w:cs="Times New Roman" w:eastAsiaTheme="minorEastAsia"/>
          <w:b w:val="0"/>
          <w:bCs w:val="0"/>
        </w:rPr>
      </w:pPr>
      <w:r>
        <w:rPr>
          <w:rFonts w:cs="Times New Roman" w:eastAsiaTheme="minorEastAsia"/>
          <w:b w:val="0"/>
          <w:bCs w:val="0"/>
        </w:rPr>
        <w:t>6  新增灌注桩设置于坡脚时，边坡岩土体不应越过桩顶或从桩间滑出；</w:t>
      </w:r>
    </w:p>
    <w:p w14:paraId="281F5C11">
      <w:pPr>
        <w:ind w:firstLine="360" w:firstLineChars="150"/>
        <w:rPr>
          <w:rFonts w:cs="Times New Roman" w:eastAsiaTheme="minorEastAsia"/>
          <w:b w:val="0"/>
          <w:bCs w:val="0"/>
        </w:rPr>
      </w:pPr>
      <w:bookmarkStart w:id="89" w:name="OLE_LINK2"/>
      <w:r>
        <w:rPr>
          <w:rFonts w:cs="Times New Roman" w:eastAsiaTheme="minorEastAsia"/>
          <w:b w:val="0"/>
          <w:bCs w:val="0"/>
        </w:rPr>
        <w:t xml:space="preserve">7  </w:t>
      </w:r>
      <w:bookmarkEnd w:id="89"/>
      <w:r>
        <w:rPr>
          <w:rFonts w:cs="Times New Roman" w:eastAsiaTheme="minorEastAsia"/>
          <w:b w:val="0"/>
          <w:bCs w:val="0"/>
        </w:rPr>
        <w:t>新增灌注桩的设置不应对既有基坑产生扰动和破坏；</w:t>
      </w:r>
    </w:p>
    <w:p w14:paraId="4951D8BB">
      <w:pPr>
        <w:ind w:firstLine="360" w:firstLineChars="150"/>
        <w:rPr>
          <w:rFonts w:cs="Times New Roman" w:eastAsiaTheme="minorEastAsia"/>
        </w:rPr>
      </w:pPr>
      <w:r>
        <w:rPr>
          <w:rFonts w:cs="Times New Roman" w:eastAsiaTheme="minorEastAsia"/>
          <w:b w:val="0"/>
          <w:bCs w:val="0"/>
        </w:rPr>
        <w:t>8  由于基坑加深出现吊脚桩时，桩端压应力应按本标准第5.2.1</w:t>
      </w:r>
      <w:r>
        <w:rPr>
          <w:rFonts w:hint="eastAsia" w:cs="Times New Roman" w:eastAsiaTheme="minorEastAsia"/>
          <w:b w:val="0"/>
          <w:bCs w:val="0"/>
        </w:rPr>
        <w:t>3</w:t>
      </w:r>
      <w:r>
        <w:rPr>
          <w:rFonts w:cs="Times New Roman" w:eastAsiaTheme="minorEastAsia"/>
          <w:b w:val="0"/>
          <w:bCs w:val="0"/>
        </w:rPr>
        <w:t>条的规定验算地基承载力。</w:t>
      </w:r>
    </w:p>
    <w:p w14:paraId="3538EB71">
      <w:pPr>
        <w:rPr>
          <w:rFonts w:eastAsia="楷体" w:cs="Times New Roman"/>
          <w:u w:val="single"/>
        </w:rPr>
      </w:pPr>
      <w:r>
        <w:rPr>
          <w:rFonts w:eastAsia="楷体" w:cs="Times New Roman"/>
          <w:u w:val="single"/>
        </w:rPr>
        <w:t>【条文说明】本标准广泛搜集了西南地区及全国各省大量的基坑加固成功案例，并对这些案例加固技术进行了系统的整理与分类，将其实践经验总结为本条款。实践表明，此类加固技术应用效果良好，在节省造价、减少资源浪费、缩短工期方面发挥了重要作用，为我省提供了较好的加固技术思路。</w:t>
      </w:r>
    </w:p>
    <w:p w14:paraId="28ECBE8C">
      <w:pPr>
        <w:ind w:firstLine="480" w:firstLineChars="200"/>
        <w:rPr>
          <w:rFonts w:eastAsia="楷体" w:cs="Times New Roman"/>
          <w:u w:val="single"/>
        </w:rPr>
      </w:pPr>
      <w:bookmarkStart w:id="90" w:name="OLE_LINK23"/>
      <w:r>
        <w:rPr>
          <w:rFonts w:eastAsia="楷体" w:cs="Times New Roman"/>
          <w:u w:val="single"/>
        </w:rPr>
        <w:t>本条第2款，新增灌注桩当布置于基坑外侧时，</w:t>
      </w:r>
      <w:bookmarkEnd w:id="90"/>
      <w:r>
        <w:rPr>
          <w:rFonts w:eastAsia="楷体" w:cs="Times New Roman"/>
          <w:u w:val="single"/>
        </w:rPr>
        <w:t>新增桩可与原支护桩呈梅花形、等距对称、隔桩等方式布置，新增桩长宜大于原桩桩长，形成长短桩相结合的围护结构，其中长桩主要起抗倾覆和抗隆起作用，这种长短桩结合加固形式可满足抗倾覆、抗隆起要求。</w:t>
      </w:r>
    </w:p>
    <w:p w14:paraId="0CCE1F11">
      <w:pPr>
        <w:ind w:firstLine="480" w:firstLineChars="200"/>
        <w:jc w:val="center"/>
        <w:rPr>
          <w:rFonts w:eastAsia="楷体" w:cs="Times New Roman"/>
          <w:u w:val="single"/>
        </w:rPr>
      </w:pPr>
      <w:r>
        <w:rPr>
          <w:rFonts w:cs="Times New Roman"/>
        </w:rPr>
        <w:drawing>
          <wp:inline distT="0" distB="0" distL="0" distR="0">
            <wp:extent cx="4210050" cy="2554605"/>
            <wp:effectExtent l="19050" t="19050" r="19050" b="17145"/>
            <wp:docPr id="19410014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01410" name="图片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233249" cy="2568695"/>
                    </a:xfrm>
                    <a:prstGeom prst="rect">
                      <a:avLst/>
                    </a:prstGeom>
                    <a:ln w="3175">
                      <a:solidFill>
                        <a:schemeClr val="tx1"/>
                      </a:solidFill>
                    </a:ln>
                  </pic:spPr>
                </pic:pic>
              </a:graphicData>
            </a:graphic>
          </wp:inline>
        </w:drawing>
      </w:r>
    </w:p>
    <w:p w14:paraId="10164315">
      <w:pPr>
        <w:ind w:firstLine="480" w:firstLineChars="200"/>
        <w:jc w:val="center"/>
        <w:rPr>
          <w:rFonts w:eastAsia="楷体" w:cs="Times New Roman"/>
          <w:u w:val="single"/>
        </w:rPr>
      </w:pPr>
      <w:r>
        <w:rPr>
          <w:rFonts w:eastAsia="楷体" w:cs="Times New Roman"/>
          <w:u w:val="single"/>
        </w:rPr>
        <w:t>图6  某项目长短桩结合加固方案</w:t>
      </w:r>
    </w:p>
    <w:p w14:paraId="59C638C9">
      <w:pPr>
        <w:ind w:firstLine="480" w:firstLineChars="200"/>
        <w:rPr>
          <w:rFonts w:cs="Times New Roman" w:eastAsiaTheme="minorEastAsia"/>
          <w:b/>
          <w:bCs/>
        </w:rPr>
      </w:pPr>
      <w:r>
        <w:rPr>
          <w:rFonts w:eastAsia="楷体" w:cs="Times New Roman"/>
          <w:u w:val="single"/>
        </w:rPr>
        <w:t>第3、4、5款，新增灌注桩当布置于基坑内侧时，宜正对设置在原支护桩之前，通过可靠的连接构件形成双排桩整体，同时新旧桩应通过计算保证足够的搭接长度，此构造要求目的是为了能使新旧桩之间更好传力支挡力，提升加固效果，当基坑稳定性仍然不满足要求时，可增设预应力锚索（图7）。</w:t>
      </w:r>
    </w:p>
    <w:p w14:paraId="7EBEA927">
      <w:pPr>
        <w:ind w:firstLine="360" w:firstLineChars="150"/>
        <w:jc w:val="center"/>
        <w:rPr>
          <w:rFonts w:cs="Times New Roman" w:eastAsiaTheme="minorEastAsia"/>
          <w:b/>
          <w:bCs/>
        </w:rPr>
      </w:pPr>
      <w:r>
        <w:rPr>
          <w:rFonts w:cs="Times New Roman"/>
        </w:rPr>
        <w:drawing>
          <wp:inline distT="0" distB="0" distL="0" distR="0">
            <wp:extent cx="4438650" cy="2279650"/>
            <wp:effectExtent l="19050" t="19050" r="19050" b="25400"/>
            <wp:docPr id="8783033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03320" name="图片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43751" cy="2282331"/>
                    </a:xfrm>
                    <a:prstGeom prst="rect">
                      <a:avLst/>
                    </a:prstGeom>
                    <a:ln w="3175">
                      <a:solidFill>
                        <a:schemeClr val="tx1"/>
                      </a:solidFill>
                    </a:ln>
                  </pic:spPr>
                </pic:pic>
              </a:graphicData>
            </a:graphic>
          </wp:inline>
        </w:drawing>
      </w:r>
    </w:p>
    <w:p w14:paraId="0D408DF7">
      <w:pPr>
        <w:ind w:firstLine="480" w:firstLineChars="200"/>
        <w:jc w:val="center"/>
        <w:rPr>
          <w:rFonts w:eastAsia="楷体" w:cs="Times New Roman"/>
          <w:u w:val="single"/>
        </w:rPr>
      </w:pPr>
      <w:r>
        <w:rPr>
          <w:rFonts w:eastAsia="楷体" w:cs="Times New Roman"/>
          <w:u w:val="single"/>
        </w:rPr>
        <w:t>图7  某项目长短桩结合加固方案</w:t>
      </w:r>
    </w:p>
    <w:p w14:paraId="5ED6BE6C">
      <w:pPr>
        <w:ind w:firstLine="360" w:firstLineChars="150"/>
        <w:rPr>
          <w:rFonts w:eastAsia="楷体" w:cs="Times New Roman"/>
          <w:u w:val="single"/>
        </w:rPr>
      </w:pPr>
      <w:r>
        <w:rPr>
          <w:rFonts w:eastAsia="楷体" w:cs="Times New Roman"/>
          <w:u w:val="single"/>
        </w:rPr>
        <w:t>如果基坑内外侧空间有限，新增灌注桩也可紧贴原支护桩布置，新增桩径一般宜大于原桩直径，这样可以使原有支护桩有较大的受压约束面积；新增灌注桩与原支护桩的间隙，通常采用高压旋喷桩填实形成加固体以保证新旧支护桩间侧向水土压力的有效传递（图8）。</w:t>
      </w:r>
    </w:p>
    <w:p w14:paraId="08A4C8A1">
      <w:pPr>
        <w:ind w:firstLine="360" w:firstLineChars="150"/>
        <w:jc w:val="center"/>
        <w:rPr>
          <w:rFonts w:cs="Times New Roman" w:eastAsiaTheme="minorEastAsia"/>
          <w:b/>
          <w:bCs/>
        </w:rPr>
      </w:pPr>
      <w:r>
        <w:rPr>
          <w:rFonts w:cs="Times New Roman"/>
        </w:rPr>
        <w:drawing>
          <wp:inline distT="0" distB="0" distL="0" distR="0">
            <wp:extent cx="2203450" cy="2912745"/>
            <wp:effectExtent l="19050" t="19050" r="25400" b="20955"/>
            <wp:docPr id="1434681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8177" name="图片 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217913" cy="2932233"/>
                    </a:xfrm>
                    <a:prstGeom prst="rect">
                      <a:avLst/>
                    </a:prstGeom>
                    <a:ln w="3175">
                      <a:solidFill>
                        <a:schemeClr val="tx1"/>
                      </a:solidFill>
                    </a:ln>
                  </pic:spPr>
                </pic:pic>
              </a:graphicData>
            </a:graphic>
          </wp:inline>
        </w:drawing>
      </w:r>
    </w:p>
    <w:p w14:paraId="4CC1838D">
      <w:pPr>
        <w:ind w:firstLine="360" w:firstLineChars="150"/>
        <w:jc w:val="center"/>
        <w:rPr>
          <w:rFonts w:eastAsia="楷体" w:cs="Times New Roman"/>
          <w:u w:val="single"/>
        </w:rPr>
      </w:pPr>
      <w:r>
        <w:rPr>
          <w:rFonts w:eastAsia="楷体" w:cs="Times New Roman"/>
          <w:u w:val="single"/>
        </w:rPr>
        <w:t>图8  某项目新旧桩紧贴加固方案</w:t>
      </w:r>
    </w:p>
    <w:p w14:paraId="6D2268AF">
      <w:pPr>
        <w:rPr>
          <w:rFonts w:cs="Times New Roman" w:eastAsiaTheme="minorEastAsia"/>
        </w:rPr>
      </w:pPr>
      <w:r>
        <w:rPr>
          <w:rFonts w:cs="Times New Roman" w:eastAsiaTheme="minorEastAsia"/>
          <w:b/>
        </w:rPr>
        <w:t>5.</w:t>
      </w:r>
      <w:r>
        <w:rPr>
          <w:rFonts w:hint="eastAsia" w:cs="Times New Roman" w:eastAsiaTheme="minorEastAsia"/>
          <w:b/>
        </w:rPr>
        <w:t>9.4</w:t>
      </w:r>
      <w:r>
        <w:rPr>
          <w:rFonts w:cs="Times New Roman" w:eastAsiaTheme="minorEastAsia"/>
        </w:rPr>
        <w:t xml:space="preserve"> 对新增</w:t>
      </w:r>
      <w:r>
        <w:rPr>
          <w:rFonts w:cs="Times New Roman" w:eastAsiaTheme="minorEastAsia"/>
          <w:spacing w:val="2"/>
        </w:rPr>
        <w:t>灌注桩后形成的复合支护结构计算，基坑稳定性应按复合支护总长度验算，新旧支护结构的内力及位移应按增量法计算，并符合本标准第5.2.1</w:t>
      </w:r>
      <w:r>
        <w:rPr>
          <w:rFonts w:hint="eastAsia" w:cs="Times New Roman" w:eastAsiaTheme="minorEastAsia"/>
          <w:spacing w:val="2"/>
        </w:rPr>
        <w:t>1</w:t>
      </w:r>
      <w:r>
        <w:rPr>
          <w:rFonts w:cs="Times New Roman" w:eastAsiaTheme="minorEastAsia"/>
          <w:spacing w:val="2"/>
        </w:rPr>
        <w:t>条～第5.2.1</w:t>
      </w:r>
      <w:r>
        <w:rPr>
          <w:rFonts w:hint="eastAsia" w:cs="Times New Roman" w:eastAsiaTheme="minorEastAsia"/>
          <w:spacing w:val="2"/>
        </w:rPr>
        <w:t>2</w:t>
      </w:r>
      <w:r>
        <w:rPr>
          <w:rFonts w:cs="Times New Roman" w:eastAsiaTheme="minorEastAsia"/>
          <w:spacing w:val="2"/>
        </w:rPr>
        <w:t>条的规定</w:t>
      </w:r>
      <w:r>
        <w:rPr>
          <w:rFonts w:cs="Times New Roman" w:eastAsiaTheme="minorEastAsia"/>
        </w:rPr>
        <w:t>。</w:t>
      </w:r>
    </w:p>
    <w:p w14:paraId="61ABCABA">
      <w:pPr>
        <w:rPr>
          <w:rFonts w:eastAsia="楷体" w:cs="Times New Roman"/>
          <w:spacing w:val="2"/>
          <w:u w:val="single"/>
        </w:rPr>
      </w:pPr>
      <w:r>
        <w:rPr>
          <w:rFonts w:eastAsia="楷体" w:cs="Times New Roman"/>
          <w:spacing w:val="2"/>
          <w:u w:val="single"/>
        </w:rPr>
        <w:t>【条文说明】在复合支护结构内力计算时，为充分考虑新增支护桩在复合支护中的作用,将新老结构间的高压旋喷桩填实加固体可简化为单向受压链杆，由于既有支护结构在基坑开挖过程中刚度已发生变化和产生位移，需按考虑“先期位移”的综合法（即增量法）进行计算。</w:t>
      </w:r>
    </w:p>
    <w:p w14:paraId="2010C670">
      <w:pPr>
        <w:ind w:firstLine="488" w:firstLineChars="200"/>
        <w:rPr>
          <w:rFonts w:eastAsia="楷体" w:cs="Times New Roman"/>
          <w:spacing w:val="2"/>
          <w:u w:val="single"/>
        </w:rPr>
      </w:pPr>
      <w:r>
        <w:rPr>
          <w:rFonts w:eastAsia="楷体" w:cs="Times New Roman"/>
          <w:spacing w:val="2"/>
          <w:u w:val="single"/>
        </w:rPr>
        <w:t xml:space="preserve">增量法的计算要求如下： </w:t>
      </w:r>
    </w:p>
    <w:p w14:paraId="5DB207E4">
      <w:pPr>
        <w:ind w:firstLine="488" w:firstLineChars="200"/>
        <w:rPr>
          <w:rFonts w:eastAsia="楷体" w:cs="Times New Roman"/>
          <w:spacing w:val="2"/>
          <w:u w:val="single"/>
        </w:rPr>
      </w:pPr>
      <w:r>
        <w:rPr>
          <w:rFonts w:eastAsia="楷体" w:cs="Times New Roman"/>
          <w:spacing w:val="2"/>
          <w:u w:val="single"/>
        </w:rPr>
        <w:t>1)根据每个施工阶段的结构和支承条件，计算出相对于前一个施工阶段的增量荷载作用下产生的桩身内力(位移)增量；</w:t>
      </w:r>
    </w:p>
    <w:p w14:paraId="7D0E6C21">
      <w:pPr>
        <w:ind w:firstLine="488" w:firstLineChars="200"/>
        <w:rPr>
          <w:rFonts w:eastAsia="楷体" w:cs="Times New Roman"/>
          <w:spacing w:val="2"/>
          <w:u w:val="single"/>
        </w:rPr>
      </w:pPr>
      <w:r>
        <w:rPr>
          <w:rFonts w:eastAsia="楷体" w:cs="Times New Roman"/>
          <w:spacing w:val="2"/>
          <w:u w:val="single"/>
        </w:rPr>
        <w:t>2)根据既有支护桩与新增桩的结合方式确定桩身不同施工阶段的实际内力与位移。</w:t>
      </w:r>
    </w:p>
    <w:p w14:paraId="62560AE5">
      <w:pPr>
        <w:pStyle w:val="3"/>
        <w:rPr>
          <w:rFonts w:ascii="Times New Roman" w:hAnsi="Times New Roman" w:cs="Times New Roman" w:eastAsiaTheme="minorEastAsia"/>
          <w:sz w:val="28"/>
          <w:szCs w:val="28"/>
        </w:rPr>
      </w:pPr>
      <w:bookmarkStart w:id="91" w:name="_Toc29298"/>
      <w:r>
        <w:rPr>
          <w:rFonts w:hint="eastAsia" w:ascii="Times New Roman" w:hAnsi="Times New Roman" w:cs="Times New Roman" w:eastAsiaTheme="minorEastAsia"/>
          <w:sz w:val="28"/>
          <w:szCs w:val="28"/>
          <w:lang w:val="en-US" w:eastAsia="zh-CN"/>
        </w:rPr>
        <w:t>5</w:t>
      </w:r>
      <w:r>
        <w:rPr>
          <w:rFonts w:hint="eastAsia" w:ascii="Times New Roman" w:hAnsi="Times New Roman" w:cs="Times New Roman" w:eastAsiaTheme="minorEastAsia"/>
          <w:sz w:val="28"/>
          <w:szCs w:val="28"/>
        </w:rPr>
        <w:t>.10</w:t>
      </w:r>
      <w:r>
        <w:rPr>
          <w:rFonts w:ascii="Times New Roman" w:hAnsi="Times New Roman" w:cs="Times New Roman" w:eastAsiaTheme="minorEastAsia"/>
          <w:sz w:val="28"/>
          <w:szCs w:val="28"/>
        </w:rPr>
        <w:t>内支撑加固法</w:t>
      </w:r>
      <w:bookmarkEnd w:id="91"/>
    </w:p>
    <w:p w14:paraId="19ECCFCE">
      <w:pPr>
        <w:rPr>
          <w:rFonts w:cs="Times New Roman" w:eastAsiaTheme="minorEastAsia"/>
        </w:rPr>
      </w:pPr>
      <w:r>
        <w:rPr>
          <w:rFonts w:cs="Times New Roman" w:eastAsiaTheme="minorEastAsia"/>
          <w:b/>
        </w:rPr>
        <w:t>5.</w:t>
      </w:r>
      <w:r>
        <w:rPr>
          <w:rFonts w:hint="eastAsia" w:cs="Times New Roman" w:eastAsiaTheme="minorEastAsia"/>
          <w:b/>
        </w:rPr>
        <w:t>10.1</w:t>
      </w:r>
      <w:r>
        <w:rPr>
          <w:rFonts w:cs="Times New Roman" w:eastAsiaTheme="minorEastAsia"/>
        </w:rPr>
        <w:t xml:space="preserve"> </w:t>
      </w:r>
      <w:r>
        <w:rPr>
          <w:rFonts w:cs="Times New Roman" w:eastAsiaTheme="minorEastAsia"/>
          <w:spacing w:val="2"/>
        </w:rPr>
        <w:t>内支撑加固法适用于有设置内支撑条件的基坑整体稳定和支护结构抗滑移、抗倾覆、支护结构及构件承载力等不满足要求时的加固。</w:t>
      </w:r>
    </w:p>
    <w:p w14:paraId="52880FAE">
      <w:pPr>
        <w:rPr>
          <w:rFonts w:cs="Times New Roman" w:eastAsiaTheme="minorEastAsia"/>
        </w:rPr>
      </w:pPr>
      <w:r>
        <w:rPr>
          <w:rFonts w:cs="Times New Roman" w:eastAsiaTheme="minorEastAsia"/>
          <w:b/>
        </w:rPr>
        <w:t>5.</w:t>
      </w:r>
      <w:r>
        <w:rPr>
          <w:rFonts w:hint="eastAsia" w:cs="Times New Roman" w:eastAsiaTheme="minorEastAsia"/>
          <w:b/>
        </w:rPr>
        <w:t>10.2</w:t>
      </w:r>
      <w:r>
        <w:rPr>
          <w:rFonts w:cs="Times New Roman" w:eastAsiaTheme="minorEastAsia"/>
        </w:rPr>
        <w:t xml:space="preserve"> 内支撑加固法应充分利用原有支护结构及基坑土体自身提供反力，与既有支护结构间采用水平对撑或角撑、竖向斜撑等支撑型式。</w:t>
      </w:r>
    </w:p>
    <w:p w14:paraId="678D7948">
      <w:pPr>
        <w:rPr>
          <w:rFonts w:cs="Times New Roman" w:eastAsiaTheme="minorEastAsia"/>
        </w:rPr>
      </w:pPr>
      <w:r>
        <w:rPr>
          <w:rFonts w:cs="Times New Roman" w:eastAsiaTheme="minorEastAsia"/>
          <w:b/>
        </w:rPr>
        <w:t>5.</w:t>
      </w:r>
      <w:r>
        <w:rPr>
          <w:rFonts w:hint="eastAsia" w:cs="Times New Roman" w:eastAsiaTheme="minorEastAsia"/>
          <w:b/>
        </w:rPr>
        <w:t>10.3</w:t>
      </w:r>
      <w:r>
        <w:rPr>
          <w:rFonts w:cs="Times New Roman" w:eastAsiaTheme="minorEastAsia"/>
        </w:rPr>
        <w:t xml:space="preserve"> </w:t>
      </w:r>
      <w:r>
        <w:rPr>
          <w:rFonts w:cs="Times New Roman" w:eastAsiaTheme="minorEastAsia"/>
          <w:spacing w:val="2"/>
        </w:rPr>
        <w:t>内支撑加固法设计应符合下列规定：</w:t>
      </w:r>
    </w:p>
    <w:p w14:paraId="25988951">
      <w:pPr>
        <w:ind w:firstLine="360" w:firstLineChars="150"/>
        <w:rPr>
          <w:rFonts w:cs="Times New Roman" w:eastAsiaTheme="minorEastAsia"/>
          <w:b w:val="0"/>
          <w:bCs w:val="0"/>
        </w:rPr>
      </w:pPr>
      <w:r>
        <w:rPr>
          <w:rFonts w:cs="Times New Roman" w:eastAsiaTheme="minorEastAsia"/>
          <w:b w:val="0"/>
          <w:bCs w:val="0"/>
        </w:rPr>
        <w:t>1  新增内支撑结构可选用钢支撑、混凝土支撑、钢与混凝土的混合支撑，新增支撑布置应满足主体结构的施工要求；</w:t>
      </w:r>
    </w:p>
    <w:p w14:paraId="118B1CB9">
      <w:pPr>
        <w:ind w:firstLine="360" w:firstLineChars="150"/>
        <w:rPr>
          <w:rFonts w:cs="Times New Roman" w:eastAsiaTheme="minorEastAsia"/>
          <w:b w:val="0"/>
          <w:bCs w:val="0"/>
        </w:rPr>
      </w:pPr>
      <w:r>
        <w:rPr>
          <w:rFonts w:cs="Times New Roman" w:eastAsiaTheme="minorEastAsia"/>
          <w:b w:val="0"/>
          <w:bCs w:val="0"/>
        </w:rPr>
        <w:t xml:space="preserve">2  基坑阳角两侧应同时新增布置支撑； </w:t>
      </w:r>
    </w:p>
    <w:p w14:paraId="57D17717">
      <w:pPr>
        <w:ind w:firstLine="360" w:firstLineChars="150"/>
        <w:rPr>
          <w:rFonts w:cs="Times New Roman" w:eastAsiaTheme="minorEastAsia"/>
          <w:b w:val="0"/>
          <w:bCs w:val="0"/>
        </w:rPr>
      </w:pPr>
      <w:r>
        <w:rPr>
          <w:rFonts w:cs="Times New Roman" w:eastAsiaTheme="minorEastAsia"/>
          <w:b w:val="0"/>
          <w:bCs w:val="0"/>
        </w:rPr>
        <w:t>3  使用原立柱时，应复核原立柱的受压承载力；新增临时立柱应避开地下结构的承重墙、柱、梁；</w:t>
      </w:r>
    </w:p>
    <w:p w14:paraId="1849D9FA">
      <w:pPr>
        <w:ind w:firstLine="360" w:firstLineChars="150"/>
        <w:rPr>
          <w:rFonts w:cs="Times New Roman" w:eastAsiaTheme="minorEastAsia"/>
          <w:b w:val="0"/>
          <w:bCs w:val="0"/>
        </w:rPr>
      </w:pPr>
      <w:r>
        <w:rPr>
          <w:rFonts w:cs="Times New Roman" w:eastAsiaTheme="minorEastAsia"/>
          <w:b w:val="0"/>
          <w:bCs w:val="0"/>
        </w:rPr>
        <w:t>4  新增竖向斜撑可利用基坑底的工程桩、筏板地基、已浇筑完成的地下室结构等；</w:t>
      </w:r>
    </w:p>
    <w:p w14:paraId="75154587">
      <w:pPr>
        <w:ind w:firstLine="360" w:firstLineChars="150"/>
        <w:rPr>
          <w:rFonts w:cs="Times New Roman" w:eastAsiaTheme="minorEastAsia"/>
          <w:b w:val="0"/>
          <w:bCs w:val="0"/>
        </w:rPr>
      </w:pPr>
      <w:r>
        <w:rPr>
          <w:rFonts w:cs="Times New Roman" w:eastAsiaTheme="minorEastAsia"/>
          <w:b w:val="0"/>
          <w:bCs w:val="0"/>
        </w:rPr>
        <w:t>5  利用已建主体结构为既有支护结构提供反力时，应对主体结构内力、变形等进行复核；</w:t>
      </w:r>
    </w:p>
    <w:p w14:paraId="438EC5DC">
      <w:pPr>
        <w:ind w:firstLine="360" w:firstLineChars="150"/>
        <w:rPr>
          <w:rFonts w:cs="Times New Roman" w:eastAsiaTheme="minorEastAsia"/>
        </w:rPr>
      </w:pPr>
      <w:r>
        <w:rPr>
          <w:rFonts w:cs="Times New Roman" w:eastAsiaTheme="minorEastAsia"/>
          <w:b w:val="0"/>
          <w:bCs w:val="0"/>
        </w:rPr>
        <w:t>6  新增支撑的拆除，应在换成支撑的结构构件达到换撑要求的承载力后进行</w:t>
      </w:r>
      <w:r>
        <w:rPr>
          <w:rFonts w:cs="Times New Roman" w:eastAsiaTheme="minorEastAsia"/>
        </w:rPr>
        <w:t>。</w:t>
      </w:r>
    </w:p>
    <w:p w14:paraId="2F9B1443">
      <w:pPr>
        <w:rPr>
          <w:rFonts w:cs="Times New Roman" w:eastAsiaTheme="minorEastAsia"/>
          <w:spacing w:val="2"/>
        </w:rPr>
      </w:pPr>
      <w:r>
        <w:rPr>
          <w:rFonts w:cs="Times New Roman" w:eastAsiaTheme="minorEastAsia"/>
          <w:b/>
        </w:rPr>
        <w:t>5.</w:t>
      </w:r>
      <w:r>
        <w:rPr>
          <w:rFonts w:hint="eastAsia" w:cs="Times New Roman" w:eastAsiaTheme="minorEastAsia"/>
          <w:b/>
        </w:rPr>
        <w:t>10.4</w:t>
      </w:r>
      <w:r>
        <w:rPr>
          <w:rFonts w:cs="Times New Roman" w:eastAsiaTheme="minorEastAsia"/>
        </w:rPr>
        <w:t xml:space="preserve"> </w:t>
      </w:r>
      <w:r>
        <w:rPr>
          <w:rFonts w:cs="Times New Roman" w:eastAsiaTheme="minorEastAsia"/>
          <w:spacing w:val="2"/>
        </w:rPr>
        <w:t>内支撑加固法可与多种加固法联合使用。</w:t>
      </w:r>
    </w:p>
    <w:p w14:paraId="6B133CD3">
      <w:pPr>
        <w:rPr>
          <w:rFonts w:eastAsia="楷体" w:cs="Times New Roman"/>
          <w:u w:val="single"/>
        </w:rPr>
      </w:pPr>
      <w:r>
        <w:rPr>
          <w:rFonts w:eastAsia="楷体" w:cs="Times New Roman"/>
          <w:u w:val="single"/>
        </w:rPr>
        <w:t>【条文说明】内支撑加固法对既有支护桩嵌固段长度不足的加固效果特别明显，例如某项目，基坑变更开挖深度加深，由于基坑顶紧邻一栋7F建筑，其基础型式是预应力管桩，如采用增设预应力锚索加固，锚索施工会破坏临近建筑基础，某项目基底又是地铁盾构控制线，无法采取灌注桩加固，因此综合考虑，拟增设两道内支撑，第一道位于桩顶下3.0m，第二道距桩顶以下7m。同时采取在既有基坑内侧桩前预留4m宽、高2.45m的土体提供被动土压力（图9），本基坑加固案例，运用了与堆载反压加固法联合使用，经现场实践，满足安全要求。</w:t>
      </w:r>
    </w:p>
    <w:p w14:paraId="0DEC7BB9">
      <w:pPr>
        <w:jc w:val="center"/>
        <w:rPr>
          <w:rFonts w:cs="Times New Roman" w:eastAsiaTheme="minorEastAsia"/>
          <w:spacing w:val="2"/>
        </w:rPr>
      </w:pPr>
      <w:r>
        <w:drawing>
          <wp:inline distT="0" distB="0" distL="0" distR="0">
            <wp:extent cx="2588895" cy="2282190"/>
            <wp:effectExtent l="19050" t="19050" r="20955" b="22860"/>
            <wp:docPr id="4496980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98063" name="图片 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599488" cy="2291535"/>
                    </a:xfrm>
                    <a:prstGeom prst="rect">
                      <a:avLst/>
                    </a:prstGeom>
                    <a:ln>
                      <a:solidFill>
                        <a:schemeClr val="tx1"/>
                      </a:solidFill>
                    </a:ln>
                  </pic:spPr>
                </pic:pic>
              </a:graphicData>
            </a:graphic>
          </wp:inline>
        </w:drawing>
      </w:r>
    </w:p>
    <w:p w14:paraId="71075A9B">
      <w:pPr>
        <w:ind w:firstLine="360" w:firstLineChars="150"/>
        <w:jc w:val="center"/>
        <w:rPr>
          <w:rFonts w:eastAsia="楷体" w:cs="Times New Roman"/>
          <w:u w:val="single"/>
        </w:rPr>
      </w:pPr>
      <w:r>
        <w:rPr>
          <w:rFonts w:eastAsia="楷体" w:cs="Times New Roman"/>
          <w:u w:val="single"/>
        </w:rPr>
        <w:t>图9  某项目内支撑与堆载反压法联合加固</w:t>
      </w:r>
    </w:p>
    <w:p w14:paraId="7955B447">
      <w:pPr>
        <w:pStyle w:val="3"/>
        <w:rPr>
          <w:rFonts w:ascii="Times New Roman" w:hAnsi="Times New Roman" w:cs="Times New Roman" w:eastAsiaTheme="minorEastAsia"/>
          <w:sz w:val="28"/>
          <w:szCs w:val="28"/>
        </w:rPr>
      </w:pPr>
      <w:bookmarkStart w:id="92" w:name="_Toc2679"/>
      <w:bookmarkStart w:id="93" w:name="_Toc2189"/>
      <w:r>
        <w:rPr>
          <w:rFonts w:ascii="Times New Roman" w:hAnsi="Times New Roman" w:cs="Times New Roman" w:eastAsiaTheme="minorEastAsia"/>
          <w:sz w:val="28"/>
          <w:szCs w:val="28"/>
        </w:rPr>
        <w:t>5.</w:t>
      </w:r>
      <w:r>
        <w:rPr>
          <w:rFonts w:hint="eastAsia" w:ascii="Times New Roman" w:hAnsi="Times New Roman" w:cs="Times New Roman" w:eastAsiaTheme="minorEastAsia"/>
          <w:sz w:val="28"/>
          <w:szCs w:val="28"/>
        </w:rPr>
        <w:t>11</w:t>
      </w:r>
      <w:r>
        <w:rPr>
          <w:rFonts w:ascii="Times New Roman" w:hAnsi="Times New Roman" w:cs="Times New Roman" w:eastAsiaTheme="minorEastAsia"/>
          <w:sz w:val="28"/>
          <w:szCs w:val="28"/>
        </w:rPr>
        <w:t>地表水与地下水控制修复</w:t>
      </w:r>
      <w:bookmarkEnd w:id="92"/>
      <w:bookmarkEnd w:id="93"/>
    </w:p>
    <w:p w14:paraId="67F1FD94">
      <w:pPr>
        <w:rPr>
          <w:rFonts w:cs="Times New Roman" w:eastAsiaTheme="minorEastAsia"/>
          <w:color w:val="000000"/>
        </w:rPr>
      </w:pPr>
      <w:r>
        <w:rPr>
          <w:rFonts w:cs="Times New Roman" w:eastAsiaTheme="minorEastAsia"/>
          <w:b/>
        </w:rPr>
        <w:t>5.</w:t>
      </w:r>
      <w:r>
        <w:rPr>
          <w:rFonts w:hint="eastAsia" w:cs="Times New Roman" w:eastAsiaTheme="minorEastAsia"/>
          <w:b/>
        </w:rPr>
        <w:t>11</w:t>
      </w:r>
      <w:r>
        <w:rPr>
          <w:rFonts w:cs="Times New Roman" w:eastAsiaTheme="minorEastAsia"/>
          <w:b/>
        </w:rPr>
        <w:t>.1</w:t>
      </w:r>
      <w:r>
        <w:rPr>
          <w:rFonts w:cs="Times New Roman" w:eastAsiaTheme="minorEastAsia"/>
          <w:color w:val="000000"/>
        </w:rPr>
        <w:t xml:space="preserve"> </w:t>
      </w:r>
      <w:r>
        <w:rPr>
          <w:rFonts w:cs="Times New Roman" w:eastAsiaTheme="minorEastAsia"/>
          <w:color w:val="000000"/>
          <w:spacing w:val="2"/>
        </w:rPr>
        <w:t>地表水与地下水控制修复法适用于基坑发生变形、失稳与坡体积水或</w:t>
      </w:r>
      <w:r>
        <w:rPr>
          <w:rFonts w:hint="eastAsia" w:cs="Times New Roman" w:eastAsiaTheme="minorEastAsia"/>
          <w:color w:val="000000"/>
          <w:spacing w:val="2"/>
        </w:rPr>
        <w:t>与</w:t>
      </w:r>
      <w:r>
        <w:rPr>
          <w:rFonts w:cs="Times New Roman" w:eastAsiaTheme="minorEastAsia"/>
          <w:color w:val="000000"/>
          <w:spacing w:val="2"/>
        </w:rPr>
        <w:t>地下水直接相关的既有基坑。</w:t>
      </w:r>
    </w:p>
    <w:p w14:paraId="499A0549">
      <w:pPr>
        <w:rPr>
          <w:rFonts w:cs="Times New Roman" w:eastAsiaTheme="minorEastAsia"/>
          <w:color w:val="000000"/>
          <w:spacing w:val="2"/>
        </w:rPr>
      </w:pPr>
      <w:r>
        <w:rPr>
          <w:rFonts w:cs="Times New Roman" w:eastAsiaTheme="minorEastAsia"/>
          <w:b/>
        </w:rPr>
        <w:t>5.</w:t>
      </w:r>
      <w:r>
        <w:rPr>
          <w:rFonts w:hint="eastAsia" w:cs="Times New Roman" w:eastAsiaTheme="minorEastAsia"/>
          <w:b/>
        </w:rPr>
        <w:t>11</w:t>
      </w:r>
      <w:r>
        <w:rPr>
          <w:rFonts w:cs="Times New Roman" w:eastAsiaTheme="minorEastAsia"/>
          <w:b/>
        </w:rPr>
        <w:t>.2</w:t>
      </w:r>
      <w:r>
        <w:rPr>
          <w:rFonts w:cs="Times New Roman" w:eastAsiaTheme="minorEastAsia"/>
          <w:color w:val="000000"/>
        </w:rPr>
        <w:t xml:space="preserve"> </w:t>
      </w:r>
      <w:r>
        <w:rPr>
          <w:rFonts w:cs="Times New Roman" w:eastAsiaTheme="minorEastAsia"/>
          <w:color w:val="000000"/>
          <w:spacing w:val="2"/>
        </w:rPr>
        <w:t>采用地表水与地下水控制修复法应考虑以下因素：</w:t>
      </w:r>
    </w:p>
    <w:p w14:paraId="34C9984A">
      <w:pPr>
        <w:ind w:firstLine="366" w:firstLineChars="150"/>
        <w:rPr>
          <w:rFonts w:cs="Times New Roman" w:eastAsiaTheme="minorEastAsia"/>
          <w:b w:val="0"/>
          <w:bCs w:val="0"/>
          <w:color w:val="000000"/>
          <w:spacing w:val="2"/>
        </w:rPr>
      </w:pPr>
      <w:r>
        <w:rPr>
          <w:rFonts w:cs="Times New Roman" w:eastAsiaTheme="minorEastAsia"/>
          <w:b w:val="0"/>
          <w:bCs w:val="0"/>
          <w:color w:val="000000"/>
          <w:spacing w:val="2"/>
        </w:rPr>
        <w:t>1  地下水的类型、水的来源及补给条件；</w:t>
      </w:r>
    </w:p>
    <w:p w14:paraId="34E40F66">
      <w:pPr>
        <w:ind w:firstLine="366" w:firstLineChars="150"/>
        <w:rPr>
          <w:rFonts w:cs="Times New Roman" w:eastAsiaTheme="minorEastAsia"/>
          <w:b w:val="0"/>
          <w:bCs w:val="0"/>
          <w:color w:val="000000"/>
          <w:spacing w:val="2"/>
        </w:rPr>
      </w:pPr>
      <w:r>
        <w:rPr>
          <w:rFonts w:cs="Times New Roman" w:eastAsiaTheme="minorEastAsia"/>
          <w:b w:val="0"/>
          <w:bCs w:val="0"/>
          <w:color w:val="000000"/>
          <w:spacing w:val="2"/>
        </w:rPr>
        <w:t>2  基坑周边环境；</w:t>
      </w:r>
    </w:p>
    <w:p w14:paraId="2C2F7E98">
      <w:pPr>
        <w:ind w:firstLine="366" w:firstLineChars="150"/>
        <w:rPr>
          <w:rFonts w:cs="Times New Roman" w:eastAsiaTheme="minorEastAsia"/>
          <w:b w:val="0"/>
          <w:bCs w:val="0"/>
          <w:color w:val="000000"/>
        </w:rPr>
      </w:pPr>
      <w:r>
        <w:rPr>
          <w:rFonts w:cs="Times New Roman" w:eastAsiaTheme="minorEastAsia"/>
          <w:b w:val="0"/>
          <w:bCs w:val="0"/>
          <w:color w:val="000000"/>
          <w:spacing w:val="2"/>
        </w:rPr>
        <w:t>3  基坑岩土特性及渗透性。</w:t>
      </w:r>
    </w:p>
    <w:p w14:paraId="35184C16">
      <w:pPr>
        <w:rPr>
          <w:rFonts w:cs="Times New Roman" w:eastAsiaTheme="minorEastAsia"/>
          <w:color w:val="000000"/>
          <w:spacing w:val="2"/>
        </w:rPr>
      </w:pPr>
      <w:r>
        <w:rPr>
          <w:rFonts w:cs="Times New Roman" w:eastAsiaTheme="minorEastAsia"/>
          <w:b/>
        </w:rPr>
        <w:t>5.</w:t>
      </w:r>
      <w:r>
        <w:rPr>
          <w:rFonts w:hint="eastAsia" w:cs="Times New Roman" w:eastAsiaTheme="minorEastAsia"/>
          <w:b/>
        </w:rPr>
        <w:t>11</w:t>
      </w:r>
      <w:r>
        <w:rPr>
          <w:rFonts w:cs="Times New Roman" w:eastAsiaTheme="minorEastAsia"/>
          <w:b/>
        </w:rPr>
        <w:t>.3</w:t>
      </w:r>
      <w:r>
        <w:rPr>
          <w:rFonts w:cs="Times New Roman" w:eastAsiaTheme="minorEastAsia"/>
          <w:color w:val="000000"/>
        </w:rPr>
        <w:t xml:space="preserve"> </w:t>
      </w:r>
      <w:r>
        <w:rPr>
          <w:rFonts w:cs="Times New Roman" w:eastAsiaTheme="minorEastAsia"/>
          <w:color w:val="000000"/>
          <w:spacing w:val="2"/>
        </w:rPr>
        <w:t>应根据基坑岩土体的渗透性、水源、渗透水量及周边环境条件等，选用下列方式进行处理：</w:t>
      </w:r>
    </w:p>
    <w:p w14:paraId="002BAAAF">
      <w:pPr>
        <w:ind w:firstLine="366" w:firstLineChars="150"/>
        <w:rPr>
          <w:rFonts w:cs="Times New Roman" w:eastAsiaTheme="minorEastAsia"/>
          <w:b w:val="0"/>
          <w:bCs w:val="0"/>
          <w:color w:val="000000"/>
          <w:spacing w:val="2"/>
        </w:rPr>
      </w:pPr>
      <w:r>
        <w:rPr>
          <w:rFonts w:cs="Times New Roman" w:eastAsiaTheme="minorEastAsia"/>
          <w:b w:val="0"/>
          <w:bCs w:val="0"/>
          <w:color w:val="000000"/>
          <w:spacing w:val="2"/>
        </w:rPr>
        <w:t>1  原有地表截排水系统失效时，应进行疏通、修复；如原有排水设计有明显缺陷或经疏通仍不能满足要求时，应增设新的截排水系统；</w:t>
      </w:r>
    </w:p>
    <w:p w14:paraId="263FA204">
      <w:pPr>
        <w:ind w:firstLine="366" w:firstLineChars="150"/>
        <w:rPr>
          <w:rFonts w:cs="Times New Roman" w:eastAsiaTheme="minorEastAsia"/>
          <w:b w:val="0"/>
          <w:bCs w:val="0"/>
          <w:color w:val="000000"/>
          <w:spacing w:val="2"/>
        </w:rPr>
      </w:pPr>
      <w:r>
        <w:rPr>
          <w:rFonts w:cs="Times New Roman" w:eastAsiaTheme="minorEastAsia"/>
          <w:b w:val="0"/>
          <w:bCs w:val="0"/>
          <w:color w:val="000000"/>
          <w:spacing w:val="2"/>
        </w:rPr>
        <w:t>2  基坑侧壁泄水孔失效时，应进行疏通或新增泄水孔；</w:t>
      </w:r>
    </w:p>
    <w:p w14:paraId="72372DE5">
      <w:pPr>
        <w:ind w:firstLine="366" w:firstLineChars="150"/>
        <w:rPr>
          <w:rFonts w:cs="Times New Roman" w:eastAsiaTheme="minorEastAsia"/>
          <w:b w:val="0"/>
          <w:bCs w:val="0"/>
          <w:color w:val="000000"/>
          <w:spacing w:val="2"/>
        </w:rPr>
      </w:pPr>
      <w:r>
        <w:rPr>
          <w:rFonts w:cs="Times New Roman" w:eastAsiaTheme="minorEastAsia"/>
          <w:b w:val="0"/>
          <w:bCs w:val="0"/>
          <w:color w:val="000000"/>
          <w:spacing w:val="2"/>
        </w:rPr>
        <w:t>3  坡顶开裂时，硬化地面应进行修复；</w:t>
      </w:r>
    </w:p>
    <w:p w14:paraId="49E8AC7E">
      <w:pPr>
        <w:ind w:firstLine="366" w:firstLineChars="150"/>
        <w:rPr>
          <w:rFonts w:cs="Times New Roman" w:eastAsiaTheme="minorEastAsia"/>
          <w:b w:val="0"/>
          <w:bCs w:val="0"/>
          <w:color w:val="000000"/>
        </w:rPr>
      </w:pPr>
      <w:r>
        <w:rPr>
          <w:rFonts w:cs="Times New Roman" w:eastAsiaTheme="minorEastAsia"/>
          <w:b w:val="0"/>
          <w:bCs w:val="0"/>
          <w:color w:val="000000"/>
          <w:spacing w:val="2"/>
        </w:rPr>
        <w:t>4  当局部隆深或整体降水效果不满足设计要求时，应增设降水井；</w:t>
      </w:r>
    </w:p>
    <w:p w14:paraId="7E2E32D0">
      <w:pPr>
        <w:ind w:firstLine="360" w:firstLineChars="150"/>
        <w:rPr>
          <w:rFonts w:cs="Times New Roman" w:eastAsiaTheme="minorEastAsia"/>
          <w:b w:val="0"/>
          <w:bCs w:val="0"/>
          <w:color w:val="000000"/>
        </w:rPr>
      </w:pPr>
      <w:r>
        <w:rPr>
          <w:rFonts w:cs="Times New Roman" w:eastAsiaTheme="minorEastAsia"/>
          <w:b w:val="0"/>
          <w:bCs w:val="0"/>
          <w:color w:val="000000"/>
        </w:rPr>
        <w:t>5  因地下水上升或基坑加深遇地下水须对原有基坑支护结构进行加固时，应先进行地下水控制设计，可采用截水、集水明排、降水等方法。</w:t>
      </w:r>
    </w:p>
    <w:p w14:paraId="4D605BFC">
      <w:pPr>
        <w:rPr>
          <w:rFonts w:cs="Times New Roman" w:eastAsiaTheme="minorEastAsia"/>
          <w:color w:val="000000"/>
          <w:spacing w:val="2"/>
        </w:rPr>
      </w:pPr>
      <w:r>
        <w:rPr>
          <w:rFonts w:cs="Times New Roman" w:eastAsiaTheme="minorEastAsia"/>
          <w:b/>
        </w:rPr>
        <w:t>5.</w:t>
      </w:r>
      <w:r>
        <w:rPr>
          <w:rFonts w:hint="eastAsia" w:cs="Times New Roman" w:eastAsiaTheme="minorEastAsia"/>
          <w:b/>
        </w:rPr>
        <w:t>11</w:t>
      </w:r>
      <w:r>
        <w:rPr>
          <w:rFonts w:cs="Times New Roman" w:eastAsiaTheme="minorEastAsia"/>
          <w:b/>
        </w:rPr>
        <w:t>.4</w:t>
      </w:r>
      <w:r>
        <w:rPr>
          <w:rFonts w:cs="Times New Roman" w:eastAsiaTheme="minorEastAsia"/>
          <w:color w:val="000000"/>
        </w:rPr>
        <w:t xml:space="preserve"> </w:t>
      </w:r>
      <w:r>
        <w:rPr>
          <w:rFonts w:cs="Times New Roman" w:eastAsiaTheme="minorEastAsia"/>
          <w:color w:val="000000"/>
          <w:spacing w:val="2"/>
        </w:rPr>
        <w:t>地表水与地下水控制修复法设计应符合下列规定：</w:t>
      </w:r>
    </w:p>
    <w:p w14:paraId="04B5A74B">
      <w:pPr>
        <w:ind w:firstLine="366" w:firstLineChars="150"/>
        <w:rPr>
          <w:rFonts w:cs="Times New Roman" w:eastAsiaTheme="minorEastAsia"/>
          <w:b w:val="0"/>
          <w:bCs w:val="0"/>
          <w:color w:val="000000"/>
          <w:spacing w:val="2"/>
        </w:rPr>
      </w:pPr>
      <w:r>
        <w:rPr>
          <w:rFonts w:cs="Times New Roman" w:eastAsiaTheme="minorEastAsia"/>
          <w:b w:val="0"/>
          <w:bCs w:val="0"/>
          <w:color w:val="000000"/>
          <w:spacing w:val="2"/>
        </w:rPr>
        <w:t>1  对地表水，宜在沿基坑坡体直接塌滑区和强变形区以外边缘的汇流区设截水沟；</w:t>
      </w:r>
    </w:p>
    <w:p w14:paraId="47DFAC6E">
      <w:pPr>
        <w:ind w:firstLine="366" w:firstLineChars="150"/>
        <w:rPr>
          <w:rFonts w:cs="Times New Roman" w:eastAsiaTheme="minorEastAsia"/>
          <w:b w:val="0"/>
          <w:bCs w:val="0"/>
          <w:color w:val="000000"/>
          <w:spacing w:val="2"/>
        </w:rPr>
      </w:pPr>
      <w:r>
        <w:rPr>
          <w:rFonts w:cs="Times New Roman" w:eastAsiaTheme="minorEastAsia"/>
          <w:b w:val="0"/>
          <w:bCs w:val="0"/>
          <w:color w:val="000000"/>
          <w:spacing w:val="2"/>
        </w:rPr>
        <w:t>2  对于渗漏水，宜增设仰斜排水孔或增设竖向砂井对积水区进行疏干；</w:t>
      </w:r>
    </w:p>
    <w:p w14:paraId="6AE6DD09">
      <w:pPr>
        <w:ind w:firstLine="366" w:firstLineChars="150"/>
        <w:rPr>
          <w:rFonts w:cs="Times New Roman" w:eastAsiaTheme="minorEastAsia"/>
          <w:b w:val="0"/>
          <w:bCs w:val="0"/>
          <w:color w:val="000000"/>
        </w:rPr>
      </w:pPr>
      <w:r>
        <w:rPr>
          <w:rFonts w:cs="Times New Roman" w:eastAsiaTheme="minorEastAsia"/>
          <w:b w:val="0"/>
          <w:bCs w:val="0"/>
          <w:color w:val="000000"/>
          <w:spacing w:val="2"/>
        </w:rPr>
        <w:t>3  对地下水，可根据基坑土体的渗透性及水量等采用垂向孔或斜向孔排水、渗管(井)排水、滤水层，或采用透水材料反压等。</w:t>
      </w:r>
    </w:p>
    <w:p w14:paraId="35BAA3BF">
      <w:pPr>
        <w:ind w:firstLine="360" w:firstLineChars="150"/>
        <w:rPr>
          <w:rFonts w:cs="Times New Roman" w:eastAsiaTheme="minorEastAsia"/>
          <w:b w:val="0"/>
          <w:bCs w:val="0"/>
          <w:color w:val="000000"/>
        </w:rPr>
      </w:pPr>
      <w:r>
        <w:rPr>
          <w:rFonts w:cs="Times New Roman" w:eastAsiaTheme="minorEastAsia"/>
          <w:b w:val="0"/>
          <w:bCs w:val="0"/>
        </w:rPr>
        <w:t>4</w:t>
      </w:r>
      <w:r>
        <w:rPr>
          <w:rFonts w:cs="Times New Roman" w:eastAsiaTheme="minorEastAsia"/>
          <w:b w:val="0"/>
          <w:bCs w:val="0"/>
          <w:color w:val="000000"/>
        </w:rPr>
        <w:t xml:space="preserve">  降水井中抽取地下水的含砂量不满足设计要求时，应废弃该降水井，在该井邻近位置重新设井；</w:t>
      </w:r>
    </w:p>
    <w:p w14:paraId="5428AB6E">
      <w:pPr>
        <w:ind w:firstLine="360" w:firstLineChars="150"/>
        <w:rPr>
          <w:rFonts w:cs="Times New Roman" w:eastAsiaTheme="minorEastAsia"/>
          <w:b w:val="0"/>
          <w:bCs w:val="0"/>
          <w:color w:val="000000"/>
        </w:rPr>
      </w:pPr>
      <w:r>
        <w:rPr>
          <w:rFonts w:cs="Times New Roman" w:eastAsiaTheme="minorEastAsia"/>
          <w:b w:val="0"/>
          <w:bCs w:val="0"/>
          <w:color w:val="000000"/>
        </w:rPr>
        <w:t>5  止水帷幕出现开裂、渗漏时，应根据工程和水文地质条件、施工条件等，选用水泥土搅拌桩法、高压旋喷法、注浆法等方式对缺陷位置进行修复；</w:t>
      </w:r>
    </w:p>
    <w:p w14:paraId="37457B05">
      <w:pPr>
        <w:ind w:firstLine="360" w:firstLineChars="150"/>
        <w:rPr>
          <w:rFonts w:cs="Times New Roman" w:eastAsiaTheme="minorEastAsia"/>
          <w:b w:val="0"/>
          <w:bCs w:val="0"/>
          <w:color w:val="000000"/>
        </w:rPr>
      </w:pPr>
      <w:r>
        <w:rPr>
          <w:rFonts w:cs="Times New Roman" w:eastAsiaTheme="minorEastAsia"/>
          <w:b w:val="0"/>
          <w:bCs w:val="0"/>
          <w:color w:val="000000"/>
        </w:rPr>
        <w:t>6  当基坑回灌效果不满足设计要求时，宜增设压力回灌系统进行加压回灌；</w:t>
      </w:r>
    </w:p>
    <w:p w14:paraId="7F8D4368">
      <w:pPr>
        <w:ind w:firstLine="360" w:firstLineChars="150"/>
        <w:rPr>
          <w:rFonts w:cs="Times New Roman" w:eastAsiaTheme="minorEastAsia"/>
          <w:b w:val="0"/>
          <w:bCs w:val="0"/>
          <w:color w:val="000000"/>
        </w:rPr>
      </w:pPr>
      <w:r>
        <w:rPr>
          <w:rFonts w:cs="Times New Roman" w:eastAsiaTheme="minorEastAsia"/>
          <w:b w:val="0"/>
          <w:bCs w:val="0"/>
          <w:color w:val="000000"/>
        </w:rPr>
        <w:t>7  当坑底以下承压水对现状基坑存在不利影响时，应在坑底设置封闭式防渗措施，并应设置减压井。</w:t>
      </w:r>
    </w:p>
    <w:p w14:paraId="695FEFC1">
      <w:pPr>
        <w:rPr>
          <w:rFonts w:cs="Times New Roman" w:eastAsiaTheme="minorEastAsia"/>
          <w:color w:val="000000"/>
        </w:rPr>
      </w:pPr>
      <w:r>
        <w:rPr>
          <w:rFonts w:cs="Times New Roman" w:eastAsiaTheme="minorEastAsia"/>
          <w:b/>
        </w:rPr>
        <w:t>5.</w:t>
      </w:r>
      <w:r>
        <w:rPr>
          <w:rFonts w:hint="eastAsia" w:cs="Times New Roman" w:eastAsiaTheme="minorEastAsia"/>
          <w:b/>
        </w:rPr>
        <w:t>11</w:t>
      </w:r>
      <w:r>
        <w:rPr>
          <w:rFonts w:cs="Times New Roman" w:eastAsiaTheme="minorEastAsia"/>
          <w:b/>
        </w:rPr>
        <w:t>.5</w:t>
      </w:r>
      <w:r>
        <w:rPr>
          <w:rFonts w:cs="Times New Roman" w:eastAsiaTheme="minorEastAsia"/>
          <w:b/>
          <w:bCs/>
          <w:color w:val="000000"/>
        </w:rPr>
        <w:t xml:space="preserve"> </w:t>
      </w:r>
      <w:r>
        <w:rPr>
          <w:rFonts w:cs="Times New Roman" w:eastAsiaTheme="minorEastAsia"/>
          <w:color w:val="000000"/>
          <w:spacing w:val="2"/>
        </w:rPr>
        <w:t>地表水与地下水控制修复法</w:t>
      </w:r>
      <w:r>
        <w:rPr>
          <w:rFonts w:cs="Times New Roman" w:eastAsiaTheme="minorEastAsia"/>
          <w:color w:val="000000"/>
        </w:rPr>
        <w:t>宜与其他加固方法联合使用。</w:t>
      </w:r>
    </w:p>
    <w:p w14:paraId="377A311D">
      <w:pPr>
        <w:rPr>
          <w:rFonts w:eastAsia="楷体" w:cs="Times New Roman"/>
          <w:color w:val="000000"/>
          <w:u w:val="single"/>
        </w:rPr>
      </w:pPr>
      <w:r>
        <w:rPr>
          <w:rFonts w:eastAsia="楷体" w:cs="Times New Roman"/>
          <w:color w:val="000000"/>
          <w:u w:val="single"/>
        </w:rPr>
        <w:t>【条文说明】本节的截排水加固法主要适用于既有基坑工程出现问题的主导原因是地下水及地表水。采用此法基本能达到加固目的，而不需在采取其他加固措施的情况。一般情况下，宜与其他加固方法结合使用。</w:t>
      </w:r>
    </w:p>
    <w:p w14:paraId="65BAE97E">
      <w:pPr>
        <w:ind w:firstLine="480" w:firstLineChars="200"/>
        <w:rPr>
          <w:rFonts w:eastAsia="楷体" w:cs="Times New Roman"/>
          <w:color w:val="000000"/>
          <w:u w:val="single"/>
        </w:rPr>
      </w:pPr>
      <w:r>
        <w:rPr>
          <w:rFonts w:eastAsia="楷体" w:cs="Times New Roman"/>
          <w:color w:val="000000"/>
          <w:u w:val="single"/>
        </w:rPr>
        <w:t>本节针对不同的情况提出了系统、合理的截排水设置及构造要求等。设计时应根据工程的具体情况，合理地布设截、排水措施。地表水渗入既有基坑工程主动区，产生水压力，增加坡体的重量，增加滑动力，同时降低了潜在滑面的抗剪强度，对基坑稳定是不利的。</w:t>
      </w:r>
    </w:p>
    <w:p w14:paraId="4E9C7D4F">
      <w:pPr>
        <w:ind w:firstLine="480" w:firstLineChars="200"/>
        <w:rPr>
          <w:rFonts w:eastAsia="楷体" w:cs="Times New Roman"/>
          <w:color w:val="000000"/>
          <w:u w:val="single"/>
        </w:rPr>
      </w:pPr>
      <w:r>
        <w:rPr>
          <w:rFonts w:eastAsia="楷体" w:cs="Times New Roman"/>
          <w:color w:val="000000"/>
          <w:u w:val="single"/>
        </w:rPr>
        <w:t>采用地表水与地下水控制修复法时，应遵循地表截、防、排水与地下排水相结合，以地下排水为主，地表截、防排水为辅，有机结合的原则。通过截、防、导、排，尽可能降低基坑地下水位，减小渗水压力，改善稳定条件，提高基坑的稳定性。</w:t>
      </w:r>
    </w:p>
    <w:p w14:paraId="3DCC477E">
      <w:pPr>
        <w:ind w:firstLine="480" w:firstLineChars="200"/>
        <w:rPr>
          <w:rFonts w:eastAsia="楷体" w:cs="Times New Roman"/>
          <w:color w:val="000000"/>
          <w:u w:val="single"/>
        </w:rPr>
      </w:pPr>
      <w:r>
        <w:rPr>
          <w:rFonts w:eastAsia="楷体" w:cs="Times New Roman"/>
          <w:color w:val="000000"/>
          <w:u w:val="single"/>
        </w:rPr>
        <w:t>对于坡体以外的地表水，层层修建截水沟、排水沟。在坡体范围内的地表水对地表尤其是裂隙及渗水强的部位进行封闭、封堵，低凹积水地方进行填平，顺地表水集中的地方设排水沟排走地表水。对地下水，根据坡体的岩土情况及渗透性等采用盲沟(洞)、斜孔进行排水。</w:t>
      </w:r>
    </w:p>
    <w:p w14:paraId="301E9CA0">
      <w:pPr>
        <w:pStyle w:val="2"/>
        <w:suppressLineNumbers w:val="0"/>
        <w:spacing w:before="156" w:beforeLines="50" w:beforeAutospacing="0" w:after="156" w:afterLines="50" w:afterAutospacing="0" w:line="360" w:lineRule="auto"/>
        <w:ind w:left="0" w:firstLine="0"/>
        <w:rPr>
          <w:rFonts w:hint="eastAsia"/>
          <w:b/>
          <w:bCs w:val="0"/>
          <w:color w:val="auto"/>
          <w:sz w:val="28"/>
          <w:szCs w:val="28"/>
          <w:highlight w:val="none"/>
        </w:rPr>
      </w:pPr>
      <w:r>
        <w:rPr>
          <w:rFonts w:eastAsia="楷体" w:cs="Times New Roman"/>
          <w:color w:val="000000"/>
          <w:u w:val="single"/>
        </w:rPr>
        <w:br w:type="page"/>
      </w:r>
      <w:bookmarkStart w:id="94" w:name="_Toc30897"/>
      <w:bookmarkStart w:id="95" w:name="_Toc19319"/>
      <w:r>
        <w:rPr>
          <w:rFonts w:hint="eastAsia" w:ascii="Times New Roman" w:hAnsi="Times New Roman" w:cs="Times New Roman" w:eastAsiaTheme="minorEastAsia"/>
          <w:b/>
          <w:bCs w:val="0"/>
          <w:color w:val="auto"/>
          <w:sz w:val="30"/>
          <w:szCs w:val="30"/>
          <w:lang w:val="en-US" w:eastAsia="zh-CN" w:bidi="ar-SA"/>
        </w:rPr>
        <w:t>6  基坑工程加固施工</w:t>
      </w:r>
      <w:bookmarkEnd w:id="94"/>
      <w:bookmarkEnd w:id="95"/>
    </w:p>
    <w:p w14:paraId="497CFFB1">
      <w:pPr>
        <w:pStyle w:val="3"/>
        <w:suppressLineNumbers w:val="0"/>
        <w:spacing w:before="0" w:beforeLines="-2147483648" w:beforeAutospacing="0" w:after="0" w:afterLines="-2147483648" w:afterAutospacing="0" w:line="360" w:lineRule="auto"/>
        <w:ind w:left="0" w:firstLine="0"/>
        <w:rPr>
          <w:rFonts w:hint="default" w:ascii="Times New Roman" w:hAnsi="Times New Roman" w:cs="Times New Roman" w:eastAsiaTheme="minorEastAsia"/>
          <w:bCs w:val="0"/>
          <w:sz w:val="28"/>
          <w:szCs w:val="28"/>
          <w:lang w:val="en-US" w:eastAsia="zh-CN" w:bidi="ar-SA"/>
        </w:rPr>
      </w:pPr>
      <w:bookmarkStart w:id="96" w:name="_Toc29718"/>
      <w:bookmarkStart w:id="97" w:name="_Toc17977"/>
      <w:r>
        <w:rPr>
          <w:rFonts w:hint="eastAsia" w:ascii="Times New Roman" w:hAnsi="Times New Roman" w:cs="Times New Roman" w:eastAsiaTheme="minorEastAsia"/>
          <w:bCs w:val="0"/>
          <w:sz w:val="28"/>
          <w:szCs w:val="28"/>
          <w:lang w:val="en-US" w:eastAsia="zh-CN" w:bidi="ar-SA"/>
        </w:rPr>
        <w:t>6</w:t>
      </w:r>
      <w:r>
        <w:rPr>
          <w:rFonts w:hint="default" w:ascii="Times New Roman" w:hAnsi="Times New Roman" w:cs="Times New Roman" w:eastAsiaTheme="minorEastAsia"/>
          <w:bCs w:val="0"/>
          <w:sz w:val="28"/>
          <w:szCs w:val="28"/>
          <w:lang w:val="en-US" w:eastAsia="zh-CN" w:bidi="ar-SA"/>
        </w:rPr>
        <w:t>.1</w:t>
      </w:r>
      <w:r>
        <w:rPr>
          <w:rFonts w:hint="eastAsia" w:ascii="Times New Roman" w:hAnsi="Times New Roman" w:cs="Times New Roman" w:eastAsiaTheme="minorEastAsia"/>
          <w:bCs w:val="0"/>
          <w:sz w:val="28"/>
          <w:szCs w:val="28"/>
          <w:lang w:val="en-US" w:eastAsia="zh-CN" w:bidi="ar-SA"/>
        </w:rPr>
        <w:t>一般规定</w:t>
      </w:r>
      <w:bookmarkEnd w:id="96"/>
      <w:bookmarkEnd w:id="97"/>
    </w:p>
    <w:p w14:paraId="4CBF27CB">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Times New Roman" w:hAnsi="Times New Roman" w:eastAsia="Times New Roman" w:cs="Times New Roman"/>
          <w:b/>
          <w:bCs/>
          <w:color w:val="auto"/>
          <w:spacing w:val="-2"/>
          <w:kern w:val="2"/>
          <w:sz w:val="24"/>
          <w:szCs w:val="24"/>
          <w:lang w:val="en-US" w:eastAsia="zh-CN" w:bidi="ar-SA"/>
        </w:rPr>
      </w:pPr>
      <w:r>
        <w:rPr>
          <w:rFonts w:hint="eastAsia" w:ascii="Times New Roman" w:hAnsi="Times New Roman" w:eastAsia="Times New Roman" w:cs="Times New Roman"/>
          <w:b/>
          <w:bCs/>
          <w:color w:val="auto"/>
          <w:spacing w:val="-2"/>
          <w:kern w:val="2"/>
          <w:sz w:val="24"/>
          <w:szCs w:val="24"/>
          <w:lang w:val="en-US" w:eastAsia="zh-CN" w:bidi="ar-SA"/>
        </w:rPr>
        <w:t>6</w:t>
      </w:r>
      <w:r>
        <w:rPr>
          <w:rFonts w:hint="default" w:ascii="Times New Roman" w:hAnsi="Times New Roman" w:eastAsia="Times New Roman" w:cs="Times New Roman"/>
          <w:b/>
          <w:bCs/>
          <w:color w:val="auto"/>
          <w:spacing w:val="-2"/>
          <w:kern w:val="2"/>
          <w:sz w:val="24"/>
          <w:szCs w:val="24"/>
          <w:lang w:val="en-US" w:eastAsia="zh-CN" w:bidi="ar-SA"/>
        </w:rPr>
        <w:t>.1.1</w:t>
      </w:r>
      <w:r>
        <w:rPr>
          <w:rFonts w:hint="eastAsia" w:ascii="Times New Roman" w:hAnsi="Times New Roman" w:eastAsia="Times New Roman" w:cs="Times New Roman"/>
          <w:b/>
          <w:bCs/>
          <w:color w:val="auto"/>
          <w:spacing w:val="-2"/>
          <w:kern w:val="2"/>
          <w:sz w:val="24"/>
          <w:szCs w:val="24"/>
          <w:lang w:val="en-US" w:eastAsia="zh-CN" w:bidi="ar-SA"/>
        </w:rPr>
        <w:t xml:space="preserve"> </w:t>
      </w:r>
      <w:r>
        <w:rPr>
          <w:rFonts w:hint="eastAsia" w:ascii="Times New Roman" w:hAnsi="Times New Roman" w:eastAsia="Times New Roman" w:cs="Times New Roman"/>
          <w:b w:val="0"/>
          <w:bCs w:val="0"/>
          <w:color w:val="auto"/>
          <w:spacing w:val="-2"/>
          <w:kern w:val="2"/>
          <w:sz w:val="24"/>
          <w:szCs w:val="24"/>
          <w:lang w:val="en-US" w:eastAsia="zh-CN" w:bidi="ar-SA"/>
        </w:rPr>
        <w:t>基坑工程加固施工前，应根据场地现状、周边环境、工程地质条件及鉴定报告、加固设计文件等编制施工方案，并进行技术交底。</w:t>
      </w:r>
    </w:p>
    <w:p w14:paraId="06E1FE11">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Times New Roman" w:hAnsi="Times New Roman" w:eastAsia="Times New Roman" w:cs="Times New Roman"/>
          <w:b/>
          <w:bCs/>
          <w:color w:val="auto"/>
          <w:spacing w:val="-2"/>
          <w:kern w:val="2"/>
          <w:sz w:val="24"/>
          <w:szCs w:val="24"/>
          <w:lang w:val="en-US" w:eastAsia="zh-CN" w:bidi="ar-SA"/>
        </w:rPr>
      </w:pPr>
      <w:r>
        <w:rPr>
          <w:rFonts w:hint="eastAsia" w:ascii="Times New Roman" w:hAnsi="Times New Roman" w:eastAsia="Times New Roman" w:cs="Times New Roman"/>
          <w:b/>
          <w:bCs/>
          <w:color w:val="auto"/>
          <w:spacing w:val="-2"/>
          <w:kern w:val="2"/>
          <w:sz w:val="24"/>
          <w:szCs w:val="24"/>
          <w:lang w:val="en-US" w:eastAsia="zh-CN" w:bidi="ar-SA"/>
        </w:rPr>
        <w:t>6</w:t>
      </w:r>
      <w:r>
        <w:rPr>
          <w:rFonts w:hint="default" w:ascii="Times New Roman" w:hAnsi="Times New Roman" w:eastAsia="Times New Roman" w:cs="Times New Roman"/>
          <w:b/>
          <w:bCs/>
          <w:color w:val="auto"/>
          <w:spacing w:val="-2"/>
          <w:kern w:val="2"/>
          <w:sz w:val="24"/>
          <w:szCs w:val="24"/>
          <w:lang w:val="en-US" w:eastAsia="zh-CN" w:bidi="ar-SA"/>
        </w:rPr>
        <w:t>.1.</w:t>
      </w:r>
      <w:r>
        <w:rPr>
          <w:rFonts w:hint="eastAsia" w:ascii="Times New Roman" w:hAnsi="Times New Roman" w:eastAsia="Times New Roman" w:cs="Times New Roman"/>
          <w:b/>
          <w:bCs/>
          <w:color w:val="auto"/>
          <w:spacing w:val="-2"/>
          <w:kern w:val="2"/>
          <w:sz w:val="24"/>
          <w:szCs w:val="24"/>
          <w:lang w:val="en-US" w:eastAsia="zh-CN" w:bidi="ar-SA"/>
        </w:rPr>
        <w:t xml:space="preserve">2 </w:t>
      </w:r>
      <w:r>
        <w:rPr>
          <w:rFonts w:hint="eastAsia" w:ascii="Times New Roman" w:hAnsi="Times New Roman" w:eastAsia="Times New Roman" w:cs="Times New Roman"/>
          <w:b w:val="0"/>
          <w:bCs w:val="0"/>
          <w:color w:val="auto"/>
          <w:spacing w:val="-2"/>
          <w:kern w:val="2"/>
          <w:sz w:val="24"/>
          <w:szCs w:val="24"/>
          <w:lang w:val="en-US" w:eastAsia="zh-CN" w:bidi="ar-SA"/>
        </w:rPr>
        <w:t>基坑工程加固施工应严格遵照加固设计方案，施工过程中不应降低原有基坑支护结构的可靠性。</w:t>
      </w:r>
    </w:p>
    <w:p w14:paraId="1F1DBA26">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Times New Roman" w:hAnsi="Times New Roman" w:eastAsia="Times New Roman" w:cs="Times New Roman"/>
          <w:b w:val="0"/>
          <w:bCs w:val="0"/>
          <w:color w:val="auto"/>
          <w:spacing w:val="-2"/>
          <w:kern w:val="2"/>
          <w:sz w:val="24"/>
          <w:szCs w:val="24"/>
          <w:lang w:val="en-US" w:eastAsia="zh-CN" w:bidi="ar-SA"/>
        </w:rPr>
      </w:pPr>
      <w:r>
        <w:rPr>
          <w:rFonts w:hint="eastAsia" w:ascii="Times New Roman" w:hAnsi="Times New Roman" w:eastAsia="Times New Roman" w:cs="Times New Roman"/>
          <w:b/>
          <w:bCs/>
          <w:color w:val="auto"/>
          <w:spacing w:val="-2"/>
          <w:kern w:val="2"/>
          <w:sz w:val="24"/>
          <w:szCs w:val="24"/>
          <w:lang w:val="en-US" w:eastAsia="zh-CN" w:bidi="ar-SA"/>
        </w:rPr>
        <w:t>6</w:t>
      </w:r>
      <w:r>
        <w:rPr>
          <w:rFonts w:hint="default" w:ascii="Times New Roman" w:hAnsi="Times New Roman" w:eastAsia="Times New Roman" w:cs="Times New Roman"/>
          <w:b/>
          <w:bCs/>
          <w:color w:val="auto"/>
          <w:spacing w:val="-2"/>
          <w:kern w:val="2"/>
          <w:sz w:val="24"/>
          <w:szCs w:val="24"/>
          <w:lang w:val="en-US" w:eastAsia="zh-CN" w:bidi="ar-SA"/>
        </w:rPr>
        <w:t>.1.</w:t>
      </w:r>
      <w:r>
        <w:rPr>
          <w:rFonts w:hint="eastAsia" w:ascii="Times New Roman" w:hAnsi="Times New Roman" w:eastAsia="Times New Roman" w:cs="Times New Roman"/>
          <w:b/>
          <w:bCs/>
          <w:color w:val="auto"/>
          <w:spacing w:val="-2"/>
          <w:kern w:val="2"/>
          <w:sz w:val="24"/>
          <w:szCs w:val="24"/>
          <w:lang w:val="en-US" w:eastAsia="zh-CN" w:bidi="ar-SA"/>
        </w:rPr>
        <w:t xml:space="preserve">3 </w:t>
      </w:r>
      <w:r>
        <w:rPr>
          <w:rFonts w:hint="eastAsia" w:ascii="Times New Roman" w:hAnsi="Times New Roman" w:eastAsia="Times New Roman" w:cs="Times New Roman"/>
          <w:b w:val="0"/>
          <w:bCs w:val="0"/>
          <w:color w:val="auto"/>
          <w:spacing w:val="-2"/>
          <w:kern w:val="2"/>
          <w:sz w:val="24"/>
          <w:szCs w:val="24"/>
          <w:lang w:val="en-US" w:eastAsia="zh-CN" w:bidi="ar-SA"/>
        </w:rPr>
        <w:t>采用新技术、新工艺或无成熟地区经验的基坑加固工程，施工前应进行试验性施工，以评估施工工艺和各项参数对基坑及周边环境的影响程度；应根据试验结果调整参数、工艺或反馈修改设计方案。</w:t>
      </w:r>
    </w:p>
    <w:p w14:paraId="330FD3FA">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Times New Roman" w:cs="Times New Roman"/>
          <w:b/>
          <w:bCs/>
          <w:color w:val="auto"/>
          <w:spacing w:val="-2"/>
          <w:kern w:val="2"/>
          <w:sz w:val="24"/>
          <w:szCs w:val="24"/>
          <w:lang w:val="en-US" w:eastAsia="zh-CN" w:bidi="ar-SA"/>
        </w:rPr>
      </w:pPr>
      <w:r>
        <w:rPr>
          <w:rFonts w:hint="eastAsia" w:ascii="Times New Roman" w:hAnsi="Times New Roman" w:eastAsia="Times New Roman" w:cs="Times New Roman"/>
          <w:b/>
          <w:bCs/>
          <w:color w:val="auto"/>
          <w:spacing w:val="-2"/>
          <w:kern w:val="2"/>
          <w:sz w:val="24"/>
          <w:szCs w:val="24"/>
          <w:lang w:val="en-US" w:eastAsia="zh-CN" w:bidi="ar-SA"/>
        </w:rPr>
        <w:t xml:space="preserve">6.1.4 </w:t>
      </w:r>
      <w:r>
        <w:rPr>
          <w:rFonts w:hint="eastAsia" w:ascii="Times New Roman" w:hAnsi="Times New Roman" w:eastAsia="Times New Roman" w:cs="Times New Roman"/>
          <w:b w:val="0"/>
          <w:bCs w:val="0"/>
          <w:color w:val="auto"/>
          <w:spacing w:val="-2"/>
          <w:kern w:val="2"/>
          <w:sz w:val="24"/>
          <w:szCs w:val="24"/>
          <w:lang w:val="en-US" w:eastAsia="zh-CN" w:bidi="ar-SA"/>
        </w:rPr>
        <w:t>施工现场道路布置、材料堆放、车辆行走路线等应符合荷载设计控制要求。</w:t>
      </w:r>
    </w:p>
    <w:p w14:paraId="032400AC">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Times New Roman" w:hAnsi="Times New Roman" w:eastAsia="Times New Roman" w:cs="Times New Roman"/>
          <w:b/>
          <w:bCs/>
          <w:color w:val="auto"/>
          <w:spacing w:val="-2"/>
          <w:kern w:val="2"/>
          <w:sz w:val="24"/>
          <w:szCs w:val="24"/>
          <w:lang w:val="en-US" w:eastAsia="zh-CN" w:bidi="ar-SA"/>
        </w:rPr>
      </w:pPr>
      <w:r>
        <w:rPr>
          <w:rFonts w:hint="eastAsia" w:ascii="Times New Roman" w:hAnsi="Times New Roman" w:eastAsia="Times New Roman" w:cs="Times New Roman"/>
          <w:b/>
          <w:bCs/>
          <w:color w:val="auto"/>
          <w:spacing w:val="-2"/>
          <w:kern w:val="2"/>
          <w:sz w:val="24"/>
          <w:szCs w:val="24"/>
          <w:lang w:val="en-US" w:eastAsia="zh-CN" w:bidi="ar-SA"/>
        </w:rPr>
        <w:t>6</w:t>
      </w:r>
      <w:r>
        <w:rPr>
          <w:rFonts w:hint="default" w:ascii="Times New Roman" w:hAnsi="Times New Roman" w:eastAsia="Times New Roman" w:cs="Times New Roman"/>
          <w:b/>
          <w:bCs/>
          <w:color w:val="auto"/>
          <w:spacing w:val="-2"/>
          <w:kern w:val="2"/>
          <w:sz w:val="24"/>
          <w:szCs w:val="24"/>
          <w:lang w:val="en-US" w:eastAsia="zh-CN" w:bidi="ar-SA"/>
        </w:rPr>
        <w:t>.1.</w:t>
      </w:r>
      <w:r>
        <w:rPr>
          <w:rFonts w:hint="eastAsia" w:ascii="Times New Roman" w:hAnsi="Times New Roman" w:eastAsia="Times New Roman" w:cs="Times New Roman"/>
          <w:b/>
          <w:bCs/>
          <w:color w:val="auto"/>
          <w:spacing w:val="-2"/>
          <w:kern w:val="2"/>
          <w:sz w:val="24"/>
          <w:szCs w:val="24"/>
          <w:lang w:val="en-US" w:eastAsia="zh-CN" w:bidi="ar-SA"/>
        </w:rPr>
        <w:t xml:space="preserve">5 </w:t>
      </w:r>
      <w:r>
        <w:rPr>
          <w:rFonts w:hint="eastAsia" w:ascii="Times New Roman" w:hAnsi="Times New Roman" w:eastAsia="Times New Roman" w:cs="Times New Roman"/>
          <w:b w:val="0"/>
          <w:bCs w:val="0"/>
          <w:color w:val="auto"/>
          <w:spacing w:val="-2"/>
          <w:kern w:val="2"/>
          <w:sz w:val="24"/>
          <w:szCs w:val="24"/>
          <w:lang w:val="en-US" w:eastAsia="zh-CN" w:bidi="ar-SA"/>
        </w:rPr>
        <w:t>基坑加固施工过程中应做好施工记录，出现险情时应及时停工并启动应急预案。</w:t>
      </w:r>
    </w:p>
    <w:p w14:paraId="1A8B8625">
      <w:pPr>
        <w:pStyle w:val="3"/>
        <w:suppressLineNumbers w:val="0"/>
        <w:spacing w:before="0" w:beforeLines="-2147483648" w:beforeAutospacing="0" w:after="0" w:afterLines="-2147483648" w:afterAutospacing="0" w:line="360" w:lineRule="auto"/>
        <w:ind w:left="0" w:firstLine="0"/>
        <w:rPr>
          <w:rFonts w:hint="eastAsia" w:ascii="Times New Roman" w:hAnsi="Times New Roman" w:cs="Times New Roman" w:eastAsiaTheme="minorEastAsia"/>
          <w:bCs w:val="0"/>
          <w:sz w:val="28"/>
          <w:szCs w:val="28"/>
          <w:lang w:val="en-US" w:eastAsia="zh-CN" w:bidi="ar-SA"/>
        </w:rPr>
      </w:pPr>
      <w:bookmarkStart w:id="98" w:name="_Toc20967"/>
      <w:r>
        <w:rPr>
          <w:rFonts w:hint="eastAsia" w:ascii="Times New Roman" w:hAnsi="Times New Roman" w:cs="Times New Roman" w:eastAsiaTheme="minorEastAsia"/>
          <w:bCs w:val="0"/>
          <w:sz w:val="28"/>
          <w:szCs w:val="28"/>
          <w:lang w:val="en-US" w:eastAsia="zh-CN" w:bidi="ar-SA"/>
        </w:rPr>
        <w:t>6</w:t>
      </w:r>
      <w:r>
        <w:rPr>
          <w:rFonts w:hint="default" w:ascii="Times New Roman" w:hAnsi="Times New Roman" w:cs="Times New Roman" w:eastAsiaTheme="minorEastAsia"/>
          <w:bCs w:val="0"/>
          <w:sz w:val="28"/>
          <w:szCs w:val="28"/>
          <w:lang w:val="en-US" w:eastAsia="zh-CN" w:bidi="ar-SA"/>
        </w:rPr>
        <w:t>.</w:t>
      </w:r>
      <w:r>
        <w:rPr>
          <w:rFonts w:hint="eastAsia" w:ascii="Times New Roman" w:hAnsi="Times New Roman" w:cs="Times New Roman" w:eastAsiaTheme="minorEastAsia"/>
          <w:bCs w:val="0"/>
          <w:sz w:val="28"/>
          <w:szCs w:val="28"/>
          <w:lang w:val="en-US" w:eastAsia="zh-CN" w:bidi="ar-SA"/>
        </w:rPr>
        <w:t>2加固施工</w:t>
      </w:r>
      <w:bookmarkEnd w:id="98"/>
    </w:p>
    <w:p w14:paraId="2C912859">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Times New Roman" w:hAnsi="Times New Roman" w:eastAsia="Times New Roman" w:cs="Times New Roman"/>
          <w:b/>
          <w:bCs/>
          <w:color w:val="auto"/>
          <w:spacing w:val="-2"/>
          <w:kern w:val="2"/>
          <w:sz w:val="24"/>
          <w:szCs w:val="24"/>
          <w:lang w:val="en-US" w:eastAsia="zh-CN" w:bidi="ar-SA"/>
        </w:rPr>
      </w:pPr>
      <w:r>
        <w:rPr>
          <w:rFonts w:hint="eastAsia" w:ascii="Times New Roman" w:hAnsi="Times New Roman" w:eastAsia="Times New Roman" w:cs="Times New Roman"/>
          <w:b/>
          <w:bCs/>
          <w:color w:val="auto"/>
          <w:spacing w:val="-2"/>
          <w:kern w:val="2"/>
          <w:sz w:val="24"/>
          <w:szCs w:val="24"/>
          <w:lang w:val="en-US" w:eastAsia="zh-CN" w:bidi="ar-SA"/>
        </w:rPr>
        <w:t>6</w:t>
      </w:r>
      <w:r>
        <w:rPr>
          <w:rFonts w:hint="default" w:ascii="Times New Roman" w:hAnsi="Times New Roman" w:eastAsia="Times New Roman" w:cs="Times New Roman"/>
          <w:b/>
          <w:bCs/>
          <w:color w:val="auto"/>
          <w:spacing w:val="-2"/>
          <w:kern w:val="2"/>
          <w:sz w:val="24"/>
          <w:szCs w:val="24"/>
          <w:lang w:val="en-US" w:eastAsia="zh-CN" w:bidi="ar-SA"/>
        </w:rPr>
        <w:t>.</w:t>
      </w:r>
      <w:r>
        <w:rPr>
          <w:rFonts w:hint="eastAsia" w:ascii="Times New Roman" w:hAnsi="Times New Roman" w:eastAsia="Times New Roman" w:cs="Times New Roman"/>
          <w:b/>
          <w:bCs/>
          <w:color w:val="auto"/>
          <w:spacing w:val="-2"/>
          <w:kern w:val="2"/>
          <w:sz w:val="24"/>
          <w:szCs w:val="24"/>
          <w:lang w:val="en-US" w:eastAsia="zh-CN" w:bidi="ar-SA"/>
        </w:rPr>
        <w:t>2</w:t>
      </w:r>
      <w:r>
        <w:rPr>
          <w:rFonts w:hint="default" w:ascii="Times New Roman" w:hAnsi="Times New Roman" w:eastAsia="Times New Roman" w:cs="Times New Roman"/>
          <w:b/>
          <w:bCs/>
          <w:color w:val="auto"/>
          <w:spacing w:val="-2"/>
          <w:kern w:val="2"/>
          <w:sz w:val="24"/>
          <w:szCs w:val="24"/>
          <w:lang w:val="en-US" w:eastAsia="zh-CN" w:bidi="ar-SA"/>
        </w:rPr>
        <w:t>.</w:t>
      </w:r>
      <w:r>
        <w:rPr>
          <w:rFonts w:hint="eastAsia" w:ascii="Times New Roman" w:hAnsi="Times New Roman" w:eastAsia="Times New Roman" w:cs="Times New Roman"/>
          <w:b/>
          <w:bCs/>
          <w:color w:val="auto"/>
          <w:spacing w:val="-2"/>
          <w:kern w:val="2"/>
          <w:sz w:val="24"/>
          <w:szCs w:val="24"/>
          <w:lang w:val="en-US" w:eastAsia="zh-CN" w:bidi="ar-SA"/>
        </w:rPr>
        <w:t xml:space="preserve">1 </w:t>
      </w:r>
      <w:r>
        <w:rPr>
          <w:rFonts w:hint="eastAsia" w:ascii="Times New Roman" w:hAnsi="Times New Roman" w:eastAsia="Times New Roman" w:cs="Times New Roman"/>
          <w:b w:val="0"/>
          <w:bCs w:val="0"/>
          <w:color w:val="auto"/>
          <w:spacing w:val="-2"/>
          <w:kern w:val="2"/>
          <w:sz w:val="24"/>
          <w:szCs w:val="24"/>
          <w:lang w:val="en-US" w:eastAsia="zh-CN" w:bidi="ar-SA"/>
        </w:rPr>
        <w:t>堆载反压加固施工应符合下列规定：</w:t>
      </w:r>
    </w:p>
    <w:p w14:paraId="5D97C9FD">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1  施工材料宜就地取材、便于施工，可采用岩土体、条石、沙袋或混凝土等。</w:t>
      </w:r>
    </w:p>
    <w:p w14:paraId="4124B2DF">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2  当在基坑底部取土用作反压材料时，不应在基坑被动区取土。</w:t>
      </w:r>
    </w:p>
    <w:p w14:paraId="3EA757F9">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default"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3  堆载反压体应与被加固的坡体紧密接触，保证能提供有效的抗力。当采用岩土体进行堆载反压时，岩土体应堆填密实。</w:t>
      </w:r>
    </w:p>
    <w:p w14:paraId="6E3F703E">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4  加固施工后应及时采取防排水措施，与场地既有排水系统有效衔接，确保排水通畅。</w:t>
      </w:r>
    </w:p>
    <w:p w14:paraId="4A67588A">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Times New Roman" w:hAnsi="Times New Roman" w:eastAsia="Times New Roman" w:cs="Times New Roman"/>
          <w:b w:val="0"/>
          <w:bCs w:val="0"/>
          <w:color w:val="auto"/>
          <w:spacing w:val="-2"/>
          <w:kern w:val="2"/>
          <w:sz w:val="24"/>
          <w:szCs w:val="24"/>
          <w:lang w:val="en-US" w:eastAsia="zh-CN" w:bidi="ar-SA"/>
        </w:rPr>
      </w:pPr>
      <w:r>
        <w:rPr>
          <w:rFonts w:hint="eastAsia" w:ascii="Times New Roman" w:hAnsi="Times New Roman" w:eastAsia="Times New Roman" w:cs="Times New Roman"/>
          <w:b/>
          <w:bCs/>
          <w:color w:val="auto"/>
          <w:spacing w:val="-2"/>
          <w:kern w:val="2"/>
          <w:sz w:val="24"/>
          <w:szCs w:val="24"/>
          <w:lang w:val="en-US" w:eastAsia="zh-CN" w:bidi="ar-SA"/>
        </w:rPr>
        <w:t>6</w:t>
      </w:r>
      <w:r>
        <w:rPr>
          <w:rFonts w:hint="default" w:ascii="Times New Roman" w:hAnsi="Times New Roman" w:eastAsia="Times New Roman" w:cs="Times New Roman"/>
          <w:b/>
          <w:bCs/>
          <w:color w:val="auto"/>
          <w:spacing w:val="-2"/>
          <w:kern w:val="2"/>
          <w:sz w:val="24"/>
          <w:szCs w:val="24"/>
          <w:lang w:val="en-US" w:eastAsia="zh-CN" w:bidi="ar-SA"/>
        </w:rPr>
        <w:t>.</w:t>
      </w:r>
      <w:r>
        <w:rPr>
          <w:rFonts w:hint="eastAsia" w:ascii="Times New Roman" w:hAnsi="Times New Roman" w:eastAsia="Times New Roman" w:cs="Times New Roman"/>
          <w:b/>
          <w:bCs/>
          <w:color w:val="auto"/>
          <w:spacing w:val="-2"/>
          <w:kern w:val="2"/>
          <w:sz w:val="24"/>
          <w:szCs w:val="24"/>
          <w:lang w:val="en-US" w:eastAsia="zh-CN" w:bidi="ar-SA"/>
        </w:rPr>
        <w:t>2</w:t>
      </w:r>
      <w:r>
        <w:rPr>
          <w:rFonts w:hint="default" w:ascii="Times New Roman" w:hAnsi="Times New Roman" w:eastAsia="Times New Roman" w:cs="Times New Roman"/>
          <w:b/>
          <w:bCs/>
          <w:color w:val="auto"/>
          <w:spacing w:val="-2"/>
          <w:kern w:val="2"/>
          <w:sz w:val="24"/>
          <w:szCs w:val="24"/>
          <w:lang w:val="en-US" w:eastAsia="zh-CN" w:bidi="ar-SA"/>
        </w:rPr>
        <w:t>.2</w:t>
      </w:r>
      <w:r>
        <w:rPr>
          <w:rFonts w:hint="eastAsia" w:ascii="Times New Roman" w:hAnsi="Times New Roman" w:eastAsia="Times New Roman" w:cs="Times New Roman"/>
          <w:b/>
          <w:bCs/>
          <w:color w:val="auto"/>
          <w:spacing w:val="-2"/>
          <w:kern w:val="2"/>
          <w:sz w:val="24"/>
          <w:szCs w:val="24"/>
          <w:lang w:val="en-US" w:eastAsia="zh-CN" w:bidi="ar-SA"/>
        </w:rPr>
        <w:t xml:space="preserve"> </w:t>
      </w:r>
      <w:r>
        <w:rPr>
          <w:rFonts w:hint="eastAsia" w:ascii="Times New Roman" w:hAnsi="Times New Roman" w:eastAsia="Times New Roman" w:cs="Times New Roman"/>
          <w:b w:val="0"/>
          <w:bCs w:val="0"/>
          <w:color w:val="auto"/>
          <w:spacing w:val="-2"/>
          <w:kern w:val="2"/>
          <w:sz w:val="24"/>
          <w:szCs w:val="24"/>
          <w:lang w:val="en-US" w:eastAsia="zh-CN" w:bidi="ar-SA"/>
        </w:rPr>
        <w:t>削方减载加固施工应符合下列规定：</w:t>
      </w:r>
    </w:p>
    <w:p w14:paraId="5C9C1C61">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1  应根据现场情况，确定分段施工长度，并隔段施工。</w:t>
      </w:r>
    </w:p>
    <w:p w14:paraId="74D6CEE2">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2  开挖应先上后下、先高后低、均匀减重，严禁先挖坡脚。</w:t>
      </w:r>
    </w:p>
    <w:p w14:paraId="340D13AF">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3  开挖后的坡面应及时进行防护及截排水处理，避免形成新的不稳定边坡。</w:t>
      </w:r>
    </w:p>
    <w:p w14:paraId="5FE5C563">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4  开挖土体应及时运出，不得对邻近基坑边坡形成堆载或因临时堆载形成新的不稳定边坡。</w:t>
      </w:r>
    </w:p>
    <w:p w14:paraId="22BB9621">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Times New Roman" w:hAnsi="Times New Roman" w:eastAsia="Times New Roman" w:cs="Times New Roman"/>
          <w:b/>
          <w:bCs/>
          <w:color w:val="auto"/>
          <w:spacing w:val="-2"/>
          <w:kern w:val="2"/>
          <w:sz w:val="24"/>
          <w:szCs w:val="24"/>
          <w:lang w:val="en-US" w:eastAsia="zh-CN" w:bidi="ar-SA"/>
        </w:rPr>
      </w:pPr>
      <w:r>
        <w:rPr>
          <w:rFonts w:hint="eastAsia" w:ascii="Times New Roman" w:hAnsi="Times New Roman" w:eastAsia="Times New Roman" w:cs="Times New Roman"/>
          <w:b/>
          <w:bCs/>
          <w:color w:val="auto"/>
          <w:spacing w:val="-2"/>
          <w:kern w:val="2"/>
          <w:sz w:val="24"/>
          <w:szCs w:val="24"/>
          <w:lang w:val="en-US" w:eastAsia="zh-CN" w:bidi="ar-SA"/>
        </w:rPr>
        <w:t>6</w:t>
      </w:r>
      <w:r>
        <w:rPr>
          <w:rFonts w:hint="default" w:ascii="Times New Roman" w:hAnsi="Times New Roman" w:eastAsia="Times New Roman" w:cs="Times New Roman"/>
          <w:b/>
          <w:bCs/>
          <w:color w:val="auto"/>
          <w:spacing w:val="-2"/>
          <w:kern w:val="2"/>
          <w:sz w:val="24"/>
          <w:szCs w:val="24"/>
          <w:lang w:val="en-US" w:eastAsia="zh-CN" w:bidi="ar-SA"/>
        </w:rPr>
        <w:t>.</w:t>
      </w:r>
      <w:r>
        <w:rPr>
          <w:rFonts w:hint="eastAsia" w:ascii="Times New Roman" w:hAnsi="Times New Roman" w:eastAsia="Times New Roman" w:cs="Times New Roman"/>
          <w:b/>
          <w:bCs/>
          <w:color w:val="auto"/>
          <w:spacing w:val="-2"/>
          <w:kern w:val="2"/>
          <w:sz w:val="24"/>
          <w:szCs w:val="24"/>
          <w:lang w:val="en-US" w:eastAsia="zh-CN" w:bidi="ar-SA"/>
        </w:rPr>
        <w:t>2</w:t>
      </w:r>
      <w:r>
        <w:rPr>
          <w:rFonts w:hint="default" w:ascii="Times New Roman" w:hAnsi="Times New Roman" w:eastAsia="Times New Roman" w:cs="Times New Roman"/>
          <w:b/>
          <w:bCs/>
          <w:color w:val="auto"/>
          <w:spacing w:val="-2"/>
          <w:kern w:val="2"/>
          <w:sz w:val="24"/>
          <w:szCs w:val="24"/>
          <w:lang w:val="en-US" w:eastAsia="zh-CN" w:bidi="ar-SA"/>
        </w:rPr>
        <w:t>.</w:t>
      </w:r>
      <w:r>
        <w:rPr>
          <w:rFonts w:hint="eastAsia" w:ascii="Times New Roman" w:hAnsi="Times New Roman" w:eastAsia="Times New Roman" w:cs="Times New Roman"/>
          <w:b/>
          <w:bCs/>
          <w:color w:val="auto"/>
          <w:spacing w:val="-2"/>
          <w:kern w:val="2"/>
          <w:sz w:val="24"/>
          <w:szCs w:val="24"/>
          <w:lang w:val="en-US" w:eastAsia="zh-CN" w:bidi="ar-SA"/>
        </w:rPr>
        <w:t xml:space="preserve">3 </w:t>
      </w:r>
      <w:r>
        <w:rPr>
          <w:rFonts w:hint="eastAsia" w:ascii="Times New Roman" w:hAnsi="Times New Roman" w:eastAsia="Times New Roman" w:cs="Times New Roman"/>
          <w:b w:val="0"/>
          <w:bCs w:val="0"/>
          <w:color w:val="auto"/>
          <w:spacing w:val="-2"/>
          <w:kern w:val="2"/>
          <w:sz w:val="24"/>
          <w:szCs w:val="24"/>
          <w:lang w:val="en-US" w:eastAsia="zh-CN" w:bidi="ar-SA"/>
        </w:rPr>
        <w:t>基坑土体加固施工应符合下列规定</w:t>
      </w:r>
      <w:r>
        <w:rPr>
          <w:rFonts w:hint="eastAsia" w:ascii="Times New Roman" w:hAnsi="Times New Roman" w:eastAsia="Times New Roman" w:cs="Times New Roman"/>
          <w:b/>
          <w:bCs/>
          <w:color w:val="auto"/>
          <w:spacing w:val="-2"/>
          <w:kern w:val="2"/>
          <w:sz w:val="24"/>
          <w:szCs w:val="24"/>
          <w:lang w:val="en-US" w:eastAsia="zh-CN" w:bidi="ar-SA"/>
        </w:rPr>
        <w:t>：</w:t>
      </w:r>
    </w:p>
    <w:p w14:paraId="7390B3D9">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default"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1  水泥土搅拌桩施工前应根据设计要求进行工艺性试桩，并应根据工艺性试桩结果确定相关施工参数；工艺性试桩数量不应少于2根。</w:t>
      </w:r>
    </w:p>
    <w:p w14:paraId="0B5C9C96">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default"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2  搅拌桩施工深度不宜超过18m，成桩直径和桩长不得小于设计值。</w:t>
      </w:r>
    </w:p>
    <w:p w14:paraId="4D37C4DB">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default"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3  当钻头预搅下沉至预定标高、水泥浆液到达出浆口时，应在水泥浆液与桩端土充分搅拌30s后再提升钻杆。</w:t>
      </w:r>
    </w:p>
    <w:p w14:paraId="7C1BEEDA">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default"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4  水泥浆液的水灰比应控制在0.50~0.60范围内，制备的浆液不得离析，泵送应连续进行。</w:t>
      </w:r>
    </w:p>
    <w:p w14:paraId="34E57652">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default"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5  施工中因故停浆时，应将钻头搅拌下沉至停浆点以下0.5m处，待恢复供浆时再喷浆搅拌提升。停机时间超过3h时，宜先拆卸输浆管路，并对管路进行清洗。</w:t>
      </w:r>
    </w:p>
    <w:p w14:paraId="2C11EB5A">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default"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6  水泥土搅拌墙的施工顺序可采用跳打方式、单侧挤压方式、先行钻孔套打方式。对于硬质土层，当成桩有困难时，可采用预先松动土层的先行钻孔套打方式施工。相邻桩的搭接时间间隔不宜大于24h。</w:t>
      </w:r>
    </w:p>
    <w:p w14:paraId="07D15B49">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default"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7  搅拌机头在正常情况下为上下各1次对土体进行喷浆搅拌。对含砂量大的土层，宜在搅拌桩底部2m~3m范围内上下重复喷浆搅拌1次。</w:t>
      </w:r>
    </w:p>
    <w:p w14:paraId="13519290">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default"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8  对环境保护要求高的基坑工程，宜选择挤土量小的搅拌机头，并应通过试成桩及其监测结果调整施工参数。当邻近保护对象时，搅拌下沉速度宜控制在0.5m/min~0.8m/min范围内，提升速度宜小于1m/min；喷浆压力不宜大于0.8MPa。</w:t>
      </w:r>
    </w:p>
    <w:p w14:paraId="20332F63">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9  水泥土搅拌桩施工尚应符合现行行业标准《建筑地基处理技术规范》JGJ79的规定。</w:t>
      </w:r>
    </w:p>
    <w:p w14:paraId="0A122DD7">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default"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10  高压旋喷桩的施工工艺及参数应根据土质条件、加固要求，根据工程经验或通过试验确定。单管法、双管法高压水泥浆和三管法高压水的压力应大于20MPa，流量应大于30L/min，气流压力宜大于0.7MPa，提升速度宜为0.1m/min~0.2m/min。</w:t>
      </w:r>
    </w:p>
    <w:p w14:paraId="4999AC2B">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default"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11  高压喷射注浆钻孔位置的允许偏差应为±50mm。垂直度允许偏差应为±1%。</w:t>
      </w:r>
    </w:p>
    <w:p w14:paraId="7E798D20">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12  当喷射注浆管贯入土中，喷嘴达到设计标高时，即可喷射注浆。应在喷射注浆参数达到规定值后，按旋喷的工艺要求，提升喷射管，由下而上旋转喷射注浆。喷射管分段提升的搭接长度不得小于100mm。需要局部扩大加固范围或提高强度的部位，可采用复喷措施。</w:t>
      </w:r>
    </w:p>
    <w:p w14:paraId="558FAA6E">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default"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13  在旋喷注浆过程中出现压力骤然下降、上升或冒浆异常时，应查明原因并及时采取措施。</w:t>
      </w:r>
    </w:p>
    <w:p w14:paraId="71590944">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default"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14  旋喷注浆完毕，应迅速拔出喷射管。为防止浆液凝固收缩影响桩顶高程，可在原孔位采用冒浆回灌或第二次注浆等措施。</w:t>
      </w:r>
    </w:p>
    <w:p w14:paraId="7736527A">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15  高压喷射注浆施工时应随时根据支护结构及周边环境的反应调整高压水及气流压力，不得出现因压力过大而导致支护结构或基坑变形过大的情况。</w:t>
      </w:r>
    </w:p>
    <w:p w14:paraId="6E08A096">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default"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16  注浆加固施工时应随时根据支护结构及周边环境的反应调整注浆压力，不能出现因压力过大而导致支护结构或基坑变形过大的情况。</w:t>
      </w:r>
    </w:p>
    <w:p w14:paraId="5A87838B">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default"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17  注浆加固施工前，应选择有代表性的地段进行注浆试验，通过监测数据反馈分析优化注浆参数；注浆区域较大或地质条件复杂时，注浆试验不应少于3处；试验孔可兼作施工孔。</w:t>
      </w:r>
    </w:p>
    <w:p w14:paraId="1D25D7A2">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18  注浆过程应跳孔间隔施工，注浆顺序应在施工区域内由外向内进行，不得采用单向推进的压注方式；当地下水流速较大时，应从水头高的一端开始注浆；对注浆范围以外有边界约束条件时，可采用从边界约束远侧往近侧推进的注浆方式，深度方向宜由下向上进行注浆；对渗透系数相近的土层注浆，应先注浆封顶，再由下至上进行注浆。</w:t>
      </w:r>
    </w:p>
    <w:p w14:paraId="7BF3D412">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19  注浆加固法施工及质量检验尚应符合现行国家标准《建筑边坡工程鉴定与加固技术规范》GB50843、行业标准《既有建筑地基基础加固技术规范》JGJ123的有关规定。</w:t>
      </w:r>
    </w:p>
    <w:p w14:paraId="2F642AC2">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Times New Roman" w:hAnsi="Times New Roman" w:eastAsia="楷体" w:cs="Times New Roman"/>
          <w:color w:val="auto"/>
          <w:sz w:val="24"/>
          <w:szCs w:val="28"/>
          <w:highlight w:val="none"/>
          <w:u w:val="single"/>
          <w:lang w:val="en-US" w:eastAsia="zh-CN"/>
        </w:rPr>
      </w:pPr>
      <w:r>
        <w:rPr>
          <w:rFonts w:hint="eastAsia" w:ascii="Times New Roman" w:hAnsi="Times New Roman" w:eastAsia="楷体" w:cs="Times New Roman"/>
          <w:color w:val="auto"/>
          <w:sz w:val="24"/>
          <w:szCs w:val="28"/>
          <w:highlight w:val="none"/>
          <w:u w:val="single"/>
          <w:lang w:val="zh-CN" w:eastAsia="zh-CN"/>
        </w:rPr>
        <w:t>【</w:t>
      </w:r>
      <w:r>
        <w:rPr>
          <w:rFonts w:hint="eastAsia" w:ascii="Times New Roman" w:hAnsi="Times New Roman" w:eastAsia="楷体" w:cs="Times New Roman"/>
          <w:color w:val="auto"/>
          <w:sz w:val="24"/>
          <w:szCs w:val="28"/>
          <w:highlight w:val="none"/>
          <w:u w:val="single"/>
          <w:lang w:val="en-US" w:eastAsia="zh-CN"/>
        </w:rPr>
        <w:t>条文说明</w:t>
      </w:r>
      <w:r>
        <w:rPr>
          <w:rFonts w:hint="eastAsia" w:ascii="Times New Roman" w:hAnsi="Times New Roman" w:eastAsia="楷体" w:cs="Times New Roman"/>
          <w:color w:val="auto"/>
          <w:sz w:val="24"/>
          <w:szCs w:val="28"/>
          <w:highlight w:val="none"/>
          <w:u w:val="single"/>
          <w:lang w:val="zh-CN" w:eastAsia="zh-CN"/>
        </w:rPr>
        <w:t>】</w:t>
      </w:r>
      <w:r>
        <w:rPr>
          <w:rFonts w:hint="eastAsia" w:ascii="Times New Roman" w:hAnsi="Times New Roman" w:eastAsia="楷体" w:cs="Times New Roman"/>
          <w:color w:val="auto"/>
          <w:sz w:val="24"/>
          <w:szCs w:val="28"/>
          <w:highlight w:val="none"/>
          <w:u w:val="single"/>
          <w:lang w:val="en-US" w:eastAsia="zh-CN"/>
        </w:rPr>
        <w:t>基坑土体加固可采用水泥土搅拌桩、高压喷射注浆、注浆加固等方法，水泥土搅拌桩适用于处理淤泥、淤泥质土、填土、粘性土、粉土及砂土；高压喷射注浆适用于处理淤泥、淤泥质土、填土、粘性土、粉土、砂土及碎（卵）石土；注浆加固适用于填土、粘性土、粉土、砂土及碎（卵）石土。</w:t>
      </w:r>
    </w:p>
    <w:p w14:paraId="46A7181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楷体" w:cs="Times New Roman"/>
          <w:color w:val="auto"/>
          <w:sz w:val="24"/>
          <w:szCs w:val="28"/>
          <w:highlight w:val="none"/>
          <w:u w:val="single"/>
          <w:lang w:val="en-US" w:eastAsia="zh-CN"/>
        </w:rPr>
      </w:pPr>
      <w:r>
        <w:rPr>
          <w:rFonts w:hint="eastAsia" w:ascii="Times New Roman" w:hAnsi="Times New Roman" w:eastAsia="楷体" w:cs="Times New Roman"/>
          <w:color w:val="auto"/>
          <w:sz w:val="24"/>
          <w:szCs w:val="28"/>
          <w:highlight w:val="none"/>
          <w:u w:val="single"/>
          <w:lang w:val="en-US" w:eastAsia="zh-CN"/>
        </w:rPr>
        <w:t>水泥浆液与桩端土充分搅拌30s可充分保证桩端成质量。根据大量的试验资料进行分析后可知，当采取较小的水灰比时，对提高水泥土强度作用明显，但可能因水泥浆液输送困难而产生不均匀现象，故综合各方面因素,将浆液水灰比控制在0.5</w:t>
      </w:r>
      <w:r>
        <w:rPr>
          <w:rFonts w:hint="default" w:ascii="Times New Roman" w:hAnsi="Times New Roman" w:eastAsia="楷体" w:cs="Times New Roman"/>
          <w:color w:val="auto"/>
          <w:sz w:val="24"/>
          <w:szCs w:val="28"/>
          <w:highlight w:val="none"/>
          <w:u w:val="single"/>
          <w:lang w:val="en-US" w:eastAsia="zh-CN"/>
        </w:rPr>
        <w:t>~</w:t>
      </w:r>
      <w:r>
        <w:rPr>
          <w:rFonts w:hint="eastAsia" w:ascii="Times New Roman" w:hAnsi="Times New Roman" w:eastAsia="楷体" w:cs="Times New Roman"/>
          <w:color w:val="auto"/>
          <w:sz w:val="24"/>
          <w:szCs w:val="28"/>
          <w:highlight w:val="none"/>
          <w:u w:val="single"/>
          <w:lang w:val="en-US" w:eastAsia="zh-CN"/>
        </w:rPr>
        <w:t>0.6范围内比较合适。当气温较高浆液输送有困难时,可根据需要掺加相应的外掺剂。钻头搅拌下沉至停浆点以下0.5m处的要求，是为了保证停浆点位置桩身有足够的搅拌搭接量，以保证桩身质量。停机时间过长，一般会造成管路堵塞，故规定停机时间超过3h时，应进行管路拆卸和清洗。</w:t>
      </w:r>
    </w:p>
    <w:p w14:paraId="6F3D7AE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楷体" w:cs="Times New Roman"/>
          <w:color w:val="auto"/>
          <w:sz w:val="24"/>
          <w:szCs w:val="28"/>
          <w:highlight w:val="none"/>
          <w:u w:val="single"/>
          <w:lang w:val="en-US" w:eastAsia="zh-CN"/>
        </w:rPr>
      </w:pPr>
      <w:r>
        <w:rPr>
          <w:rFonts w:hint="eastAsia" w:ascii="Times New Roman" w:hAnsi="Times New Roman" w:eastAsia="楷体" w:cs="Times New Roman"/>
          <w:color w:val="auto"/>
          <w:sz w:val="24"/>
          <w:szCs w:val="28"/>
          <w:highlight w:val="none"/>
          <w:u w:val="single"/>
          <w:lang w:val="en-US" w:eastAsia="zh-CN"/>
        </w:rPr>
        <w:t>水泥土搅拌墙施工顺序一般有跳打方式、单侧挤压方式、先行钻孔套打方式。</w:t>
      </w:r>
    </w:p>
    <w:p w14:paraId="1385D43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楷体" w:cs="Times New Roman"/>
          <w:color w:val="auto"/>
          <w:sz w:val="24"/>
          <w:szCs w:val="28"/>
          <w:highlight w:val="none"/>
          <w:u w:val="single"/>
          <w:lang w:val="en-US" w:eastAsia="zh-CN"/>
        </w:rPr>
      </w:pPr>
      <w:r>
        <w:rPr>
          <w:rFonts w:hint="eastAsia" w:ascii="Times New Roman" w:hAnsi="Times New Roman" w:eastAsia="楷体" w:cs="Times New Roman"/>
          <w:color w:val="auto"/>
          <w:sz w:val="24"/>
          <w:szCs w:val="28"/>
          <w:highlight w:val="none"/>
          <w:u w:val="single"/>
          <w:lang w:val="en-US" w:eastAsia="zh-CN"/>
        </w:rPr>
        <w:t>跳打方式一般适用于N值30以下的土层。施工顺序如图6.2.3-1所示，先施工第一单元，然后施工第二单元。第三单元的A轴和C轴插入到第一单元的C轴及第二单元的A轴孔中，两端完全重叠。依此类推,施工完成水泥土搅拌墙，这种施工顺序较为常见。</w:t>
      </w:r>
    </w:p>
    <w:p w14:paraId="3326B42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highlight w:val="none"/>
          <w:bdr w:val="single" w:color="000000" w:sz="4" w:space="0"/>
        </w:rPr>
      </w:pPr>
      <w:r>
        <w:rPr>
          <w:color w:val="auto"/>
          <w:highlight w:val="none"/>
          <w:bdr w:val="single" w:color="000000" w:sz="4" w:space="0"/>
        </w:rPr>
        <w:drawing>
          <wp:inline distT="0" distB="0" distL="114300" distR="114300">
            <wp:extent cx="2705735" cy="952500"/>
            <wp:effectExtent l="0" t="0" r="18415"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34"/>
                    <a:stretch>
                      <a:fillRect/>
                    </a:stretch>
                  </pic:blipFill>
                  <pic:spPr>
                    <a:xfrm>
                      <a:off x="0" y="0"/>
                      <a:ext cx="2705735" cy="952500"/>
                    </a:xfrm>
                    <a:prstGeom prst="rect">
                      <a:avLst/>
                    </a:prstGeom>
                    <a:noFill/>
                    <a:ln>
                      <a:noFill/>
                    </a:ln>
                  </pic:spPr>
                </pic:pic>
              </a:graphicData>
            </a:graphic>
          </wp:inline>
        </w:drawing>
      </w:r>
    </w:p>
    <w:p w14:paraId="75BFFB4F">
      <w:pPr>
        <w:keepNext w:val="0"/>
        <w:keepLines w:val="0"/>
        <w:pageBreakBefore w:val="0"/>
        <w:widowControl w:val="0"/>
        <w:kinsoku/>
        <w:wordWrap/>
        <w:overflowPunct/>
        <w:topLinePunct w:val="0"/>
        <w:autoSpaceDE w:val="0"/>
        <w:autoSpaceDN w:val="0"/>
        <w:bidi w:val="0"/>
        <w:adjustRightInd w:val="0"/>
        <w:snapToGrid w:val="0"/>
        <w:spacing w:line="400" w:lineRule="exact"/>
        <w:ind w:firstLine="0" w:firstLineChars="0"/>
        <w:jc w:val="center"/>
        <w:textAlignment w:val="auto"/>
        <w:rPr>
          <w:rFonts w:hint="eastAsia" w:ascii="楷体" w:hAnsi="楷体" w:eastAsia="楷体" w:cs="楷体"/>
          <w:color w:val="auto"/>
          <w:szCs w:val="21"/>
          <w:highlight w:val="none"/>
          <w:u w:val="none"/>
          <w:lang w:val="en-US" w:eastAsia="zh-CN"/>
        </w:rPr>
      </w:pPr>
      <w:r>
        <w:rPr>
          <w:rFonts w:hint="eastAsia" w:ascii="楷体" w:hAnsi="楷体" w:eastAsia="楷体" w:cs="楷体"/>
          <w:color w:val="auto"/>
          <w:szCs w:val="21"/>
          <w:highlight w:val="none"/>
          <w:u w:val="none"/>
          <w:lang w:val="en-US" w:eastAsia="zh-CN"/>
        </w:rPr>
        <w:t>图6.2.3-1 跳打方式施工顺序</w:t>
      </w:r>
    </w:p>
    <w:p w14:paraId="7AD10B8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楷体" w:cs="Times New Roman"/>
          <w:color w:val="auto"/>
          <w:sz w:val="24"/>
          <w:szCs w:val="28"/>
          <w:highlight w:val="none"/>
          <w:u w:val="single"/>
          <w:lang w:val="en-US" w:eastAsia="zh-CN"/>
        </w:rPr>
      </w:pPr>
      <w:r>
        <w:rPr>
          <w:rFonts w:hint="default" w:ascii="Times New Roman" w:hAnsi="Times New Roman" w:eastAsia="楷体" w:cs="Times New Roman"/>
          <w:color w:val="auto"/>
          <w:sz w:val="24"/>
          <w:szCs w:val="28"/>
          <w:highlight w:val="none"/>
          <w:u w:val="single"/>
          <w:lang w:val="en-US" w:eastAsia="zh-CN"/>
        </w:rPr>
        <w:t>单侧挤压方式一般适用于N值30以下的土层。在搅拌机来回行走受到限制</w:t>
      </w:r>
      <w:r>
        <w:rPr>
          <w:rFonts w:hint="eastAsia" w:ascii="Times New Roman" w:hAnsi="Times New Roman" w:eastAsia="楷体" w:cs="Times New Roman"/>
          <w:color w:val="auto"/>
          <w:sz w:val="24"/>
          <w:szCs w:val="28"/>
          <w:highlight w:val="none"/>
          <w:u w:val="single"/>
          <w:lang w:val="en-US" w:eastAsia="zh-CN"/>
        </w:rPr>
        <w:t>，</w:t>
      </w:r>
      <w:r>
        <w:rPr>
          <w:rFonts w:hint="default" w:ascii="Times New Roman" w:hAnsi="Times New Roman" w:eastAsia="楷体" w:cs="Times New Roman"/>
          <w:color w:val="auto"/>
          <w:sz w:val="24"/>
          <w:szCs w:val="28"/>
          <w:highlight w:val="none"/>
          <w:u w:val="single"/>
          <w:lang w:val="en-US" w:eastAsia="zh-CN"/>
        </w:rPr>
        <w:t>或在施工水泥土搅拌墙转角部位时</w:t>
      </w:r>
      <w:r>
        <w:rPr>
          <w:rFonts w:hint="eastAsia" w:ascii="Times New Roman" w:hAnsi="Times New Roman" w:eastAsia="楷体" w:cs="Times New Roman"/>
          <w:color w:val="auto"/>
          <w:sz w:val="24"/>
          <w:szCs w:val="28"/>
          <w:highlight w:val="none"/>
          <w:u w:val="single"/>
          <w:lang w:val="en-US" w:eastAsia="zh-CN"/>
        </w:rPr>
        <w:t>，</w:t>
      </w:r>
      <w:r>
        <w:rPr>
          <w:rFonts w:hint="default" w:ascii="Times New Roman" w:hAnsi="Times New Roman" w:eastAsia="楷体" w:cs="Times New Roman"/>
          <w:color w:val="auto"/>
          <w:sz w:val="24"/>
          <w:szCs w:val="28"/>
          <w:highlight w:val="none"/>
          <w:u w:val="single"/>
          <w:lang w:val="en-US" w:eastAsia="zh-CN"/>
        </w:rPr>
        <w:t>通常采用这种施工方式</w:t>
      </w:r>
      <w:r>
        <w:rPr>
          <w:rFonts w:hint="eastAsia" w:ascii="Times New Roman" w:hAnsi="Times New Roman" w:eastAsia="楷体" w:cs="Times New Roman"/>
          <w:color w:val="auto"/>
          <w:sz w:val="24"/>
          <w:szCs w:val="28"/>
          <w:highlight w:val="none"/>
          <w:u w:val="single"/>
          <w:lang w:val="en-US" w:eastAsia="zh-CN"/>
        </w:rPr>
        <w:t>，</w:t>
      </w:r>
      <w:r>
        <w:rPr>
          <w:rFonts w:hint="default" w:ascii="Times New Roman" w:hAnsi="Times New Roman" w:eastAsia="楷体" w:cs="Times New Roman"/>
          <w:color w:val="auto"/>
          <w:sz w:val="24"/>
          <w:szCs w:val="28"/>
          <w:highlight w:val="none"/>
          <w:u w:val="single"/>
          <w:lang w:val="en-US" w:eastAsia="zh-CN"/>
        </w:rPr>
        <w:t>其具体施工顺序如图</w:t>
      </w:r>
      <w:r>
        <w:rPr>
          <w:rFonts w:hint="eastAsia" w:ascii="Times New Roman" w:hAnsi="Times New Roman" w:eastAsia="楷体" w:cs="Times New Roman"/>
          <w:color w:val="auto"/>
          <w:sz w:val="24"/>
          <w:szCs w:val="28"/>
          <w:highlight w:val="none"/>
          <w:u w:val="single"/>
          <w:lang w:val="en-US" w:eastAsia="zh-CN"/>
        </w:rPr>
        <w:t>6.2.3-2</w:t>
      </w:r>
      <w:r>
        <w:rPr>
          <w:rFonts w:hint="default" w:ascii="Times New Roman" w:hAnsi="Times New Roman" w:eastAsia="楷体" w:cs="Times New Roman"/>
          <w:color w:val="auto"/>
          <w:sz w:val="24"/>
          <w:szCs w:val="28"/>
          <w:highlight w:val="none"/>
          <w:u w:val="single"/>
          <w:lang w:val="en-US" w:eastAsia="zh-CN"/>
        </w:rPr>
        <w:t>所示。这种方式先施工第一单元</w:t>
      </w:r>
      <w:r>
        <w:rPr>
          <w:rFonts w:hint="eastAsia" w:ascii="Times New Roman" w:hAnsi="Times New Roman" w:eastAsia="楷体" w:cs="Times New Roman"/>
          <w:color w:val="auto"/>
          <w:sz w:val="24"/>
          <w:szCs w:val="28"/>
          <w:highlight w:val="none"/>
          <w:u w:val="single"/>
          <w:lang w:val="en-US" w:eastAsia="zh-CN"/>
        </w:rPr>
        <w:t>，</w:t>
      </w:r>
      <w:r>
        <w:rPr>
          <w:rFonts w:hint="default" w:ascii="Times New Roman" w:hAnsi="Times New Roman" w:eastAsia="楷体" w:cs="Times New Roman"/>
          <w:color w:val="auto"/>
          <w:sz w:val="24"/>
          <w:szCs w:val="28"/>
          <w:highlight w:val="none"/>
          <w:u w:val="single"/>
          <w:lang w:val="en-US" w:eastAsia="zh-CN"/>
        </w:rPr>
        <w:t>第二单元的A轴插入第一单元的C轴中</w:t>
      </w:r>
      <w:r>
        <w:rPr>
          <w:rFonts w:hint="eastAsia" w:ascii="Times New Roman" w:hAnsi="Times New Roman" w:eastAsia="楷体" w:cs="Times New Roman"/>
          <w:color w:val="auto"/>
          <w:sz w:val="24"/>
          <w:szCs w:val="28"/>
          <w:highlight w:val="none"/>
          <w:u w:val="single"/>
          <w:lang w:val="en-US" w:eastAsia="zh-CN"/>
        </w:rPr>
        <w:t>，</w:t>
      </w:r>
      <w:r>
        <w:rPr>
          <w:rFonts w:hint="default" w:ascii="Times New Roman" w:hAnsi="Times New Roman" w:eastAsia="楷体" w:cs="Times New Roman"/>
          <w:color w:val="auto"/>
          <w:sz w:val="24"/>
          <w:szCs w:val="28"/>
          <w:highlight w:val="none"/>
          <w:u w:val="single"/>
          <w:lang w:val="en-US" w:eastAsia="zh-CN"/>
        </w:rPr>
        <w:t>边孔重叠施工</w:t>
      </w:r>
      <w:r>
        <w:rPr>
          <w:rFonts w:hint="eastAsia" w:ascii="Times New Roman" w:hAnsi="Times New Roman" w:eastAsia="楷体" w:cs="Times New Roman"/>
          <w:color w:val="auto"/>
          <w:sz w:val="24"/>
          <w:szCs w:val="28"/>
          <w:highlight w:val="none"/>
          <w:u w:val="single"/>
          <w:lang w:val="en-US" w:eastAsia="zh-CN"/>
        </w:rPr>
        <w:t>，</w:t>
      </w:r>
      <w:r>
        <w:rPr>
          <w:rFonts w:hint="default" w:ascii="Times New Roman" w:hAnsi="Times New Roman" w:eastAsia="楷体" w:cs="Times New Roman"/>
          <w:color w:val="auto"/>
          <w:sz w:val="24"/>
          <w:szCs w:val="28"/>
          <w:highlight w:val="none"/>
          <w:u w:val="single"/>
          <w:lang w:val="en-US" w:eastAsia="zh-CN"/>
        </w:rPr>
        <w:t>依此类推</w:t>
      </w:r>
      <w:r>
        <w:rPr>
          <w:rFonts w:hint="eastAsia" w:ascii="Times New Roman" w:hAnsi="Times New Roman" w:eastAsia="楷体" w:cs="Times New Roman"/>
          <w:color w:val="auto"/>
          <w:sz w:val="24"/>
          <w:szCs w:val="28"/>
          <w:highlight w:val="none"/>
          <w:u w:val="single"/>
          <w:lang w:val="en-US" w:eastAsia="zh-CN"/>
        </w:rPr>
        <w:t>，</w:t>
      </w:r>
      <w:r>
        <w:rPr>
          <w:rFonts w:hint="default" w:ascii="Times New Roman" w:hAnsi="Times New Roman" w:eastAsia="楷体" w:cs="Times New Roman"/>
          <w:color w:val="auto"/>
          <w:sz w:val="24"/>
          <w:szCs w:val="28"/>
          <w:highlight w:val="none"/>
          <w:u w:val="single"/>
          <w:lang w:val="en-US" w:eastAsia="zh-CN"/>
        </w:rPr>
        <w:t>施工完成水泥土搅拌墙</w:t>
      </w:r>
      <w:r>
        <w:rPr>
          <w:rFonts w:hint="eastAsia" w:ascii="Times New Roman" w:hAnsi="Times New Roman" w:eastAsia="楷体" w:cs="Times New Roman"/>
          <w:color w:val="auto"/>
          <w:sz w:val="24"/>
          <w:szCs w:val="28"/>
          <w:highlight w:val="none"/>
          <w:u w:val="single"/>
          <w:lang w:val="en-US" w:eastAsia="zh-CN"/>
        </w:rPr>
        <w:t>。</w:t>
      </w:r>
    </w:p>
    <w:p w14:paraId="3E976D8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highlight w:val="none"/>
        </w:rPr>
      </w:pPr>
      <w:r>
        <w:rPr>
          <w:color w:val="auto"/>
          <w:highlight w:val="none"/>
          <w:bdr w:val="single" w:color="000000" w:sz="4" w:space="0"/>
        </w:rPr>
        <w:drawing>
          <wp:inline distT="0" distB="0" distL="114300" distR="114300">
            <wp:extent cx="2805430" cy="935355"/>
            <wp:effectExtent l="0" t="0" r="13970"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5"/>
                    <a:stretch>
                      <a:fillRect/>
                    </a:stretch>
                  </pic:blipFill>
                  <pic:spPr>
                    <a:xfrm>
                      <a:off x="0" y="0"/>
                      <a:ext cx="2805430" cy="935355"/>
                    </a:xfrm>
                    <a:prstGeom prst="rect">
                      <a:avLst/>
                    </a:prstGeom>
                    <a:noFill/>
                    <a:ln>
                      <a:noFill/>
                    </a:ln>
                  </pic:spPr>
                </pic:pic>
              </a:graphicData>
            </a:graphic>
          </wp:inline>
        </w:drawing>
      </w:r>
    </w:p>
    <w:p w14:paraId="4AB4530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highlight w:val="none"/>
          <w:lang w:val="en-US" w:eastAsia="zh-CN"/>
        </w:rPr>
      </w:pPr>
      <w:r>
        <w:rPr>
          <w:rFonts w:hint="eastAsia" w:ascii="楷体" w:hAnsi="楷体" w:eastAsia="楷体" w:cs="楷体"/>
          <w:color w:val="auto"/>
          <w:szCs w:val="21"/>
          <w:highlight w:val="none"/>
          <w:u w:val="none"/>
          <w:lang w:val="en-US" w:eastAsia="zh-CN"/>
        </w:rPr>
        <w:t>图6.2.3-2 单侧挤压方式施工顺序</w:t>
      </w:r>
    </w:p>
    <w:p w14:paraId="09A6379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楷体" w:cs="Times New Roman"/>
          <w:color w:val="auto"/>
          <w:sz w:val="24"/>
          <w:szCs w:val="28"/>
          <w:highlight w:val="none"/>
          <w:u w:val="single"/>
          <w:lang w:val="en-US" w:eastAsia="zh-CN"/>
        </w:rPr>
      </w:pPr>
      <w:r>
        <w:rPr>
          <w:rFonts w:hint="eastAsia" w:ascii="Times New Roman" w:hAnsi="Times New Roman" w:eastAsia="楷体" w:cs="Times New Roman"/>
          <w:color w:val="auto"/>
          <w:sz w:val="24"/>
          <w:szCs w:val="28"/>
          <w:highlight w:val="none"/>
          <w:u w:val="single"/>
          <w:lang w:val="en-US" w:eastAsia="zh-CN"/>
        </w:rPr>
        <w:t>先行钻孔套打方式适用于N值30以上的硬质土层，在水泥土搅拌墙施工时,用装备有大功率减速机的钻孔机先行钻孔，局部松动硬土层，然后用三轴搅拌机跳打或单侧挤压方式施工完成水泥土搅拌墙。搅拌桩直径与先行钻孔直径关系见表6.2.3-1。先行施工时，可加入膨润土等外加剂便于松动土层。</w:t>
      </w:r>
    </w:p>
    <w:p w14:paraId="4BD322A4">
      <w:pPr>
        <w:autoSpaceDE w:val="0"/>
        <w:autoSpaceDN w:val="0"/>
        <w:adjustRightInd w:val="0"/>
        <w:snapToGrid w:val="0"/>
        <w:spacing w:line="400" w:lineRule="exact"/>
        <w:ind w:firstLine="480" w:firstLineChars="200"/>
        <w:jc w:val="center"/>
        <w:rPr>
          <w:rFonts w:hint="default" w:ascii="楷体" w:hAnsi="楷体" w:eastAsia="楷体" w:cs="楷体"/>
          <w:color w:val="auto"/>
          <w:szCs w:val="21"/>
          <w:highlight w:val="none"/>
          <w:u w:val="none"/>
          <w:lang w:val="en-US" w:eastAsia="zh-CN"/>
        </w:rPr>
      </w:pPr>
      <w:r>
        <w:rPr>
          <w:rFonts w:hint="eastAsia" w:ascii="楷体" w:hAnsi="楷体" w:eastAsia="楷体" w:cs="楷体"/>
          <w:color w:val="auto"/>
          <w:szCs w:val="21"/>
          <w:highlight w:val="none"/>
          <w:u w:val="none"/>
          <w:lang w:val="en-US" w:eastAsia="zh-CN"/>
        </w:rPr>
        <w:t>表6.2.3-1  搅拌桩直径与先行钻孔直径关系表(mm)</w:t>
      </w:r>
    </w:p>
    <w:tbl>
      <w:tblPr>
        <w:tblStyle w:val="13"/>
        <w:tblW w:w="5000" w:type="pct"/>
        <w:jc w:val="center"/>
        <w:tblLayout w:type="autofit"/>
        <w:tblCellMar>
          <w:top w:w="0" w:type="dxa"/>
          <w:left w:w="0" w:type="dxa"/>
          <w:bottom w:w="0" w:type="dxa"/>
          <w:right w:w="0" w:type="dxa"/>
        </w:tblCellMar>
      </w:tblPr>
      <w:tblGrid>
        <w:gridCol w:w="2829"/>
        <w:gridCol w:w="2009"/>
        <w:gridCol w:w="2009"/>
        <w:gridCol w:w="2214"/>
      </w:tblGrid>
      <w:tr w14:paraId="53BAFCD6">
        <w:tblPrEx>
          <w:tblCellMar>
            <w:top w:w="0" w:type="dxa"/>
            <w:left w:w="0" w:type="dxa"/>
            <w:bottom w:w="0" w:type="dxa"/>
            <w:right w:w="0"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5F99E47">
            <w:pPr>
              <w:jc w:val="center"/>
              <w:rPr>
                <w:rFonts w:hint="eastAsia" w:ascii="楷体" w:hAnsi="楷体" w:eastAsia="楷体" w:cs="楷体"/>
                <w:color w:val="auto"/>
                <w:highlight w:val="none"/>
              </w:rPr>
            </w:pPr>
            <w:r>
              <w:rPr>
                <w:rFonts w:hint="eastAsia" w:ascii="楷体" w:hAnsi="楷体" w:eastAsia="楷体" w:cs="楷体"/>
                <w:color w:val="auto"/>
                <w:highlight w:val="none"/>
              </w:rPr>
              <w:t>搅拌桩直径</w:t>
            </w:r>
          </w:p>
        </w:tc>
        <w:tc>
          <w:tcPr>
            <w:tcW w:w="0" w:type="auto"/>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9623A49">
            <w:pPr>
              <w:jc w:val="center"/>
              <w:rPr>
                <w:rFonts w:hint="eastAsia" w:ascii="楷体" w:hAnsi="楷体" w:eastAsia="楷体" w:cs="楷体"/>
                <w:color w:val="auto"/>
                <w:highlight w:val="none"/>
              </w:rPr>
            </w:pPr>
            <w:r>
              <w:rPr>
                <w:rFonts w:hint="eastAsia" w:ascii="楷体" w:hAnsi="楷体" w:eastAsia="楷体" w:cs="楷体"/>
                <w:color w:val="auto"/>
                <w:highlight w:val="none"/>
              </w:rPr>
              <w:t>650</w:t>
            </w:r>
          </w:p>
        </w:tc>
        <w:tc>
          <w:tcPr>
            <w:tcW w:w="0" w:type="auto"/>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AFC4ACC">
            <w:pPr>
              <w:jc w:val="center"/>
              <w:rPr>
                <w:rFonts w:hint="eastAsia" w:ascii="楷体" w:hAnsi="楷体" w:eastAsia="楷体" w:cs="楷体"/>
                <w:color w:val="auto"/>
                <w:highlight w:val="none"/>
              </w:rPr>
            </w:pPr>
            <w:r>
              <w:rPr>
                <w:rFonts w:hint="eastAsia" w:ascii="楷体" w:hAnsi="楷体" w:eastAsia="楷体" w:cs="楷体"/>
                <w:color w:val="auto"/>
                <w:highlight w:val="none"/>
              </w:rPr>
              <w:t>850</w:t>
            </w:r>
          </w:p>
        </w:tc>
        <w:tc>
          <w:tcPr>
            <w:tcW w:w="0" w:type="auto"/>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8C6D452">
            <w:pPr>
              <w:jc w:val="center"/>
              <w:rPr>
                <w:rFonts w:hint="eastAsia" w:ascii="楷体" w:hAnsi="楷体" w:eastAsia="楷体" w:cs="楷体"/>
                <w:color w:val="auto"/>
                <w:highlight w:val="none"/>
              </w:rPr>
            </w:pPr>
            <w:r>
              <w:rPr>
                <w:rFonts w:hint="eastAsia" w:ascii="楷体" w:hAnsi="楷体" w:eastAsia="楷体" w:cs="楷体"/>
                <w:color w:val="auto"/>
                <w:highlight w:val="none"/>
              </w:rPr>
              <w:t>1000</w:t>
            </w:r>
          </w:p>
        </w:tc>
      </w:tr>
      <w:tr w14:paraId="56B0CA91">
        <w:tblPrEx>
          <w:tblCellMar>
            <w:top w:w="0" w:type="dxa"/>
            <w:left w:w="0" w:type="dxa"/>
            <w:bottom w:w="0" w:type="dxa"/>
            <w:right w:w="0"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25ADC46">
            <w:pPr>
              <w:jc w:val="center"/>
              <w:rPr>
                <w:rFonts w:hint="eastAsia" w:ascii="楷体" w:hAnsi="楷体" w:eastAsia="楷体" w:cs="楷体"/>
                <w:color w:val="auto"/>
                <w:highlight w:val="none"/>
              </w:rPr>
            </w:pPr>
            <w:r>
              <w:rPr>
                <w:rFonts w:hint="eastAsia" w:ascii="楷体" w:hAnsi="楷体" w:eastAsia="楷体" w:cs="楷体"/>
                <w:color w:val="auto"/>
                <w:highlight w:val="none"/>
              </w:rPr>
              <w:t>先行钻孔直径</w:t>
            </w:r>
          </w:p>
        </w:tc>
        <w:tc>
          <w:tcPr>
            <w:tcW w:w="0" w:type="auto"/>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CE93893">
            <w:pPr>
              <w:jc w:val="center"/>
              <w:rPr>
                <w:rFonts w:hint="eastAsia" w:ascii="楷体" w:hAnsi="楷体" w:eastAsia="楷体" w:cs="楷体"/>
                <w:color w:val="auto"/>
                <w:highlight w:val="none"/>
              </w:rPr>
            </w:pPr>
            <w:r>
              <w:rPr>
                <w:rFonts w:hint="eastAsia" w:ascii="楷体" w:hAnsi="楷体" w:eastAsia="楷体" w:cs="楷体"/>
                <w:color w:val="auto"/>
                <w:highlight w:val="none"/>
              </w:rPr>
              <w:t>400～650</w:t>
            </w:r>
          </w:p>
        </w:tc>
        <w:tc>
          <w:tcPr>
            <w:tcW w:w="0" w:type="auto"/>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AD72397">
            <w:pPr>
              <w:jc w:val="center"/>
              <w:rPr>
                <w:rFonts w:hint="eastAsia" w:ascii="楷体" w:hAnsi="楷体" w:eastAsia="楷体" w:cs="楷体"/>
                <w:color w:val="auto"/>
                <w:highlight w:val="none"/>
              </w:rPr>
            </w:pPr>
            <w:r>
              <w:rPr>
                <w:rFonts w:hint="eastAsia" w:ascii="楷体" w:hAnsi="楷体" w:eastAsia="楷体" w:cs="楷体"/>
                <w:color w:val="auto"/>
                <w:highlight w:val="none"/>
              </w:rPr>
              <w:t>500～850</w:t>
            </w:r>
          </w:p>
        </w:tc>
        <w:tc>
          <w:tcPr>
            <w:tcW w:w="0" w:type="auto"/>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C93FF55">
            <w:pPr>
              <w:jc w:val="center"/>
              <w:rPr>
                <w:rFonts w:hint="eastAsia" w:ascii="楷体" w:hAnsi="楷体" w:eastAsia="楷体" w:cs="楷体"/>
                <w:color w:val="auto"/>
                <w:highlight w:val="none"/>
              </w:rPr>
            </w:pPr>
            <w:r>
              <w:rPr>
                <w:rFonts w:hint="eastAsia" w:ascii="楷体" w:hAnsi="楷体" w:eastAsia="楷体" w:cs="楷体"/>
                <w:color w:val="auto"/>
                <w:highlight w:val="none"/>
              </w:rPr>
              <w:t>700～1000</w:t>
            </w:r>
          </w:p>
        </w:tc>
      </w:tr>
    </w:tbl>
    <w:p w14:paraId="1556D19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楷体" w:cs="Times New Roman"/>
          <w:color w:val="auto"/>
          <w:sz w:val="24"/>
          <w:szCs w:val="28"/>
          <w:highlight w:val="none"/>
          <w:u w:val="single"/>
          <w:lang w:val="en-US" w:eastAsia="zh-CN"/>
        </w:rPr>
      </w:pPr>
      <w:r>
        <w:rPr>
          <w:rFonts w:hint="eastAsia" w:ascii="Times New Roman" w:hAnsi="Times New Roman" w:eastAsia="楷体" w:cs="Times New Roman"/>
          <w:color w:val="auto"/>
          <w:sz w:val="24"/>
          <w:szCs w:val="28"/>
          <w:highlight w:val="none"/>
          <w:u w:val="single"/>
          <w:lang w:val="en-US" w:eastAsia="zh-CN"/>
        </w:rPr>
        <w:t>旋喷桩的施工参数应根据土质条件、加固要求通过试验或根据工程经验确定，加固土体每立方的水泥掺入量不宜少于300kg。旋喷注浆的压力大，处理地基的效果好。根据国内实际工程中应用实例，单管法、双管法及三管法的高压水泥浆液流或高压水射流的压力应大于20MPa，流量大于30L/min，气流的压力以空气压缩机的最大压力为限，通常在0.7MPa左右，提升速度可取0.lm/min~0.2m/min，旋转速度宜取20r/min。实际施工孔位与设计孔位偏差过大时，会影响加固效果。故规定孔位偏差值应小于50mm，并且必须保持钻孔的垂直度。实际孔位、孔深和每个钻孔内的地下障碍物、洞穴、涌水、水及与岩土工程勘察报告不符等情况均应详细记录。旋喷注浆均自下而上进行。当注浆管不能一次提升完成而需分数次卸管时，卸管后喷射的搭接长度不得小于100mm，以保证固结体的整体性。当旋喷注浆过程中出现下列异常情况时，需查明原因并采取相应措施：1）流量不变而压力突然下降时，应检查各部位的泄漏情况，并应拔出注浆管，检查密封性能。2）出现不冒浆或断续冒浆时，若系土质松软则视为正常现象，可适当进行复喷；若系附近有空洞、通道，则应不提升注浆管继续注浆直至冒浆为止或拔出注浆管待浆液凝固后重新注浆。3）压力稍有下降时，可能系注浆管被击穿或有孔洞，使喷射能力降低。此时应拔出注浆管进行检查。4）压力陡增超过最高限值、流量为零、停机后压力仍不变动时，则可能系喷嘴堵塞。应拔管疏通喷嘴。</w:t>
      </w:r>
    </w:p>
    <w:p w14:paraId="513ADF36">
      <w:pPr>
        <w:pStyle w:val="6"/>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eastAsia="Times New Roman" w:cs="Times New Roman"/>
          <w:b/>
          <w:bCs/>
          <w:color w:val="auto"/>
          <w:spacing w:val="-2"/>
          <w:sz w:val="24"/>
          <w:szCs w:val="24"/>
          <w:lang w:val="en-US" w:eastAsia="zh-CN"/>
        </w:rPr>
      </w:pPr>
      <w:r>
        <w:rPr>
          <w:rFonts w:hint="eastAsia" w:ascii="Times New Roman" w:hAnsi="Times New Roman" w:eastAsia="Times New Roman" w:cs="Times New Roman"/>
          <w:b/>
          <w:bCs/>
          <w:color w:val="auto"/>
          <w:spacing w:val="-2"/>
          <w:sz w:val="24"/>
          <w:szCs w:val="24"/>
          <w:lang w:val="en-US" w:eastAsia="zh-CN"/>
        </w:rPr>
        <w:t>6</w:t>
      </w:r>
      <w:r>
        <w:rPr>
          <w:rFonts w:hint="default" w:ascii="Times New Roman" w:hAnsi="Times New Roman" w:eastAsia="Times New Roman" w:cs="Times New Roman"/>
          <w:b/>
          <w:bCs/>
          <w:color w:val="auto"/>
          <w:spacing w:val="-2"/>
          <w:sz w:val="24"/>
          <w:szCs w:val="24"/>
          <w:lang w:val="en-US" w:eastAsia="zh-CN"/>
        </w:rPr>
        <w:t>.</w:t>
      </w:r>
      <w:r>
        <w:rPr>
          <w:rFonts w:hint="eastAsia" w:ascii="Times New Roman" w:hAnsi="Times New Roman" w:eastAsia="Times New Roman" w:cs="Times New Roman"/>
          <w:b/>
          <w:bCs/>
          <w:color w:val="auto"/>
          <w:spacing w:val="-2"/>
          <w:sz w:val="24"/>
          <w:szCs w:val="24"/>
          <w:lang w:val="en-US" w:eastAsia="zh-CN"/>
        </w:rPr>
        <w:t>2</w:t>
      </w:r>
      <w:r>
        <w:rPr>
          <w:rFonts w:hint="default" w:ascii="Times New Roman" w:hAnsi="Times New Roman" w:eastAsia="Times New Roman" w:cs="Times New Roman"/>
          <w:b/>
          <w:bCs/>
          <w:color w:val="auto"/>
          <w:spacing w:val="-2"/>
          <w:sz w:val="24"/>
          <w:szCs w:val="24"/>
          <w:lang w:val="en-US" w:eastAsia="zh-CN"/>
        </w:rPr>
        <w:t>.</w:t>
      </w:r>
      <w:r>
        <w:rPr>
          <w:rFonts w:hint="eastAsia" w:ascii="Times New Roman" w:hAnsi="Times New Roman" w:eastAsia="Times New Roman" w:cs="Times New Roman"/>
          <w:b/>
          <w:bCs/>
          <w:color w:val="auto"/>
          <w:spacing w:val="-2"/>
          <w:sz w:val="24"/>
          <w:szCs w:val="24"/>
          <w:lang w:val="en-US" w:eastAsia="zh-CN"/>
        </w:rPr>
        <w:t>4 微型桩加固施工应符合下列规定：</w:t>
      </w:r>
    </w:p>
    <w:p w14:paraId="00095A25">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zh-CN" w:eastAsia="zh-CN"/>
        </w:rPr>
      </w:pPr>
      <w:r>
        <w:rPr>
          <w:rFonts w:hint="eastAsia" w:ascii="Times New Roman" w:hAnsi="Times New Roman" w:eastAsia="Times New Roman" w:cs="Times New Roman"/>
          <w:color w:val="auto"/>
          <w:spacing w:val="-4"/>
          <w:sz w:val="24"/>
          <w:szCs w:val="24"/>
          <w:lang w:val="en-US" w:eastAsia="zh-CN"/>
        </w:rPr>
        <w:t>1  桩位的允许偏差应小于50mm，垂直度的允许偏差应小于0.5%。</w:t>
      </w:r>
    </w:p>
    <w:p w14:paraId="6BA9CF68">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2  微型桩应与喷射混凝土面层贴合。</w:t>
      </w:r>
    </w:p>
    <w:p w14:paraId="28E26168">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3  应采取间隔施工、控制注浆压力和速度等措施，减小微型桩施工对基坑的不利影响。</w:t>
      </w:r>
    </w:p>
    <w:p w14:paraId="512F7816">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4  在成孔、注浆或压桩施工过程中，应加强对周围环境的监测。</w:t>
      </w:r>
    </w:p>
    <w:p w14:paraId="6D3C7397">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Times New Roman" w:hAnsi="Times New Roman" w:eastAsia="楷体" w:cs="Times New Roman"/>
          <w:color w:val="auto"/>
          <w:sz w:val="24"/>
          <w:szCs w:val="28"/>
          <w:highlight w:val="none"/>
          <w:u w:val="single"/>
          <w:lang w:val="en-US" w:eastAsia="zh-CN"/>
        </w:rPr>
      </w:pPr>
      <w:r>
        <w:rPr>
          <w:rFonts w:hint="eastAsia" w:ascii="Times New Roman" w:hAnsi="Times New Roman" w:eastAsia="楷体" w:cs="Times New Roman"/>
          <w:color w:val="auto"/>
          <w:sz w:val="24"/>
          <w:szCs w:val="28"/>
          <w:highlight w:val="none"/>
          <w:u w:val="single"/>
          <w:lang w:val="zh-CN" w:eastAsia="zh-CN"/>
        </w:rPr>
        <w:t>【</w:t>
      </w:r>
      <w:r>
        <w:rPr>
          <w:rFonts w:hint="eastAsia" w:ascii="Times New Roman" w:hAnsi="Times New Roman" w:eastAsia="楷体" w:cs="Times New Roman"/>
          <w:color w:val="auto"/>
          <w:sz w:val="24"/>
          <w:szCs w:val="28"/>
          <w:highlight w:val="none"/>
          <w:u w:val="single"/>
          <w:lang w:val="en-US" w:eastAsia="zh-CN"/>
        </w:rPr>
        <w:t>条文说明</w:t>
      </w:r>
      <w:r>
        <w:rPr>
          <w:rFonts w:hint="eastAsia" w:ascii="Times New Roman" w:hAnsi="Times New Roman" w:eastAsia="楷体" w:cs="Times New Roman"/>
          <w:color w:val="auto"/>
          <w:sz w:val="24"/>
          <w:szCs w:val="28"/>
          <w:highlight w:val="none"/>
          <w:u w:val="single"/>
          <w:lang w:val="zh-CN" w:eastAsia="zh-CN"/>
        </w:rPr>
        <w:t>】</w:t>
      </w:r>
      <w:r>
        <w:rPr>
          <w:rFonts w:hint="eastAsia" w:ascii="Times New Roman" w:hAnsi="Times New Roman" w:eastAsia="楷体" w:cs="Times New Roman"/>
          <w:color w:val="auto"/>
          <w:sz w:val="24"/>
          <w:szCs w:val="28"/>
          <w:highlight w:val="none"/>
          <w:u w:val="single"/>
          <w:lang w:val="en-US" w:eastAsia="zh-CN"/>
        </w:rPr>
        <w:t>微型桩施工应重点考虑对既有基坑带来的扰动影响，施工中需加强监测工作。</w:t>
      </w:r>
    </w:p>
    <w:p w14:paraId="5497ED10">
      <w:pPr>
        <w:pStyle w:val="6"/>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Times New Roman" w:hAnsi="Times New Roman" w:eastAsia="Times New Roman" w:cs="Times New Roman"/>
          <w:b/>
          <w:bCs/>
          <w:color w:val="auto"/>
          <w:spacing w:val="-2"/>
          <w:sz w:val="24"/>
          <w:szCs w:val="24"/>
        </w:rPr>
      </w:pPr>
      <w:r>
        <w:rPr>
          <w:rFonts w:hint="eastAsia" w:ascii="Times New Roman" w:hAnsi="Times New Roman" w:eastAsia="Times New Roman" w:cs="Times New Roman"/>
          <w:b/>
          <w:bCs/>
          <w:color w:val="auto"/>
          <w:spacing w:val="-2"/>
          <w:sz w:val="24"/>
          <w:szCs w:val="24"/>
          <w:lang w:val="en-US" w:eastAsia="zh-CN"/>
        </w:rPr>
        <w:t>6</w:t>
      </w:r>
      <w:r>
        <w:rPr>
          <w:rFonts w:hint="default" w:ascii="Times New Roman" w:hAnsi="Times New Roman" w:eastAsia="Times New Roman" w:cs="Times New Roman"/>
          <w:b/>
          <w:bCs/>
          <w:color w:val="auto"/>
          <w:spacing w:val="-2"/>
          <w:sz w:val="24"/>
          <w:szCs w:val="24"/>
          <w:lang w:val="en-US" w:eastAsia="zh-CN"/>
        </w:rPr>
        <w:t>.</w:t>
      </w:r>
      <w:r>
        <w:rPr>
          <w:rFonts w:hint="eastAsia" w:ascii="Times New Roman" w:hAnsi="Times New Roman" w:eastAsia="Times New Roman" w:cs="Times New Roman"/>
          <w:b/>
          <w:bCs/>
          <w:color w:val="auto"/>
          <w:spacing w:val="-2"/>
          <w:sz w:val="24"/>
          <w:szCs w:val="24"/>
          <w:lang w:val="en-US" w:eastAsia="zh-CN"/>
        </w:rPr>
        <w:t>2</w:t>
      </w:r>
      <w:r>
        <w:rPr>
          <w:rFonts w:hint="default" w:ascii="Times New Roman" w:hAnsi="Times New Roman" w:eastAsia="Times New Roman" w:cs="Times New Roman"/>
          <w:b/>
          <w:bCs/>
          <w:color w:val="auto"/>
          <w:spacing w:val="-2"/>
          <w:sz w:val="24"/>
          <w:szCs w:val="24"/>
          <w:lang w:val="en-US" w:eastAsia="zh-CN"/>
        </w:rPr>
        <w:t>.</w:t>
      </w:r>
      <w:r>
        <w:rPr>
          <w:rFonts w:hint="eastAsia" w:ascii="Times New Roman" w:hAnsi="Times New Roman" w:eastAsia="Times New Roman" w:cs="Times New Roman"/>
          <w:b/>
          <w:bCs/>
          <w:color w:val="auto"/>
          <w:spacing w:val="-2"/>
          <w:sz w:val="24"/>
          <w:szCs w:val="24"/>
          <w:lang w:val="en-US" w:eastAsia="zh-CN"/>
        </w:rPr>
        <w:t>5 钢板桩加固施工应符合下列规定：</w:t>
      </w:r>
    </w:p>
    <w:p w14:paraId="426D018C">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1  新增钢板桩施工时，应采用减少沉桩时的挤土与振动影响的工艺和设备，并选择合适的插打顺序，避免钢板桩施工引发既有基坑变形增大、稳定性降低等情况，必要时宜采用静压设备进行沉桩和拔桩。</w:t>
      </w:r>
    </w:p>
    <w:p w14:paraId="115B8E8E">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2  钢板桩用于加固坡脚时应采取堆载反压等增强基坑稳定性的措施，并作为钢板桩插打施工平台；</w:t>
      </w:r>
    </w:p>
    <w:p w14:paraId="7A671C87">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3  新增钢板桩有止水要求时，应采用小锁口搭接方式施工，并在锁口间涂抹沥青类密封剂、水溶性膨胀型密封剂或其他密封止水材料。</w:t>
      </w:r>
    </w:p>
    <w:p w14:paraId="67CE8953">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default"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4  钢板桩拔桩前，应仔细研究拔桩方法、拔桩顺序和拔桩时间及桩孔处理方案；应根据钢板桩的截面、桩长、地质参数、打入时间、打桩方法和周边环境条件等选用合适的拔桩设备。</w:t>
      </w:r>
    </w:p>
    <w:p w14:paraId="4BE95D17">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5  钢板桩拔桩顺序宜与沉桩顺序相反，必要时也可间隔拔除；拔桩时应对桩孔进行回填处理，根据现场实际情况，可采用浇水灌砂捣实或注浆等措施进行处理。</w:t>
      </w:r>
    </w:p>
    <w:p w14:paraId="4A661C76">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Times New Roman" w:hAnsi="Times New Roman" w:eastAsia="楷体" w:cs="Times New Roman"/>
          <w:color w:val="auto"/>
          <w:sz w:val="24"/>
          <w:szCs w:val="28"/>
          <w:highlight w:val="none"/>
          <w:u w:val="single"/>
          <w:lang w:val="en-US" w:eastAsia="zh-CN"/>
        </w:rPr>
      </w:pPr>
      <w:r>
        <w:rPr>
          <w:rFonts w:hint="eastAsia" w:ascii="Times New Roman" w:hAnsi="Times New Roman" w:eastAsia="楷体" w:cs="Times New Roman"/>
          <w:color w:val="auto"/>
          <w:sz w:val="24"/>
          <w:szCs w:val="28"/>
          <w:highlight w:val="none"/>
          <w:u w:val="single"/>
          <w:lang w:val="zh-CN" w:eastAsia="zh-CN"/>
        </w:rPr>
        <w:t>【</w:t>
      </w:r>
      <w:r>
        <w:rPr>
          <w:rFonts w:hint="eastAsia" w:ascii="Times New Roman" w:hAnsi="Times New Roman" w:eastAsia="楷体" w:cs="Times New Roman"/>
          <w:color w:val="auto"/>
          <w:sz w:val="24"/>
          <w:szCs w:val="28"/>
          <w:highlight w:val="none"/>
          <w:u w:val="single"/>
          <w:lang w:val="en-US" w:eastAsia="zh-CN"/>
        </w:rPr>
        <w:t>条文说明</w:t>
      </w:r>
      <w:r>
        <w:rPr>
          <w:rFonts w:hint="eastAsia" w:ascii="Times New Roman" w:hAnsi="Times New Roman" w:eastAsia="楷体" w:cs="Times New Roman"/>
          <w:color w:val="auto"/>
          <w:sz w:val="24"/>
          <w:szCs w:val="28"/>
          <w:highlight w:val="none"/>
          <w:u w:val="single"/>
          <w:lang w:val="zh-CN" w:eastAsia="zh-CN"/>
        </w:rPr>
        <w:t>】</w:t>
      </w:r>
      <w:r>
        <w:rPr>
          <w:rFonts w:hint="eastAsia" w:ascii="Times New Roman" w:hAnsi="Times New Roman" w:eastAsia="楷体" w:cs="Times New Roman"/>
          <w:color w:val="auto"/>
          <w:sz w:val="24"/>
          <w:szCs w:val="28"/>
          <w:highlight w:val="none"/>
          <w:u w:val="single"/>
          <w:lang w:val="en-US" w:eastAsia="zh-CN"/>
        </w:rPr>
        <w:t>钢板桩施工一般采用锤击打入法、振动打入法、静力压入法及振动锤击打入法等施工方法，但新增钢板桩的插打工艺应根据具体工程的条件不同合理选择，选择的插打方式以减少对既有基坑的影响为原则，优先考虑采用静力压入法。若采用锤击、振动等施工方法时，宜在施工前采取堆载反压等增强基坑稳定性的措施。</w:t>
      </w:r>
    </w:p>
    <w:p w14:paraId="3848EF4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楷体" w:cs="Times New Roman"/>
          <w:color w:val="auto"/>
          <w:sz w:val="24"/>
          <w:szCs w:val="28"/>
          <w:highlight w:val="none"/>
          <w:u w:val="single"/>
          <w:lang w:val="en-US" w:eastAsia="zh-CN"/>
        </w:rPr>
      </w:pPr>
      <w:r>
        <w:rPr>
          <w:rFonts w:hint="eastAsia" w:ascii="Times New Roman" w:hAnsi="Times New Roman" w:eastAsia="楷体" w:cs="Times New Roman"/>
          <w:color w:val="auto"/>
          <w:sz w:val="24"/>
          <w:szCs w:val="28"/>
          <w:highlight w:val="none"/>
          <w:u w:val="single"/>
          <w:lang w:val="en-US" w:eastAsia="zh-CN"/>
        </w:rPr>
        <w:t>钢板桩需要拔除重复利用，拔桩过程中一般或多或少都会带出部分土体形成桩孔，根据施工经验，拔桩期间容易造成相邻地面下沉和出现裂缝，因此，如果拔桩部位邻近有保护要求严格的建（构）筑物、道路等，应引起特别重视，要加强变形监测，并按照本条桩孔处理措施做好相应的应急预案工作。</w:t>
      </w:r>
    </w:p>
    <w:p w14:paraId="42743FB9">
      <w:pPr>
        <w:pStyle w:val="6"/>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Times New Roman" w:hAnsi="Times New Roman" w:eastAsia="Times New Roman" w:cs="Times New Roman"/>
          <w:b/>
          <w:bCs/>
          <w:color w:val="auto"/>
          <w:spacing w:val="-2"/>
          <w:sz w:val="24"/>
          <w:szCs w:val="24"/>
          <w:lang w:val="en-US" w:eastAsia="zh-CN"/>
        </w:rPr>
      </w:pPr>
      <w:r>
        <w:rPr>
          <w:rFonts w:hint="eastAsia" w:ascii="Times New Roman" w:hAnsi="Times New Roman" w:eastAsia="Times New Roman" w:cs="Times New Roman"/>
          <w:b/>
          <w:bCs/>
          <w:color w:val="auto"/>
          <w:spacing w:val="-2"/>
          <w:sz w:val="24"/>
          <w:szCs w:val="24"/>
          <w:lang w:val="en-US" w:eastAsia="zh-CN"/>
        </w:rPr>
        <w:t>6</w:t>
      </w:r>
      <w:r>
        <w:rPr>
          <w:rFonts w:hint="default" w:ascii="Times New Roman" w:hAnsi="Times New Roman" w:eastAsia="Times New Roman" w:cs="Times New Roman"/>
          <w:b/>
          <w:bCs/>
          <w:color w:val="auto"/>
          <w:spacing w:val="-2"/>
          <w:sz w:val="24"/>
          <w:szCs w:val="24"/>
          <w:lang w:val="en-US" w:eastAsia="zh-CN"/>
        </w:rPr>
        <w:t>.</w:t>
      </w:r>
      <w:r>
        <w:rPr>
          <w:rFonts w:hint="eastAsia" w:ascii="Times New Roman" w:hAnsi="Times New Roman" w:eastAsia="Times New Roman" w:cs="Times New Roman"/>
          <w:b/>
          <w:bCs/>
          <w:color w:val="auto"/>
          <w:spacing w:val="-2"/>
          <w:sz w:val="24"/>
          <w:szCs w:val="24"/>
          <w:lang w:val="en-US" w:eastAsia="zh-CN"/>
        </w:rPr>
        <w:t>2</w:t>
      </w:r>
      <w:r>
        <w:rPr>
          <w:rFonts w:hint="default" w:ascii="Times New Roman" w:hAnsi="Times New Roman" w:eastAsia="Times New Roman" w:cs="Times New Roman"/>
          <w:b/>
          <w:bCs/>
          <w:color w:val="auto"/>
          <w:spacing w:val="-2"/>
          <w:sz w:val="24"/>
          <w:szCs w:val="24"/>
          <w:lang w:val="en-US" w:eastAsia="zh-CN"/>
        </w:rPr>
        <w:t>.</w:t>
      </w:r>
      <w:r>
        <w:rPr>
          <w:rFonts w:hint="eastAsia" w:ascii="Times New Roman" w:hAnsi="Times New Roman" w:eastAsia="Times New Roman" w:cs="Times New Roman"/>
          <w:b/>
          <w:bCs/>
          <w:color w:val="auto"/>
          <w:spacing w:val="-2"/>
          <w:sz w:val="24"/>
          <w:szCs w:val="24"/>
          <w:lang w:val="en-US" w:eastAsia="zh-CN"/>
        </w:rPr>
        <w:t>6 锚杆（索）加固施工应符合下列规定：</w:t>
      </w:r>
    </w:p>
    <w:p w14:paraId="36F4532A">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zh-CN" w:eastAsia="zh-CN"/>
        </w:rPr>
      </w:pPr>
      <w:r>
        <w:rPr>
          <w:rFonts w:hint="eastAsia" w:ascii="Times New Roman" w:hAnsi="Times New Roman" w:eastAsia="Times New Roman" w:cs="Times New Roman"/>
          <w:color w:val="auto"/>
          <w:spacing w:val="-4"/>
          <w:sz w:val="24"/>
          <w:szCs w:val="24"/>
          <w:lang w:val="en-US" w:eastAsia="zh-CN"/>
        </w:rPr>
        <w:t>1  当新增锚杆（索）穿过的地层附近存在既有地下管线、地下构筑物时，应在调查或探明其位置、尺寸、走向、类型、使用状况等情况后再进行锚杆（索）施工。</w:t>
      </w:r>
    </w:p>
    <w:p w14:paraId="74567E73">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2  应根据成孔段土质类别及成孔施工对周边环境的影响，选择合理的成孔方式。</w:t>
      </w:r>
    </w:p>
    <w:p w14:paraId="248E9F5C">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3  新增锚杆（索）注浆时应控制注浆压力，防止影响已施工锚杆，水泥浆或水泥砂浆内可掺入提高注浆固结体早期强度或微膨胀的外加剂，注浆应由内向外分段依次进行。</w:t>
      </w:r>
    </w:p>
    <w:p w14:paraId="345F673F">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4  预应力锚杆（索）张拉顺序应避免相近锚杆（索）相互影响，并应采用分级张拉到位的施工方法；当原有锚杆（索）预应力损失严重时，应进行再次锁定；锚杆（索）出现锚头松弛、脱落、锚具失效等情况时，应及时进行修复并对其进行再次锁定。</w:t>
      </w:r>
    </w:p>
    <w:p w14:paraId="1AD733B1">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5  预应力张拉过程中，应加强监测原支护结构及构件的变形，防止预应力张拉对其造成危害。</w:t>
      </w:r>
    </w:p>
    <w:p w14:paraId="3732EE19">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Times New Roman" w:hAnsi="Times New Roman" w:eastAsia="楷体" w:cs="Times New Roman"/>
          <w:color w:val="auto"/>
          <w:sz w:val="24"/>
          <w:szCs w:val="28"/>
          <w:highlight w:val="none"/>
          <w:u w:val="single"/>
          <w:lang w:val="en-US" w:eastAsia="zh-CN"/>
        </w:rPr>
      </w:pPr>
      <w:r>
        <w:rPr>
          <w:rFonts w:hint="eastAsia" w:ascii="Times New Roman" w:hAnsi="Times New Roman" w:eastAsia="楷体" w:cs="Times New Roman"/>
          <w:color w:val="auto"/>
          <w:sz w:val="24"/>
          <w:szCs w:val="28"/>
          <w:highlight w:val="none"/>
          <w:u w:val="single"/>
          <w:lang w:val="zh-CN" w:eastAsia="zh-CN"/>
        </w:rPr>
        <w:t>【</w:t>
      </w:r>
      <w:r>
        <w:rPr>
          <w:rFonts w:hint="eastAsia" w:ascii="Times New Roman" w:hAnsi="Times New Roman" w:eastAsia="楷体" w:cs="Times New Roman"/>
          <w:color w:val="auto"/>
          <w:sz w:val="24"/>
          <w:szCs w:val="28"/>
          <w:highlight w:val="none"/>
          <w:u w:val="single"/>
          <w:lang w:val="en-US" w:eastAsia="zh-CN"/>
        </w:rPr>
        <w:t>条文说明</w:t>
      </w:r>
      <w:r>
        <w:rPr>
          <w:rFonts w:hint="eastAsia" w:ascii="Times New Roman" w:hAnsi="Times New Roman" w:eastAsia="楷体" w:cs="Times New Roman"/>
          <w:color w:val="auto"/>
          <w:sz w:val="24"/>
          <w:szCs w:val="28"/>
          <w:highlight w:val="none"/>
          <w:u w:val="single"/>
          <w:lang w:val="zh-CN" w:eastAsia="zh-CN"/>
        </w:rPr>
        <w:t>】</w:t>
      </w:r>
      <w:r>
        <w:rPr>
          <w:rFonts w:hint="eastAsia" w:ascii="Times New Roman" w:hAnsi="Times New Roman" w:eastAsia="楷体" w:cs="Times New Roman"/>
          <w:color w:val="auto"/>
          <w:sz w:val="24"/>
          <w:szCs w:val="28"/>
          <w:highlight w:val="none"/>
          <w:u w:val="single"/>
          <w:lang w:val="en-US" w:eastAsia="zh-CN"/>
        </w:rPr>
        <w:t>锚杆（索）成孔是锚杆（索）施工的一个关键环节，应注意以下问题:1.塌孔。造成锚杆（索）杆体不能插入，使注浆液掺入杂物而影响固结体完整性和强度、影响握裹力和粘结强度，使钻孔周围土体塌落、建筑物基础下沉等。2.遭遇障碍物。使锚杆（索）达不到设计长度，如果碰到电力、通信、煤气管线等地下管线会使其损坏并酿成严重后果。</w:t>
      </w:r>
    </w:p>
    <w:p w14:paraId="756B25A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楷体" w:cs="Times New Roman"/>
          <w:color w:val="auto"/>
          <w:sz w:val="24"/>
          <w:szCs w:val="28"/>
          <w:highlight w:val="none"/>
          <w:u w:val="single"/>
          <w:lang w:val="en-US" w:eastAsia="zh-CN"/>
        </w:rPr>
      </w:pPr>
      <w:r>
        <w:rPr>
          <w:rFonts w:hint="eastAsia" w:ascii="Times New Roman" w:hAnsi="Times New Roman" w:eastAsia="楷体" w:cs="Times New Roman"/>
          <w:color w:val="auto"/>
          <w:sz w:val="24"/>
          <w:szCs w:val="28"/>
          <w:highlight w:val="none"/>
          <w:u w:val="single"/>
          <w:lang w:val="en-US" w:eastAsia="zh-CN"/>
        </w:rPr>
        <w:t>采用水钻、气钻成孔法施工可能引发边坡变形增大、稳定性降低时，应采用干钻成孔法施工。</w:t>
      </w:r>
    </w:p>
    <w:p w14:paraId="299529F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楷体" w:cs="Times New Roman"/>
          <w:color w:val="auto"/>
          <w:sz w:val="24"/>
          <w:szCs w:val="28"/>
          <w:highlight w:val="none"/>
          <w:u w:val="single"/>
          <w:lang w:val="en-US" w:eastAsia="zh-CN"/>
        </w:rPr>
      </w:pPr>
      <w:r>
        <w:rPr>
          <w:rFonts w:hint="eastAsia" w:ascii="Times New Roman" w:hAnsi="Times New Roman" w:eastAsia="楷体" w:cs="Times New Roman"/>
          <w:color w:val="auto"/>
          <w:sz w:val="24"/>
          <w:szCs w:val="28"/>
          <w:highlight w:val="none"/>
          <w:u w:val="single"/>
          <w:lang w:val="en-US" w:eastAsia="zh-CN"/>
        </w:rPr>
        <w:t>锚杆（索）预应力张拉过程会出现应力集中，可能引起原支护结构局部损坏或压缩变形，因此在张拉时，不但要分级张拉到位，同时需加强对原支护结构及构件变形的监测。</w:t>
      </w:r>
    </w:p>
    <w:p w14:paraId="2D0A490C">
      <w:pPr>
        <w:pStyle w:val="6"/>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Times New Roman" w:hAnsi="Times New Roman" w:eastAsia="Times New Roman" w:cs="Times New Roman"/>
          <w:b/>
          <w:bCs/>
          <w:color w:val="auto"/>
          <w:spacing w:val="-2"/>
          <w:sz w:val="24"/>
          <w:szCs w:val="24"/>
          <w:lang w:val="en-US" w:eastAsia="zh-CN"/>
        </w:rPr>
      </w:pPr>
      <w:r>
        <w:rPr>
          <w:rFonts w:hint="eastAsia" w:ascii="Times New Roman" w:hAnsi="Times New Roman" w:eastAsia="Times New Roman" w:cs="Times New Roman"/>
          <w:b/>
          <w:bCs/>
          <w:color w:val="auto"/>
          <w:spacing w:val="-2"/>
          <w:sz w:val="24"/>
          <w:szCs w:val="24"/>
          <w:lang w:val="en-US" w:eastAsia="zh-CN"/>
        </w:rPr>
        <w:t>6</w:t>
      </w:r>
      <w:r>
        <w:rPr>
          <w:rFonts w:hint="default" w:ascii="Times New Roman" w:hAnsi="Times New Roman" w:eastAsia="Times New Roman" w:cs="Times New Roman"/>
          <w:b/>
          <w:bCs/>
          <w:color w:val="auto"/>
          <w:spacing w:val="-2"/>
          <w:sz w:val="24"/>
          <w:szCs w:val="24"/>
          <w:lang w:val="en-US" w:eastAsia="zh-CN"/>
        </w:rPr>
        <w:t>.</w:t>
      </w:r>
      <w:r>
        <w:rPr>
          <w:rFonts w:hint="eastAsia" w:ascii="Times New Roman" w:hAnsi="Times New Roman" w:eastAsia="Times New Roman" w:cs="Times New Roman"/>
          <w:b/>
          <w:bCs/>
          <w:color w:val="auto"/>
          <w:spacing w:val="-2"/>
          <w:sz w:val="24"/>
          <w:szCs w:val="24"/>
          <w:lang w:val="en-US" w:eastAsia="zh-CN"/>
        </w:rPr>
        <w:t>2</w:t>
      </w:r>
      <w:r>
        <w:rPr>
          <w:rFonts w:hint="default" w:ascii="Times New Roman" w:hAnsi="Times New Roman" w:eastAsia="Times New Roman" w:cs="Times New Roman"/>
          <w:b/>
          <w:bCs/>
          <w:color w:val="auto"/>
          <w:spacing w:val="-2"/>
          <w:sz w:val="24"/>
          <w:szCs w:val="24"/>
          <w:lang w:val="en-US" w:eastAsia="zh-CN"/>
        </w:rPr>
        <w:t>.</w:t>
      </w:r>
      <w:r>
        <w:rPr>
          <w:rFonts w:hint="eastAsia" w:ascii="Times New Roman" w:hAnsi="Times New Roman" w:eastAsia="Times New Roman" w:cs="Times New Roman"/>
          <w:b/>
          <w:bCs/>
          <w:color w:val="auto"/>
          <w:spacing w:val="-2"/>
          <w:sz w:val="24"/>
          <w:szCs w:val="24"/>
          <w:lang w:val="en-US" w:eastAsia="zh-CN"/>
        </w:rPr>
        <w:t>7 灌注桩加固施工应符合下列规定：</w:t>
      </w:r>
    </w:p>
    <w:p w14:paraId="3C1174DE">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zh-CN" w:eastAsia="zh-CN"/>
        </w:rPr>
      </w:pPr>
      <w:r>
        <w:rPr>
          <w:rFonts w:hint="eastAsia" w:ascii="Times New Roman" w:hAnsi="Times New Roman" w:eastAsia="Times New Roman" w:cs="Times New Roman"/>
          <w:color w:val="auto"/>
          <w:spacing w:val="-4"/>
          <w:sz w:val="24"/>
          <w:szCs w:val="24"/>
          <w:lang w:val="en-US" w:eastAsia="zh-CN"/>
        </w:rPr>
        <w:t>1  新增灌注桩施工时，应确保既有基坑安全，必要时宜采取堆载反压等增强基坑稳定性的措施。</w:t>
      </w:r>
    </w:p>
    <w:p w14:paraId="45962C24">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2  新增灌注桩应分段间隔施工，减少对既有基坑已施工锚杆（索）等支护结构的不利影响，成孔施工时宜采用增设钢套管等方法减少对土体的影响。</w:t>
      </w:r>
    </w:p>
    <w:p w14:paraId="3DFA27B8">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3  灌注桩的施工应符合现行行业标准《建筑桩基技术规范》JGJ94中对相应桩型的有关规定。</w:t>
      </w:r>
    </w:p>
    <w:p w14:paraId="5FA0437B">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4  当新增灌注桩位邻近的既有建筑物、地下管线、地下构筑物对地基变形敏感时，应根据其位置、类型、材料特性、使用状况等相应采取防护措施控制地基变形。</w:t>
      </w:r>
    </w:p>
    <w:p w14:paraId="349675BD">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5  灌注桩施工应根据岩土类别及现场条件等合理选择施工机械及方法，采用机械设备宜轻便、灵活且便于操作。</w:t>
      </w:r>
    </w:p>
    <w:p w14:paraId="6C8B4ABB">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6  滑坡区施工开挖的弃渣不得随意堆放在滑坡体内，以免引起新的滑坡。</w:t>
      </w:r>
    </w:p>
    <w:p w14:paraId="6D3CEE9A">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7  桩身混凝土宜连续灌注，避免形成水平施工缝。</w:t>
      </w:r>
    </w:p>
    <w:p w14:paraId="5DC88ED0">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8  新增灌注桩冠梁与既有基坑支护桩冠梁通过连梁或连板进行连接时，应将连梁或连板钢筋与既有基坑支护桩冠梁通过植筋连接，新旧混凝土结合面之间应凿毛处理，植筋及结合面处理应符合国家现行有关标准的规定。</w:t>
      </w:r>
    </w:p>
    <w:p w14:paraId="5E96A367">
      <w:pPr>
        <w:autoSpaceDE w:val="0"/>
        <w:autoSpaceDN w:val="0"/>
        <w:adjustRightInd w:val="0"/>
        <w:snapToGrid w:val="0"/>
        <w:spacing w:line="400" w:lineRule="exact"/>
        <w:rPr>
          <w:rFonts w:hint="eastAsia" w:ascii="楷体" w:hAnsi="楷体" w:eastAsia="楷体" w:cs="楷体"/>
          <w:b/>
          <w:bCs/>
          <w:color w:val="auto"/>
          <w:szCs w:val="21"/>
          <w:highlight w:val="none"/>
          <w:lang w:val="en-US" w:eastAsia="zh-CN"/>
        </w:rPr>
      </w:pPr>
      <w:r>
        <w:rPr>
          <w:rFonts w:hint="eastAsia" w:ascii="Times New Roman" w:hAnsi="Times New Roman" w:eastAsia="楷体" w:cs="Times New Roman"/>
          <w:color w:val="auto"/>
          <w:sz w:val="24"/>
          <w:szCs w:val="28"/>
          <w:highlight w:val="none"/>
          <w:u w:val="single"/>
          <w:lang w:val="zh-CN" w:eastAsia="zh-CN"/>
        </w:rPr>
        <w:t>【</w:t>
      </w:r>
      <w:r>
        <w:rPr>
          <w:rFonts w:hint="eastAsia" w:ascii="Times New Roman" w:hAnsi="Times New Roman" w:eastAsia="楷体" w:cs="Times New Roman"/>
          <w:color w:val="auto"/>
          <w:sz w:val="24"/>
          <w:szCs w:val="28"/>
          <w:highlight w:val="none"/>
          <w:u w:val="single"/>
          <w:lang w:val="en-US" w:eastAsia="zh-CN"/>
        </w:rPr>
        <w:t>条文说明</w:t>
      </w:r>
      <w:r>
        <w:rPr>
          <w:rFonts w:hint="eastAsia" w:ascii="Times New Roman" w:hAnsi="Times New Roman" w:eastAsia="楷体" w:cs="Times New Roman"/>
          <w:color w:val="auto"/>
          <w:sz w:val="24"/>
          <w:szCs w:val="28"/>
          <w:highlight w:val="none"/>
          <w:u w:val="single"/>
          <w:lang w:val="zh-CN" w:eastAsia="zh-CN"/>
        </w:rPr>
        <w:t>】</w:t>
      </w:r>
      <w:r>
        <w:rPr>
          <w:rFonts w:hint="eastAsia" w:ascii="Times New Roman" w:hAnsi="Times New Roman" w:eastAsia="楷体" w:cs="Times New Roman"/>
          <w:color w:val="auto"/>
          <w:sz w:val="24"/>
          <w:szCs w:val="28"/>
          <w:highlight w:val="none"/>
          <w:u w:val="single"/>
          <w:lang w:val="en-US" w:eastAsia="zh-CN"/>
        </w:rPr>
        <w:t>新增灌注桩施工会对基坑进一步扰动，基坑的稳定性处于相对较低时期。施工采取间隔施工等措施尽量减少对基坑的扰动，有利于保证施工期间基坑的安全。</w:t>
      </w:r>
    </w:p>
    <w:p w14:paraId="66DFA14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楷体" w:cs="Times New Roman"/>
          <w:color w:val="auto"/>
          <w:sz w:val="24"/>
          <w:szCs w:val="28"/>
          <w:highlight w:val="none"/>
          <w:u w:val="single"/>
          <w:lang w:val="en-US" w:eastAsia="zh-CN"/>
        </w:rPr>
      </w:pPr>
      <w:r>
        <w:rPr>
          <w:rFonts w:hint="eastAsia" w:ascii="Times New Roman" w:hAnsi="Times New Roman" w:eastAsia="楷体" w:cs="Times New Roman"/>
          <w:color w:val="auto"/>
          <w:sz w:val="24"/>
          <w:szCs w:val="28"/>
          <w:highlight w:val="none"/>
          <w:u w:val="single"/>
          <w:lang w:val="en-US" w:eastAsia="zh-CN"/>
        </w:rPr>
        <w:t>对当灌注桩附近存在既有建筑物、地下管线等环境且需要保护时，应注意一些桩的施工问题。这些问题处理不当，经常会造成基坑周边建筑物、地下管线等被损害的工程事故。因具体工程的条件不同，应具体问题具体分析，结合实际情况采取相应的有效保护措施。</w:t>
      </w:r>
    </w:p>
    <w:p w14:paraId="7809382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楷体" w:cs="Times New Roman"/>
          <w:color w:val="auto"/>
          <w:sz w:val="24"/>
          <w:szCs w:val="28"/>
          <w:highlight w:val="none"/>
          <w:u w:val="single"/>
          <w:lang w:val="en-US" w:eastAsia="zh-CN"/>
        </w:rPr>
      </w:pPr>
      <w:r>
        <w:rPr>
          <w:rFonts w:hint="eastAsia" w:ascii="Times New Roman" w:hAnsi="Times New Roman" w:eastAsia="楷体" w:cs="Times New Roman"/>
          <w:color w:val="auto"/>
          <w:sz w:val="24"/>
          <w:szCs w:val="28"/>
          <w:highlight w:val="none"/>
          <w:u w:val="single"/>
          <w:lang w:val="en-US" w:eastAsia="zh-CN"/>
        </w:rPr>
        <w:t>由于连梁及连板与既有基坑冠梁的连接处是混凝土两次浇筑的结合面，如该结合面薄弱或钢筋锚固不够时，会剪切破坏不能传递剪力。因此，应保证结合面的施工质量。</w:t>
      </w:r>
    </w:p>
    <w:p w14:paraId="3813F091">
      <w:pPr>
        <w:pStyle w:val="6"/>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Times New Roman" w:hAnsi="Times New Roman" w:eastAsia="Times New Roman" w:cs="Times New Roman"/>
          <w:b/>
          <w:bCs/>
          <w:color w:val="auto"/>
          <w:spacing w:val="-2"/>
          <w:sz w:val="24"/>
          <w:szCs w:val="24"/>
          <w:lang w:val="en-US" w:eastAsia="zh-CN"/>
        </w:rPr>
      </w:pPr>
      <w:r>
        <w:rPr>
          <w:rFonts w:hint="eastAsia" w:ascii="Times New Roman" w:hAnsi="Times New Roman" w:eastAsia="Times New Roman" w:cs="Times New Roman"/>
          <w:b/>
          <w:bCs/>
          <w:color w:val="auto"/>
          <w:spacing w:val="-2"/>
          <w:sz w:val="24"/>
          <w:szCs w:val="24"/>
          <w:lang w:val="en-US" w:eastAsia="zh-CN"/>
        </w:rPr>
        <w:t>6</w:t>
      </w:r>
      <w:r>
        <w:rPr>
          <w:rFonts w:hint="default" w:ascii="Times New Roman" w:hAnsi="Times New Roman" w:eastAsia="Times New Roman" w:cs="Times New Roman"/>
          <w:b/>
          <w:bCs/>
          <w:color w:val="auto"/>
          <w:spacing w:val="-2"/>
          <w:sz w:val="24"/>
          <w:szCs w:val="24"/>
          <w:lang w:val="en-US" w:eastAsia="zh-CN"/>
        </w:rPr>
        <w:t>.</w:t>
      </w:r>
      <w:r>
        <w:rPr>
          <w:rFonts w:hint="eastAsia" w:ascii="Times New Roman" w:hAnsi="Times New Roman" w:eastAsia="Times New Roman" w:cs="Times New Roman"/>
          <w:b/>
          <w:bCs/>
          <w:color w:val="auto"/>
          <w:spacing w:val="-2"/>
          <w:sz w:val="24"/>
          <w:szCs w:val="24"/>
          <w:lang w:val="en-US" w:eastAsia="zh-CN"/>
        </w:rPr>
        <w:t>2</w:t>
      </w:r>
      <w:r>
        <w:rPr>
          <w:rFonts w:hint="default" w:ascii="Times New Roman" w:hAnsi="Times New Roman" w:eastAsia="Times New Roman" w:cs="Times New Roman"/>
          <w:b/>
          <w:bCs/>
          <w:color w:val="auto"/>
          <w:spacing w:val="-2"/>
          <w:sz w:val="24"/>
          <w:szCs w:val="24"/>
          <w:lang w:val="en-US" w:eastAsia="zh-CN"/>
        </w:rPr>
        <w:t>.</w:t>
      </w:r>
      <w:r>
        <w:rPr>
          <w:rFonts w:hint="eastAsia" w:ascii="Times New Roman" w:hAnsi="Times New Roman" w:eastAsia="Times New Roman" w:cs="Times New Roman"/>
          <w:b/>
          <w:bCs/>
          <w:color w:val="auto"/>
          <w:spacing w:val="-2"/>
          <w:sz w:val="24"/>
          <w:szCs w:val="24"/>
          <w:lang w:val="en-US" w:eastAsia="zh-CN"/>
        </w:rPr>
        <w:t>8 内支撑加固施工应符合下列规定：</w:t>
      </w:r>
    </w:p>
    <w:p w14:paraId="1561C957">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default"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1  既有基坑内支撑加固应优先选用钢支撑，钢支撑的施工质量应符合现行国家标准《钢结构工程施工质量验收规范》GB50205的规定。钢支撑不宜作为材料和交通车等的受力构件使用，所有临时设施和材料堆场、交通道路等需要占用钢支撑作为平台时，均应另行设计并获得原支撑设计单位同意后方可使用。</w:t>
      </w:r>
    </w:p>
    <w:p w14:paraId="39D80E58">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2  钢支撑施工应满足设计要求，并应对截面尺寸和预加力进行检验。</w:t>
      </w:r>
    </w:p>
    <w:p w14:paraId="7E7B4742">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zh-CN" w:eastAsia="zh-CN"/>
        </w:rPr>
      </w:pPr>
      <w:r>
        <w:rPr>
          <w:rFonts w:hint="eastAsia" w:ascii="Times New Roman" w:hAnsi="Times New Roman" w:eastAsia="Times New Roman" w:cs="Times New Roman"/>
          <w:color w:val="auto"/>
          <w:spacing w:val="-4"/>
          <w:sz w:val="24"/>
          <w:szCs w:val="24"/>
          <w:lang w:val="en-US" w:eastAsia="zh-CN"/>
        </w:rPr>
        <w:t>3  钢支撑夏期施工产生较大温度应力时，应及时对支撑采取降温措施；当冬期施工降温产生的收缩使支撑端头出现空隙时，应及时用铁楔将空隙楔紧或采用其他可靠连接措施。</w:t>
      </w:r>
    </w:p>
    <w:p w14:paraId="2AB7F6DD">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4  钢支撑吊装时，起重机及钢支撑下方严禁人员入内，现场做好防下坠措施；钢支撑吊装过程中应缓慢移动，操作人员应监视周边环境，避免钢支撑触碰坑壁、冠梁、其他钢支撑等；起吊钢支撑应先进行试吊，检查起重机的稳定性、制动的可靠性、钢支撑的平衡性、绑扎的牢固性，确认无误后方可起吊；当起重机出现倾覆现场时，应快速使钢支撑落回基座。</w:t>
      </w:r>
    </w:p>
    <w:p w14:paraId="25758051">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zh-CN" w:eastAsia="zh-CN"/>
        </w:rPr>
      </w:pPr>
      <w:r>
        <w:rPr>
          <w:rFonts w:hint="eastAsia" w:ascii="Times New Roman" w:hAnsi="Times New Roman" w:eastAsia="Times New Roman" w:cs="Times New Roman"/>
          <w:color w:val="auto"/>
          <w:spacing w:val="-4"/>
          <w:sz w:val="24"/>
          <w:szCs w:val="24"/>
          <w:lang w:val="en-US" w:eastAsia="zh-CN"/>
        </w:rPr>
        <w:t>5  钢立柱的施工应符合下列要求：</w:t>
      </w:r>
    </w:p>
    <w:p w14:paraId="12826085">
      <w:pPr>
        <w:pStyle w:val="6"/>
        <w:keepNext w:val="0"/>
        <w:keepLines w:val="0"/>
        <w:pageBreakBefore w:val="0"/>
        <w:widowControl w:val="0"/>
        <w:kinsoku/>
        <w:wordWrap/>
        <w:overflowPunct/>
        <w:topLinePunct w:val="0"/>
        <w:autoSpaceDE/>
        <w:autoSpaceDN/>
        <w:bidi w:val="0"/>
        <w:adjustRightInd/>
        <w:snapToGrid/>
        <w:spacing w:line="360" w:lineRule="auto"/>
        <w:ind w:left="0" w:right="0" w:firstLine="696" w:firstLineChars="300"/>
        <w:textAlignment w:val="auto"/>
        <w:rPr>
          <w:rFonts w:hint="eastAsia" w:ascii="Times New Roman" w:hAnsi="Times New Roman" w:eastAsia="Times New Roman" w:cs="Times New Roman"/>
          <w:color w:val="auto"/>
          <w:spacing w:val="-4"/>
          <w:sz w:val="24"/>
          <w:szCs w:val="24"/>
          <w:lang w:val="zh-CN" w:eastAsia="zh-CN"/>
        </w:rPr>
      </w:pPr>
      <w:r>
        <w:rPr>
          <w:rFonts w:hint="eastAsia" w:ascii="Times New Roman" w:hAnsi="Times New Roman" w:eastAsia="Times New Roman" w:cs="Times New Roman"/>
          <w:color w:val="auto"/>
          <w:spacing w:val="-4"/>
          <w:sz w:val="24"/>
          <w:szCs w:val="24"/>
          <w:lang w:val="en-US" w:eastAsia="zh-CN"/>
        </w:rPr>
        <w:t>1）钢立柱施工前应对其单桩承载力进行验算，竖向荷载应按最不利工况取值；</w:t>
      </w:r>
    </w:p>
    <w:p w14:paraId="4A213F36">
      <w:pPr>
        <w:pStyle w:val="6"/>
        <w:keepNext w:val="0"/>
        <w:keepLines w:val="0"/>
        <w:pageBreakBefore w:val="0"/>
        <w:widowControl w:val="0"/>
        <w:kinsoku/>
        <w:wordWrap/>
        <w:overflowPunct/>
        <w:topLinePunct w:val="0"/>
        <w:autoSpaceDE/>
        <w:autoSpaceDN/>
        <w:bidi w:val="0"/>
        <w:adjustRightInd/>
        <w:snapToGrid/>
        <w:spacing w:line="360" w:lineRule="auto"/>
        <w:ind w:left="0" w:right="0" w:firstLine="696" w:firstLineChars="300"/>
        <w:textAlignment w:val="auto"/>
        <w:rPr>
          <w:rFonts w:hint="eastAsia" w:ascii="Times New Roman" w:hAnsi="Times New Roman" w:eastAsia="Times New Roman" w:cs="Times New Roman"/>
          <w:color w:val="auto"/>
          <w:spacing w:val="-4"/>
          <w:sz w:val="24"/>
          <w:szCs w:val="24"/>
          <w:lang w:val="zh-CN" w:eastAsia="zh-CN"/>
        </w:rPr>
      </w:pPr>
      <w:r>
        <w:rPr>
          <w:rFonts w:hint="eastAsia" w:ascii="Times New Roman" w:hAnsi="Times New Roman" w:eastAsia="Times New Roman" w:cs="Times New Roman"/>
          <w:color w:val="auto"/>
          <w:spacing w:val="-4"/>
          <w:sz w:val="24"/>
          <w:szCs w:val="24"/>
          <w:lang w:val="en-US" w:eastAsia="zh-CN"/>
        </w:rPr>
        <w:t>2）钢立柱与钢支撑可采用铰接连接，在节点处应根据荷载大小，通过计算设置钢牛腿等抗剪措施；</w:t>
      </w:r>
    </w:p>
    <w:p w14:paraId="40E3CCF0">
      <w:pPr>
        <w:pStyle w:val="6"/>
        <w:keepNext w:val="0"/>
        <w:keepLines w:val="0"/>
        <w:pageBreakBefore w:val="0"/>
        <w:widowControl w:val="0"/>
        <w:kinsoku/>
        <w:wordWrap/>
        <w:overflowPunct/>
        <w:topLinePunct w:val="0"/>
        <w:autoSpaceDE/>
        <w:autoSpaceDN/>
        <w:bidi w:val="0"/>
        <w:adjustRightInd/>
        <w:snapToGrid/>
        <w:spacing w:line="360" w:lineRule="auto"/>
        <w:ind w:left="0" w:right="0" w:firstLine="696" w:firstLineChars="300"/>
        <w:textAlignment w:val="auto"/>
        <w:rPr>
          <w:rFonts w:hint="eastAsia" w:ascii="Times New Roman" w:hAnsi="Times New Roman" w:eastAsia="Times New Roman" w:cs="Times New Roman"/>
          <w:color w:val="auto"/>
          <w:spacing w:val="-4"/>
          <w:sz w:val="24"/>
          <w:szCs w:val="24"/>
          <w:lang w:val="zh-CN" w:eastAsia="zh-CN"/>
        </w:rPr>
      </w:pPr>
      <w:r>
        <w:rPr>
          <w:rFonts w:hint="eastAsia" w:ascii="Times New Roman" w:hAnsi="Times New Roman" w:eastAsia="Times New Roman" w:cs="Times New Roman"/>
          <w:color w:val="auto"/>
          <w:spacing w:val="-4"/>
          <w:sz w:val="24"/>
          <w:szCs w:val="24"/>
          <w:lang w:val="en-US" w:eastAsia="zh-CN"/>
        </w:rPr>
        <w:t>3）钢立柱周围的空隙应采用砂石、碎石等均匀回填密实，并宜辅以注浆措施；</w:t>
      </w:r>
    </w:p>
    <w:p w14:paraId="5B1969CE">
      <w:pPr>
        <w:pStyle w:val="6"/>
        <w:keepNext w:val="0"/>
        <w:keepLines w:val="0"/>
        <w:pageBreakBefore w:val="0"/>
        <w:widowControl w:val="0"/>
        <w:kinsoku/>
        <w:wordWrap/>
        <w:overflowPunct/>
        <w:topLinePunct w:val="0"/>
        <w:autoSpaceDE/>
        <w:autoSpaceDN/>
        <w:bidi w:val="0"/>
        <w:adjustRightInd/>
        <w:snapToGrid/>
        <w:spacing w:line="360" w:lineRule="auto"/>
        <w:ind w:left="0" w:right="0" w:firstLine="696" w:firstLineChars="300"/>
        <w:textAlignment w:val="auto"/>
        <w:rPr>
          <w:rFonts w:hint="eastAsia" w:ascii="Times New Roman" w:hAnsi="Times New Roman" w:eastAsia="Times New Roman" w:cs="Times New Roman"/>
          <w:color w:val="auto"/>
          <w:spacing w:val="-4"/>
          <w:sz w:val="24"/>
          <w:szCs w:val="24"/>
          <w:lang w:val="zh-CN" w:eastAsia="zh-CN"/>
        </w:rPr>
      </w:pPr>
      <w:r>
        <w:rPr>
          <w:rFonts w:hint="eastAsia" w:ascii="Times New Roman" w:hAnsi="Times New Roman" w:eastAsia="Times New Roman" w:cs="Times New Roman"/>
          <w:color w:val="auto"/>
          <w:spacing w:val="-4"/>
          <w:sz w:val="24"/>
          <w:szCs w:val="24"/>
          <w:lang w:val="en-US" w:eastAsia="zh-CN"/>
        </w:rPr>
        <w:t>4）钢立柱的定位和垂直度宜采用专门措施进行控制，对格构柱、H型钢柱，尚应同时控制转向偏差。</w:t>
      </w:r>
    </w:p>
    <w:p w14:paraId="394D062E">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zh-CN" w:eastAsia="zh-CN"/>
        </w:rPr>
      </w:pPr>
      <w:r>
        <w:rPr>
          <w:rFonts w:hint="eastAsia" w:ascii="Times New Roman" w:hAnsi="Times New Roman" w:eastAsia="Times New Roman" w:cs="Times New Roman"/>
          <w:color w:val="auto"/>
          <w:spacing w:val="-4"/>
          <w:sz w:val="24"/>
          <w:szCs w:val="24"/>
          <w:lang w:val="en-US" w:eastAsia="zh-CN"/>
        </w:rPr>
        <w:t>6  内支撑的施工偏差应符合下列要求：</w:t>
      </w:r>
    </w:p>
    <w:p w14:paraId="05AEAB06">
      <w:pPr>
        <w:pStyle w:val="6"/>
        <w:keepNext w:val="0"/>
        <w:keepLines w:val="0"/>
        <w:pageBreakBefore w:val="0"/>
        <w:widowControl w:val="0"/>
        <w:kinsoku/>
        <w:wordWrap/>
        <w:overflowPunct/>
        <w:topLinePunct w:val="0"/>
        <w:autoSpaceDE/>
        <w:autoSpaceDN/>
        <w:bidi w:val="0"/>
        <w:adjustRightInd/>
        <w:snapToGrid/>
        <w:spacing w:line="360" w:lineRule="auto"/>
        <w:ind w:left="0" w:right="0" w:firstLine="696" w:firstLineChars="300"/>
        <w:textAlignment w:val="auto"/>
        <w:rPr>
          <w:rFonts w:hint="eastAsia" w:ascii="Times New Roman" w:hAnsi="Times New Roman" w:eastAsia="Times New Roman" w:cs="Times New Roman"/>
          <w:color w:val="auto"/>
          <w:spacing w:val="-4"/>
          <w:sz w:val="24"/>
          <w:szCs w:val="24"/>
          <w:lang w:val="zh-CN" w:eastAsia="zh-CN"/>
        </w:rPr>
      </w:pPr>
      <w:r>
        <w:rPr>
          <w:rFonts w:hint="eastAsia" w:ascii="Times New Roman" w:hAnsi="Times New Roman" w:eastAsia="Times New Roman" w:cs="Times New Roman"/>
          <w:color w:val="auto"/>
          <w:spacing w:val="-4"/>
          <w:sz w:val="24"/>
          <w:szCs w:val="24"/>
          <w:lang w:val="en-US" w:eastAsia="zh-CN"/>
        </w:rPr>
        <w:t>1）支撑标高的允许偏差应小于30mm；</w:t>
      </w:r>
    </w:p>
    <w:p w14:paraId="1CB2E450">
      <w:pPr>
        <w:pStyle w:val="6"/>
        <w:keepNext w:val="0"/>
        <w:keepLines w:val="0"/>
        <w:pageBreakBefore w:val="0"/>
        <w:widowControl w:val="0"/>
        <w:kinsoku/>
        <w:wordWrap/>
        <w:overflowPunct/>
        <w:topLinePunct w:val="0"/>
        <w:autoSpaceDE/>
        <w:autoSpaceDN/>
        <w:bidi w:val="0"/>
        <w:adjustRightInd/>
        <w:snapToGrid/>
        <w:spacing w:line="360" w:lineRule="auto"/>
        <w:ind w:left="0" w:right="0" w:firstLine="696" w:firstLineChars="300"/>
        <w:textAlignment w:val="auto"/>
        <w:rPr>
          <w:rFonts w:hint="eastAsia" w:ascii="Times New Roman" w:hAnsi="Times New Roman" w:eastAsia="Times New Roman" w:cs="Times New Roman"/>
          <w:color w:val="auto"/>
          <w:spacing w:val="-4"/>
          <w:sz w:val="24"/>
          <w:szCs w:val="24"/>
          <w:lang w:val="zh-CN" w:eastAsia="zh-CN"/>
        </w:rPr>
      </w:pPr>
      <w:r>
        <w:rPr>
          <w:rFonts w:hint="eastAsia" w:ascii="Times New Roman" w:hAnsi="Times New Roman" w:eastAsia="Times New Roman" w:cs="Times New Roman"/>
          <w:color w:val="auto"/>
          <w:spacing w:val="-4"/>
          <w:sz w:val="24"/>
          <w:szCs w:val="24"/>
          <w:lang w:val="en-US" w:eastAsia="zh-CN"/>
        </w:rPr>
        <w:t>2）支撑水平位置的允许偏差应小于30mm；</w:t>
      </w:r>
    </w:p>
    <w:p w14:paraId="5D168E7C">
      <w:pPr>
        <w:pStyle w:val="6"/>
        <w:keepNext w:val="0"/>
        <w:keepLines w:val="0"/>
        <w:pageBreakBefore w:val="0"/>
        <w:widowControl w:val="0"/>
        <w:kinsoku/>
        <w:wordWrap/>
        <w:overflowPunct/>
        <w:topLinePunct w:val="0"/>
        <w:autoSpaceDE/>
        <w:autoSpaceDN/>
        <w:bidi w:val="0"/>
        <w:adjustRightInd/>
        <w:snapToGrid/>
        <w:spacing w:line="360" w:lineRule="auto"/>
        <w:ind w:left="0" w:right="0" w:firstLine="696" w:firstLineChars="300"/>
        <w:textAlignment w:val="auto"/>
        <w:rPr>
          <w:rFonts w:hint="eastAsia" w:ascii="Times New Roman" w:hAnsi="Times New Roman" w:eastAsia="Times New Roman" w:cs="Times New Roman"/>
          <w:color w:val="auto"/>
          <w:spacing w:val="-4"/>
          <w:sz w:val="24"/>
          <w:szCs w:val="24"/>
          <w:lang w:val="zh-CN" w:eastAsia="zh-CN"/>
        </w:rPr>
      </w:pPr>
      <w:r>
        <w:rPr>
          <w:rFonts w:hint="eastAsia" w:ascii="Times New Roman" w:hAnsi="Times New Roman" w:eastAsia="Times New Roman" w:cs="Times New Roman"/>
          <w:color w:val="auto"/>
          <w:spacing w:val="-4"/>
          <w:sz w:val="24"/>
          <w:szCs w:val="24"/>
          <w:lang w:val="en-US" w:eastAsia="zh-CN"/>
        </w:rPr>
        <w:t>3）临时立柱平面位置的允许偏差应小于50mm，垂直度的允许偏差应小于1/150。</w:t>
      </w:r>
    </w:p>
    <w:p w14:paraId="3B3D4C62">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default"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7  较复杂的支撑体系拆除施工前应编制专项拆除方案。钢支撑可采用人工拆除或机械拆除，拆除时应避免瞬间预加应力释放过大而导致支护结构局部变形、开裂，并应采用分步卸载钢支撑预应力的方法对其进行拆除。</w:t>
      </w:r>
    </w:p>
    <w:p w14:paraId="69ECB558">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Times New Roman" w:hAnsi="Times New Roman" w:eastAsia="楷体" w:cs="Times New Roman"/>
          <w:color w:val="auto"/>
          <w:sz w:val="24"/>
          <w:szCs w:val="28"/>
          <w:highlight w:val="none"/>
          <w:u w:val="single"/>
          <w:lang w:val="en-US" w:eastAsia="zh-CN"/>
        </w:rPr>
      </w:pPr>
      <w:r>
        <w:rPr>
          <w:rFonts w:hint="eastAsia" w:ascii="Times New Roman" w:hAnsi="Times New Roman" w:eastAsia="楷体" w:cs="Times New Roman"/>
          <w:color w:val="auto"/>
          <w:sz w:val="24"/>
          <w:szCs w:val="28"/>
          <w:highlight w:val="none"/>
          <w:u w:val="single"/>
          <w:lang w:val="zh-CN" w:eastAsia="zh-CN"/>
        </w:rPr>
        <w:t>【</w:t>
      </w:r>
      <w:r>
        <w:rPr>
          <w:rFonts w:hint="eastAsia" w:ascii="Times New Roman" w:hAnsi="Times New Roman" w:eastAsia="楷体" w:cs="Times New Roman"/>
          <w:color w:val="auto"/>
          <w:sz w:val="24"/>
          <w:szCs w:val="28"/>
          <w:highlight w:val="none"/>
          <w:u w:val="single"/>
          <w:lang w:val="en-US" w:eastAsia="zh-CN"/>
        </w:rPr>
        <w:t>条文说明</w:t>
      </w:r>
      <w:r>
        <w:rPr>
          <w:rFonts w:hint="eastAsia" w:ascii="Times New Roman" w:hAnsi="Times New Roman" w:eastAsia="楷体" w:cs="Times New Roman"/>
          <w:color w:val="auto"/>
          <w:sz w:val="24"/>
          <w:szCs w:val="28"/>
          <w:highlight w:val="none"/>
          <w:u w:val="single"/>
          <w:lang w:val="zh-CN" w:eastAsia="zh-CN"/>
        </w:rPr>
        <w:t>】</w:t>
      </w:r>
      <w:r>
        <w:rPr>
          <w:rFonts w:hint="eastAsia" w:ascii="Times New Roman" w:hAnsi="Times New Roman" w:eastAsia="楷体" w:cs="Times New Roman"/>
          <w:color w:val="auto"/>
          <w:sz w:val="24"/>
          <w:szCs w:val="28"/>
          <w:highlight w:val="none"/>
          <w:u w:val="single"/>
          <w:lang w:val="en-US" w:eastAsia="zh-CN"/>
        </w:rPr>
        <w:t>内支撑一般有混凝土内支撑和钢支撑两种形式，针对既有基坑加固，混凝土内支撑施工较困难且不经济，应优先选用钢支撑。</w:t>
      </w:r>
    </w:p>
    <w:p w14:paraId="66788E26">
      <w:pPr>
        <w:pStyle w:val="3"/>
        <w:suppressLineNumbers w:val="0"/>
        <w:spacing w:before="0" w:beforeLines="-2147483648" w:beforeAutospacing="0" w:after="0" w:afterLines="-2147483648" w:afterAutospacing="0" w:line="360" w:lineRule="auto"/>
        <w:ind w:left="0" w:firstLine="0"/>
        <w:rPr>
          <w:rFonts w:hint="default" w:ascii="Times New Roman" w:hAnsi="Times New Roman" w:cs="Times New Roman" w:eastAsiaTheme="minorEastAsia"/>
          <w:bCs w:val="0"/>
          <w:sz w:val="28"/>
          <w:szCs w:val="28"/>
          <w:lang w:val="en-US" w:eastAsia="zh-CN" w:bidi="ar-SA"/>
        </w:rPr>
      </w:pPr>
      <w:bookmarkStart w:id="99" w:name="_Toc6409"/>
      <w:bookmarkStart w:id="100" w:name="_Toc10161"/>
      <w:r>
        <w:rPr>
          <w:rFonts w:hint="eastAsia" w:ascii="Times New Roman" w:hAnsi="Times New Roman" w:cs="Times New Roman" w:eastAsiaTheme="minorEastAsia"/>
          <w:bCs w:val="0"/>
          <w:sz w:val="28"/>
          <w:szCs w:val="28"/>
          <w:lang w:val="en-US" w:eastAsia="zh-CN" w:bidi="ar-SA"/>
        </w:rPr>
        <w:t>6</w:t>
      </w:r>
      <w:r>
        <w:rPr>
          <w:rFonts w:hint="default" w:ascii="Times New Roman" w:hAnsi="Times New Roman" w:cs="Times New Roman" w:eastAsiaTheme="minorEastAsia"/>
          <w:bCs w:val="0"/>
          <w:sz w:val="28"/>
          <w:szCs w:val="28"/>
          <w:lang w:val="en-US" w:eastAsia="zh-CN" w:bidi="ar-SA"/>
        </w:rPr>
        <w:t>.</w:t>
      </w:r>
      <w:r>
        <w:rPr>
          <w:rFonts w:hint="eastAsia" w:ascii="Times New Roman" w:hAnsi="Times New Roman" w:cs="Times New Roman" w:eastAsiaTheme="minorEastAsia"/>
          <w:bCs w:val="0"/>
          <w:sz w:val="28"/>
          <w:szCs w:val="28"/>
          <w:lang w:val="en-US" w:eastAsia="zh-CN" w:bidi="ar-SA"/>
        </w:rPr>
        <w:t>3</w:t>
      </w:r>
      <w:bookmarkEnd w:id="99"/>
      <w:r>
        <w:rPr>
          <w:rFonts w:hint="eastAsia" w:ascii="Times New Roman" w:hAnsi="Times New Roman" w:cs="Times New Roman" w:eastAsiaTheme="minorEastAsia"/>
          <w:bCs w:val="0"/>
          <w:sz w:val="28"/>
          <w:szCs w:val="28"/>
          <w:lang w:val="en-US" w:eastAsia="zh-CN" w:bidi="ar-SA"/>
        </w:rPr>
        <w:t>地表水与地下水控制修复</w:t>
      </w:r>
      <w:bookmarkEnd w:id="100"/>
    </w:p>
    <w:p w14:paraId="7242D9F6">
      <w:pPr>
        <w:pStyle w:val="6"/>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Times New Roman" w:hAnsi="Times New Roman" w:eastAsia="Times New Roman" w:cs="Times New Roman"/>
          <w:b/>
          <w:bCs/>
          <w:color w:val="auto"/>
          <w:spacing w:val="-1"/>
          <w:sz w:val="24"/>
          <w:szCs w:val="24"/>
          <w:lang w:val="en-US" w:eastAsia="zh-CN"/>
        </w:rPr>
      </w:pPr>
      <w:r>
        <w:rPr>
          <w:rFonts w:hint="eastAsia" w:ascii="Times New Roman" w:hAnsi="Times New Roman" w:eastAsia="Times New Roman" w:cs="Times New Roman"/>
          <w:b/>
          <w:bCs/>
          <w:color w:val="auto"/>
          <w:spacing w:val="-1"/>
          <w:sz w:val="24"/>
          <w:szCs w:val="24"/>
          <w:lang w:val="en-US" w:eastAsia="zh-CN"/>
        </w:rPr>
        <w:t>6</w:t>
      </w:r>
      <w:r>
        <w:rPr>
          <w:rFonts w:hint="default" w:ascii="Times New Roman" w:hAnsi="Times New Roman" w:eastAsia="Times New Roman" w:cs="Times New Roman"/>
          <w:b/>
          <w:bCs/>
          <w:color w:val="auto"/>
          <w:spacing w:val="-1"/>
          <w:sz w:val="24"/>
          <w:szCs w:val="24"/>
          <w:lang w:val="en-US" w:eastAsia="zh-CN"/>
        </w:rPr>
        <w:t>.</w:t>
      </w:r>
      <w:r>
        <w:rPr>
          <w:rFonts w:hint="eastAsia" w:ascii="Times New Roman" w:hAnsi="Times New Roman" w:eastAsia="Times New Roman" w:cs="Times New Roman"/>
          <w:b/>
          <w:bCs/>
          <w:color w:val="auto"/>
          <w:spacing w:val="-1"/>
          <w:sz w:val="24"/>
          <w:szCs w:val="24"/>
          <w:lang w:val="en-US" w:eastAsia="zh-CN"/>
        </w:rPr>
        <w:t>3</w:t>
      </w:r>
      <w:r>
        <w:rPr>
          <w:rFonts w:hint="default" w:ascii="Times New Roman" w:hAnsi="Times New Roman" w:eastAsia="Times New Roman" w:cs="Times New Roman"/>
          <w:b/>
          <w:bCs/>
          <w:color w:val="auto"/>
          <w:spacing w:val="-1"/>
          <w:sz w:val="24"/>
          <w:szCs w:val="24"/>
          <w:lang w:val="en-US" w:eastAsia="zh-CN"/>
        </w:rPr>
        <w:t>.1</w:t>
      </w:r>
      <w:r>
        <w:rPr>
          <w:rFonts w:hint="eastAsia" w:ascii="Times New Roman" w:hAnsi="Times New Roman" w:eastAsia="Times New Roman" w:cs="Times New Roman"/>
          <w:b/>
          <w:bCs/>
          <w:color w:val="auto"/>
          <w:spacing w:val="-1"/>
          <w:sz w:val="24"/>
          <w:szCs w:val="24"/>
          <w:lang w:val="en-US" w:eastAsia="zh-CN"/>
        </w:rPr>
        <w:t xml:space="preserve"> </w:t>
      </w:r>
      <w:r>
        <w:rPr>
          <w:rFonts w:hint="eastAsia" w:ascii="Times New Roman" w:hAnsi="Times New Roman" w:eastAsia="Times New Roman" w:cs="Times New Roman"/>
          <w:b w:val="0"/>
          <w:bCs w:val="0"/>
          <w:color w:val="auto"/>
          <w:spacing w:val="-1"/>
          <w:sz w:val="24"/>
          <w:szCs w:val="24"/>
          <w:lang w:val="en-US" w:eastAsia="zh-CN"/>
        </w:rPr>
        <w:t>地表水与地下水控制系统修复施工应合理确定施工工序，避免修复期间影响基坑既有支护结构及其加固施工。</w:t>
      </w:r>
    </w:p>
    <w:p w14:paraId="370B2C76">
      <w:pPr>
        <w:pStyle w:val="6"/>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Times New Roman" w:hAnsi="Times New Roman" w:eastAsia="Times New Roman" w:cs="Times New Roman"/>
          <w:b/>
          <w:bCs/>
          <w:color w:val="auto"/>
          <w:spacing w:val="-1"/>
          <w:sz w:val="24"/>
          <w:szCs w:val="24"/>
          <w:lang w:val="en-US" w:eastAsia="zh-CN"/>
        </w:rPr>
      </w:pPr>
      <w:r>
        <w:rPr>
          <w:rFonts w:hint="eastAsia" w:ascii="Times New Roman" w:hAnsi="Times New Roman" w:eastAsia="Times New Roman" w:cs="Times New Roman"/>
          <w:b/>
          <w:bCs/>
          <w:color w:val="auto"/>
          <w:spacing w:val="-1"/>
          <w:sz w:val="24"/>
          <w:szCs w:val="24"/>
          <w:lang w:val="en-US" w:eastAsia="zh-CN"/>
        </w:rPr>
        <w:t>6</w:t>
      </w:r>
      <w:r>
        <w:rPr>
          <w:rFonts w:hint="default" w:ascii="Times New Roman" w:hAnsi="Times New Roman" w:eastAsia="Times New Roman" w:cs="Times New Roman"/>
          <w:b/>
          <w:bCs/>
          <w:color w:val="auto"/>
          <w:spacing w:val="-1"/>
          <w:sz w:val="24"/>
          <w:szCs w:val="24"/>
          <w:lang w:val="en-US" w:eastAsia="zh-CN"/>
        </w:rPr>
        <w:t>.</w:t>
      </w:r>
      <w:r>
        <w:rPr>
          <w:rFonts w:hint="eastAsia" w:ascii="Times New Roman" w:hAnsi="Times New Roman" w:eastAsia="Times New Roman" w:cs="Times New Roman"/>
          <w:b/>
          <w:bCs/>
          <w:color w:val="auto"/>
          <w:spacing w:val="-1"/>
          <w:sz w:val="24"/>
          <w:szCs w:val="24"/>
          <w:lang w:val="en-US" w:eastAsia="zh-CN"/>
        </w:rPr>
        <w:t>3</w:t>
      </w:r>
      <w:r>
        <w:rPr>
          <w:rFonts w:hint="default" w:ascii="Times New Roman" w:hAnsi="Times New Roman" w:eastAsia="Times New Roman" w:cs="Times New Roman"/>
          <w:b/>
          <w:bCs/>
          <w:color w:val="auto"/>
          <w:spacing w:val="-1"/>
          <w:sz w:val="24"/>
          <w:szCs w:val="24"/>
          <w:lang w:val="en-US" w:eastAsia="zh-CN"/>
        </w:rPr>
        <w:t>.</w:t>
      </w:r>
      <w:r>
        <w:rPr>
          <w:rFonts w:hint="eastAsia" w:ascii="Times New Roman" w:hAnsi="Times New Roman" w:eastAsia="Times New Roman" w:cs="Times New Roman"/>
          <w:b/>
          <w:bCs/>
          <w:color w:val="auto"/>
          <w:spacing w:val="-1"/>
          <w:sz w:val="24"/>
          <w:szCs w:val="24"/>
          <w:lang w:val="en-US" w:eastAsia="zh-CN"/>
        </w:rPr>
        <w:t xml:space="preserve">2 </w:t>
      </w:r>
      <w:r>
        <w:rPr>
          <w:rFonts w:hint="eastAsia" w:ascii="Times New Roman" w:hAnsi="Times New Roman" w:eastAsia="Times New Roman" w:cs="Times New Roman"/>
          <w:b w:val="0"/>
          <w:bCs w:val="0"/>
          <w:color w:val="auto"/>
          <w:spacing w:val="-1"/>
          <w:sz w:val="24"/>
          <w:szCs w:val="24"/>
          <w:lang w:val="en-US" w:eastAsia="zh-CN"/>
        </w:rPr>
        <w:t>地下水控制系统应保证水流排入市政管网或排水渠道，应采取措施防止抽出的水倒灌流入基坑内。</w:t>
      </w:r>
    </w:p>
    <w:p w14:paraId="11FB7EE3">
      <w:pPr>
        <w:pStyle w:val="6"/>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Times New Roman" w:hAnsi="Times New Roman" w:eastAsia="Times New Roman" w:cs="Times New Roman"/>
          <w:b/>
          <w:bCs/>
          <w:color w:val="auto"/>
          <w:spacing w:val="-1"/>
          <w:sz w:val="24"/>
          <w:szCs w:val="24"/>
          <w:lang w:val="en-US" w:eastAsia="zh-CN"/>
        </w:rPr>
      </w:pPr>
      <w:r>
        <w:rPr>
          <w:rFonts w:hint="eastAsia" w:ascii="Times New Roman" w:hAnsi="Times New Roman" w:eastAsia="Times New Roman" w:cs="Times New Roman"/>
          <w:b/>
          <w:bCs/>
          <w:color w:val="auto"/>
          <w:spacing w:val="-1"/>
          <w:sz w:val="24"/>
          <w:szCs w:val="24"/>
          <w:lang w:val="en-US" w:eastAsia="zh-CN"/>
        </w:rPr>
        <w:t>6</w:t>
      </w:r>
      <w:r>
        <w:rPr>
          <w:rFonts w:hint="default" w:ascii="Times New Roman" w:hAnsi="Times New Roman" w:eastAsia="Times New Roman" w:cs="Times New Roman"/>
          <w:b/>
          <w:bCs/>
          <w:color w:val="auto"/>
          <w:spacing w:val="-1"/>
          <w:sz w:val="24"/>
          <w:szCs w:val="24"/>
          <w:lang w:val="en-US" w:eastAsia="zh-CN"/>
        </w:rPr>
        <w:t>.</w:t>
      </w:r>
      <w:r>
        <w:rPr>
          <w:rFonts w:hint="eastAsia" w:ascii="Times New Roman" w:hAnsi="Times New Roman" w:eastAsia="Times New Roman" w:cs="Times New Roman"/>
          <w:b/>
          <w:bCs/>
          <w:color w:val="auto"/>
          <w:spacing w:val="-1"/>
          <w:sz w:val="24"/>
          <w:szCs w:val="24"/>
          <w:lang w:val="en-US" w:eastAsia="zh-CN"/>
        </w:rPr>
        <w:t>3</w:t>
      </w:r>
      <w:r>
        <w:rPr>
          <w:rFonts w:hint="default" w:ascii="Times New Roman" w:hAnsi="Times New Roman" w:eastAsia="Times New Roman" w:cs="Times New Roman"/>
          <w:b/>
          <w:bCs/>
          <w:color w:val="auto"/>
          <w:spacing w:val="-1"/>
          <w:sz w:val="24"/>
          <w:szCs w:val="24"/>
          <w:lang w:val="en-US" w:eastAsia="zh-CN"/>
        </w:rPr>
        <w:t>.</w:t>
      </w:r>
      <w:r>
        <w:rPr>
          <w:rFonts w:hint="eastAsia" w:ascii="Times New Roman" w:hAnsi="Times New Roman" w:eastAsia="Times New Roman" w:cs="Times New Roman"/>
          <w:b/>
          <w:bCs/>
          <w:color w:val="auto"/>
          <w:spacing w:val="-1"/>
          <w:sz w:val="24"/>
          <w:szCs w:val="24"/>
          <w:lang w:val="en-US" w:eastAsia="zh-CN"/>
        </w:rPr>
        <w:t xml:space="preserve">3 </w:t>
      </w:r>
      <w:r>
        <w:rPr>
          <w:rFonts w:hint="eastAsia" w:ascii="Times New Roman" w:hAnsi="Times New Roman" w:eastAsia="Times New Roman" w:cs="Times New Roman"/>
          <w:b w:val="0"/>
          <w:bCs w:val="0"/>
          <w:color w:val="auto"/>
          <w:spacing w:val="-1"/>
          <w:sz w:val="24"/>
          <w:szCs w:val="24"/>
          <w:lang w:val="en-US" w:eastAsia="zh-CN"/>
        </w:rPr>
        <w:t>地表水控制修复应满足以下要求：</w:t>
      </w:r>
    </w:p>
    <w:p w14:paraId="254D376B">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zh-CN" w:eastAsia="zh-CN"/>
        </w:rPr>
      </w:pPr>
      <w:r>
        <w:rPr>
          <w:rFonts w:hint="eastAsia" w:ascii="Times New Roman" w:hAnsi="Times New Roman" w:eastAsia="Times New Roman" w:cs="Times New Roman"/>
          <w:color w:val="auto"/>
          <w:spacing w:val="-4"/>
          <w:sz w:val="24"/>
          <w:szCs w:val="24"/>
          <w:lang w:val="en-US" w:eastAsia="zh-CN"/>
        </w:rPr>
        <w:t>1  排水沟的断面形状、尺寸、坡度应符合设计要求。</w:t>
      </w:r>
    </w:p>
    <w:p w14:paraId="683ABAC3">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2  排水沟的施工材料应经过现场检验，所用砂浆和混凝土的配合比应严格按照设计要求进行，砌体水泥浆应饱满、密实。</w:t>
      </w:r>
    </w:p>
    <w:p w14:paraId="743C5E76">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3  排水沟沟底应平顺、整齐，进排水口位置应结合现场地形及设计要求进行，确保水流畅通。</w:t>
      </w:r>
    </w:p>
    <w:p w14:paraId="24B06A18">
      <w:pPr>
        <w:pStyle w:val="6"/>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Times New Roman" w:hAnsi="Times New Roman" w:eastAsia="Times New Roman" w:cs="Times New Roman"/>
          <w:b/>
          <w:bCs/>
          <w:color w:val="auto"/>
          <w:spacing w:val="-1"/>
          <w:sz w:val="24"/>
          <w:szCs w:val="24"/>
          <w:lang w:val="en-US" w:eastAsia="zh-CN"/>
        </w:rPr>
      </w:pPr>
      <w:r>
        <w:rPr>
          <w:rFonts w:hint="eastAsia" w:ascii="Times New Roman" w:hAnsi="Times New Roman" w:eastAsia="Times New Roman" w:cs="Times New Roman"/>
          <w:b/>
          <w:bCs/>
          <w:color w:val="auto"/>
          <w:spacing w:val="-1"/>
          <w:sz w:val="24"/>
          <w:szCs w:val="24"/>
          <w:lang w:val="en-US" w:eastAsia="zh-CN"/>
        </w:rPr>
        <w:t>6</w:t>
      </w:r>
      <w:r>
        <w:rPr>
          <w:rFonts w:hint="default" w:ascii="Times New Roman" w:hAnsi="Times New Roman" w:eastAsia="Times New Roman" w:cs="Times New Roman"/>
          <w:b/>
          <w:bCs/>
          <w:color w:val="auto"/>
          <w:spacing w:val="-1"/>
          <w:sz w:val="24"/>
          <w:szCs w:val="24"/>
          <w:lang w:val="en-US" w:eastAsia="zh-CN"/>
        </w:rPr>
        <w:t>.</w:t>
      </w:r>
      <w:r>
        <w:rPr>
          <w:rFonts w:hint="eastAsia" w:ascii="Times New Roman" w:hAnsi="Times New Roman" w:eastAsia="Times New Roman" w:cs="Times New Roman"/>
          <w:b/>
          <w:bCs/>
          <w:color w:val="auto"/>
          <w:spacing w:val="-1"/>
          <w:sz w:val="24"/>
          <w:szCs w:val="24"/>
          <w:lang w:val="en-US" w:eastAsia="zh-CN"/>
        </w:rPr>
        <w:t>3</w:t>
      </w:r>
      <w:r>
        <w:rPr>
          <w:rFonts w:hint="default" w:ascii="Times New Roman" w:hAnsi="Times New Roman" w:eastAsia="Times New Roman" w:cs="Times New Roman"/>
          <w:b/>
          <w:bCs/>
          <w:color w:val="auto"/>
          <w:spacing w:val="-1"/>
          <w:sz w:val="24"/>
          <w:szCs w:val="24"/>
          <w:lang w:val="en-US" w:eastAsia="zh-CN"/>
        </w:rPr>
        <w:t>.</w:t>
      </w:r>
      <w:r>
        <w:rPr>
          <w:rFonts w:hint="eastAsia" w:ascii="Times New Roman" w:hAnsi="Times New Roman" w:eastAsia="Times New Roman" w:cs="Times New Roman"/>
          <w:b/>
          <w:bCs/>
          <w:color w:val="auto"/>
          <w:spacing w:val="-1"/>
          <w:sz w:val="24"/>
          <w:szCs w:val="24"/>
          <w:lang w:val="en-US" w:eastAsia="zh-CN"/>
        </w:rPr>
        <w:t>4 地下水控制修复管井降水系统时，应满足以下要求：</w:t>
      </w:r>
    </w:p>
    <w:p w14:paraId="3FBBE324">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zh-CN" w:eastAsia="zh-CN"/>
        </w:rPr>
      </w:pPr>
      <w:r>
        <w:rPr>
          <w:rFonts w:hint="eastAsia" w:ascii="Times New Roman" w:hAnsi="Times New Roman" w:eastAsia="Times New Roman" w:cs="Times New Roman"/>
          <w:color w:val="auto"/>
          <w:spacing w:val="-4"/>
          <w:sz w:val="24"/>
          <w:szCs w:val="24"/>
          <w:lang w:val="en-US" w:eastAsia="zh-CN"/>
        </w:rPr>
        <w:t>1  根据地层条件合理选用施工机械和工艺。</w:t>
      </w:r>
    </w:p>
    <w:p w14:paraId="2FB965C2">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2  单井完成后应及时进行洗井，洗井后应安装水泵进行单井试抽。当抽水量或水位降值与设计不符时，应及时联系设计单位调整降水方案。</w:t>
      </w:r>
    </w:p>
    <w:p w14:paraId="7DEBAF73">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3  单井、排水管网安装完成后应及时进行联网试运行，并对水泵工作情况、水位降深、抽水量等做好记录。</w:t>
      </w:r>
    </w:p>
    <w:p w14:paraId="0BA64DF1">
      <w:pPr>
        <w:pStyle w:val="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color w:val="auto"/>
          <w:spacing w:val="-4"/>
          <w:sz w:val="24"/>
          <w:szCs w:val="24"/>
          <w:lang w:val="en-US" w:eastAsia="zh-CN"/>
        </w:rPr>
      </w:pPr>
      <w:r>
        <w:rPr>
          <w:rFonts w:hint="eastAsia" w:ascii="Times New Roman" w:hAnsi="Times New Roman" w:eastAsia="Times New Roman" w:cs="Times New Roman"/>
          <w:color w:val="auto"/>
          <w:spacing w:val="-4"/>
          <w:sz w:val="24"/>
          <w:szCs w:val="24"/>
          <w:lang w:val="en-US" w:eastAsia="zh-CN"/>
        </w:rPr>
        <w:t>4  抽水应采取措施控制出水含砂量，含砂量控制应满足设计及相应规范要求。</w:t>
      </w:r>
    </w:p>
    <w:p w14:paraId="14A3A24C">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Times New Roman" w:hAnsi="Times New Roman" w:eastAsia="楷体" w:cs="Times New Roman"/>
          <w:color w:val="auto"/>
          <w:sz w:val="24"/>
          <w:szCs w:val="28"/>
          <w:highlight w:val="none"/>
          <w:u w:val="single"/>
          <w:lang w:val="en-US" w:eastAsia="zh-CN"/>
        </w:rPr>
      </w:pPr>
      <w:bookmarkStart w:id="101" w:name="_Toc3071"/>
      <w:r>
        <w:rPr>
          <w:rFonts w:hint="eastAsia" w:ascii="Times New Roman" w:hAnsi="Times New Roman" w:eastAsia="楷体" w:cs="Times New Roman"/>
          <w:color w:val="auto"/>
          <w:sz w:val="24"/>
          <w:szCs w:val="28"/>
          <w:highlight w:val="none"/>
          <w:u w:val="single"/>
          <w:lang w:val="zh-CN" w:eastAsia="zh-CN"/>
        </w:rPr>
        <w:t>【</w:t>
      </w:r>
      <w:r>
        <w:rPr>
          <w:rFonts w:hint="eastAsia" w:ascii="Times New Roman" w:hAnsi="Times New Roman" w:eastAsia="楷体" w:cs="Times New Roman"/>
          <w:color w:val="auto"/>
          <w:sz w:val="24"/>
          <w:szCs w:val="28"/>
          <w:highlight w:val="none"/>
          <w:u w:val="single"/>
          <w:lang w:val="en-US" w:eastAsia="zh-CN"/>
        </w:rPr>
        <w:t>条文说明</w:t>
      </w:r>
      <w:r>
        <w:rPr>
          <w:rFonts w:hint="eastAsia" w:ascii="Times New Roman" w:hAnsi="Times New Roman" w:eastAsia="楷体" w:cs="Times New Roman"/>
          <w:color w:val="auto"/>
          <w:sz w:val="24"/>
          <w:szCs w:val="28"/>
          <w:highlight w:val="none"/>
          <w:u w:val="single"/>
          <w:lang w:val="zh-CN" w:eastAsia="zh-CN"/>
        </w:rPr>
        <w:t>】</w:t>
      </w:r>
      <w:r>
        <w:rPr>
          <w:rFonts w:hint="eastAsia" w:ascii="Times New Roman" w:hAnsi="Times New Roman" w:eastAsia="楷体" w:cs="Times New Roman"/>
          <w:color w:val="auto"/>
          <w:sz w:val="24"/>
          <w:szCs w:val="28"/>
          <w:highlight w:val="none"/>
          <w:u w:val="single"/>
          <w:lang w:val="en-US" w:eastAsia="zh-CN"/>
        </w:rPr>
        <w:t>很多基坑停工后，降水井被砂淤积，重新洗井后是可以利用的，地下水控制修复管井降水系统时应优先考虑原有降水设施的利用。</w:t>
      </w:r>
    </w:p>
    <w:p w14:paraId="1C06EC37">
      <w:pPr>
        <w:pStyle w:val="6"/>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Times New Roman" w:hAnsi="Times New Roman" w:eastAsia="Times New Roman" w:cs="Times New Roman"/>
          <w:b/>
          <w:bCs/>
          <w:color w:val="auto"/>
          <w:spacing w:val="-1"/>
          <w:sz w:val="24"/>
          <w:szCs w:val="24"/>
          <w:lang w:val="en-US" w:eastAsia="zh-CN"/>
        </w:rPr>
      </w:pPr>
      <w:r>
        <w:rPr>
          <w:rFonts w:hint="eastAsia" w:ascii="Times New Roman" w:hAnsi="Times New Roman" w:eastAsia="Times New Roman" w:cs="Times New Roman"/>
          <w:b/>
          <w:bCs/>
          <w:color w:val="auto"/>
          <w:spacing w:val="-1"/>
          <w:sz w:val="24"/>
          <w:szCs w:val="24"/>
          <w:lang w:val="en-US" w:eastAsia="zh-CN"/>
        </w:rPr>
        <w:t>6</w:t>
      </w:r>
      <w:r>
        <w:rPr>
          <w:rFonts w:hint="default" w:ascii="Times New Roman" w:hAnsi="Times New Roman" w:eastAsia="Times New Roman" w:cs="Times New Roman"/>
          <w:b/>
          <w:bCs/>
          <w:color w:val="auto"/>
          <w:spacing w:val="-1"/>
          <w:sz w:val="24"/>
          <w:szCs w:val="24"/>
          <w:lang w:val="en-US" w:eastAsia="zh-CN"/>
        </w:rPr>
        <w:t>.</w:t>
      </w:r>
      <w:r>
        <w:rPr>
          <w:rFonts w:hint="eastAsia" w:ascii="Times New Roman" w:hAnsi="Times New Roman" w:eastAsia="Times New Roman" w:cs="Times New Roman"/>
          <w:b/>
          <w:bCs/>
          <w:color w:val="auto"/>
          <w:spacing w:val="-1"/>
          <w:sz w:val="24"/>
          <w:szCs w:val="24"/>
          <w:lang w:val="en-US" w:eastAsia="zh-CN"/>
        </w:rPr>
        <w:t>3</w:t>
      </w:r>
      <w:r>
        <w:rPr>
          <w:rFonts w:hint="default" w:ascii="Times New Roman" w:hAnsi="Times New Roman" w:eastAsia="Times New Roman" w:cs="Times New Roman"/>
          <w:b/>
          <w:bCs/>
          <w:color w:val="auto"/>
          <w:spacing w:val="-1"/>
          <w:sz w:val="24"/>
          <w:szCs w:val="24"/>
          <w:lang w:val="en-US" w:eastAsia="zh-CN"/>
        </w:rPr>
        <w:t>.</w:t>
      </w:r>
      <w:r>
        <w:rPr>
          <w:rFonts w:hint="eastAsia" w:ascii="Times New Roman" w:hAnsi="Times New Roman" w:eastAsia="Times New Roman" w:cs="Times New Roman"/>
          <w:b/>
          <w:bCs/>
          <w:color w:val="auto"/>
          <w:spacing w:val="-1"/>
          <w:sz w:val="24"/>
          <w:szCs w:val="24"/>
          <w:lang w:val="en-US" w:eastAsia="zh-CN"/>
        </w:rPr>
        <w:t xml:space="preserve">5 </w:t>
      </w:r>
      <w:r>
        <w:rPr>
          <w:rFonts w:hint="eastAsia" w:ascii="Times New Roman" w:hAnsi="Times New Roman" w:eastAsia="Times New Roman" w:cs="Times New Roman"/>
          <w:b w:val="0"/>
          <w:bCs w:val="0"/>
          <w:color w:val="auto"/>
          <w:spacing w:val="-1"/>
          <w:sz w:val="24"/>
          <w:szCs w:val="24"/>
          <w:lang w:val="en-US" w:eastAsia="zh-CN"/>
        </w:rPr>
        <w:t>对于渗漏水增设仰斜排水孔的施工，应结合现场地质条件选择合适的施工工艺和设备，并应设置合理的反滤层。</w:t>
      </w:r>
    </w:p>
    <w:p w14:paraId="328B89FF">
      <w:pPr>
        <w:pageBreakBefore w:val="0"/>
        <w:kinsoku/>
        <w:wordWrap/>
        <w:overflowPunct/>
        <w:topLinePunct w:val="0"/>
        <w:autoSpaceDE w:val="0"/>
        <w:autoSpaceDN w:val="0"/>
        <w:bidi w:val="0"/>
        <w:adjustRightInd w:val="0"/>
        <w:snapToGrid w:val="0"/>
        <w:spacing w:line="360" w:lineRule="auto"/>
        <w:ind w:left="0" w:leftChars="0"/>
        <w:rPr>
          <w:rFonts w:hint="default" w:ascii="Times New Roman" w:hAnsi="Times New Roman" w:eastAsia="宋体" w:cs="Times New Roman"/>
          <w:b w:val="0"/>
          <w:bCs w:val="0"/>
          <w:kern w:val="2"/>
          <w:sz w:val="24"/>
          <w:szCs w:val="24"/>
          <w:highlight w:val="none"/>
          <w:lang w:val="en-US" w:eastAsia="zh-CN" w:bidi="ar-SA"/>
        </w:rPr>
      </w:pPr>
      <w:r>
        <w:rPr>
          <w:rFonts w:hint="eastAsia" w:ascii="Times New Roman" w:hAnsi="Times New Roman" w:eastAsia="Times New Roman" w:cs="Times New Roman"/>
          <w:b/>
          <w:bCs/>
          <w:color w:val="auto"/>
          <w:spacing w:val="-1"/>
          <w:sz w:val="24"/>
          <w:szCs w:val="24"/>
          <w:lang w:val="en-US" w:eastAsia="zh-CN"/>
        </w:rPr>
        <w:t>6</w:t>
      </w:r>
      <w:r>
        <w:rPr>
          <w:rFonts w:hint="default" w:ascii="Times New Roman" w:hAnsi="Times New Roman" w:eastAsia="Times New Roman" w:cs="Times New Roman"/>
          <w:b/>
          <w:bCs/>
          <w:color w:val="auto"/>
          <w:spacing w:val="-1"/>
          <w:sz w:val="24"/>
          <w:szCs w:val="24"/>
          <w:lang w:val="en-US" w:eastAsia="zh-CN"/>
        </w:rPr>
        <w:t>.</w:t>
      </w:r>
      <w:r>
        <w:rPr>
          <w:rFonts w:hint="eastAsia" w:ascii="Times New Roman" w:hAnsi="Times New Roman" w:eastAsia="Times New Roman" w:cs="Times New Roman"/>
          <w:b/>
          <w:bCs/>
          <w:color w:val="auto"/>
          <w:spacing w:val="-1"/>
          <w:sz w:val="24"/>
          <w:szCs w:val="24"/>
          <w:lang w:val="en-US" w:eastAsia="zh-CN"/>
        </w:rPr>
        <w:t>3</w:t>
      </w:r>
      <w:r>
        <w:rPr>
          <w:rFonts w:hint="default" w:ascii="Times New Roman" w:hAnsi="Times New Roman" w:eastAsia="Times New Roman" w:cs="Times New Roman"/>
          <w:b/>
          <w:bCs/>
          <w:color w:val="auto"/>
          <w:spacing w:val="-1"/>
          <w:sz w:val="24"/>
          <w:szCs w:val="24"/>
          <w:lang w:val="en-US" w:eastAsia="zh-CN"/>
        </w:rPr>
        <w:t>.</w:t>
      </w:r>
      <w:r>
        <w:rPr>
          <w:rFonts w:hint="eastAsia" w:ascii="Times New Roman" w:hAnsi="Times New Roman" w:eastAsia="Times New Roman" w:cs="Times New Roman"/>
          <w:b/>
          <w:bCs/>
          <w:color w:val="auto"/>
          <w:spacing w:val="-1"/>
          <w:sz w:val="24"/>
          <w:szCs w:val="24"/>
          <w:lang w:val="en-US" w:eastAsia="zh-CN"/>
        </w:rPr>
        <w:t xml:space="preserve">6 </w:t>
      </w:r>
      <w:r>
        <w:rPr>
          <w:rFonts w:hint="eastAsia" w:ascii="Times New Roman" w:hAnsi="Times New Roman" w:eastAsia="Times New Roman" w:cs="Times New Roman"/>
          <w:b w:val="0"/>
          <w:bCs w:val="0"/>
          <w:color w:val="auto"/>
          <w:spacing w:val="-1"/>
          <w:sz w:val="24"/>
          <w:szCs w:val="24"/>
          <w:lang w:val="en-US" w:eastAsia="zh-CN"/>
        </w:rPr>
        <w:t>修复完成后宜适当提高地表水与地下水控制系统的检查及维护频率。</w:t>
      </w:r>
    </w:p>
    <w:p w14:paraId="57F82514">
      <w:pPr>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cs="Times New Roman"/>
          <w:b w:val="0"/>
          <w:bCs w:val="0"/>
          <w:sz w:val="28"/>
          <w:szCs w:val="28"/>
          <w:highlight w:val="none"/>
          <w:lang w:val="en-US" w:eastAsia="zh-CN"/>
        </w:rPr>
        <w:sectPr>
          <w:pgSz w:w="11906" w:h="16838"/>
          <w:pgMar w:top="2098" w:right="1474" w:bottom="1417" w:left="1587" w:header="851" w:footer="992" w:gutter="0"/>
          <w:cols w:space="720" w:num="1"/>
          <w:docGrid w:type="lines" w:linePitch="312" w:charSpace="0"/>
        </w:sectPr>
      </w:pPr>
    </w:p>
    <w:p w14:paraId="673CB06E">
      <w:pPr>
        <w:pStyle w:val="2"/>
        <w:spacing w:before="156" w:beforeLines="50" w:after="156" w:afterLines="50"/>
        <w:rPr>
          <w:rFonts w:hint="eastAsia" w:ascii="Times New Roman" w:hAnsi="Times New Roman" w:cs="Times New Roman" w:eastAsiaTheme="minorEastAsia"/>
          <w:sz w:val="30"/>
          <w:szCs w:val="30"/>
          <w:highlight w:val="none"/>
        </w:rPr>
      </w:pPr>
      <w:bookmarkStart w:id="102" w:name="_Toc22556"/>
      <w:bookmarkStart w:id="103" w:name="_Toc13761"/>
      <w:bookmarkStart w:id="104" w:name="_Toc2053"/>
      <w:r>
        <w:rPr>
          <w:rFonts w:hint="eastAsia" w:ascii="Times New Roman" w:hAnsi="Times New Roman" w:cs="Times New Roman" w:eastAsiaTheme="minorEastAsia"/>
          <w:sz w:val="30"/>
          <w:szCs w:val="30"/>
          <w:highlight w:val="none"/>
          <w:lang w:val="en-US" w:eastAsia="zh-CN"/>
        </w:rPr>
        <w:t>7</w:t>
      </w:r>
      <w:r>
        <w:rPr>
          <w:rFonts w:hint="eastAsia" w:cs="Times New Roman" w:eastAsiaTheme="minorEastAsia"/>
          <w:sz w:val="30"/>
          <w:szCs w:val="30"/>
          <w:highlight w:val="none"/>
          <w:lang w:val="en-US" w:eastAsia="zh-CN"/>
        </w:rPr>
        <w:t xml:space="preserve">  </w:t>
      </w:r>
      <w:r>
        <w:rPr>
          <w:rFonts w:hint="eastAsia" w:ascii="Times New Roman" w:hAnsi="Times New Roman" w:cs="Times New Roman" w:eastAsiaTheme="minorEastAsia"/>
          <w:sz w:val="30"/>
          <w:szCs w:val="30"/>
          <w:highlight w:val="none"/>
          <w:lang w:val="en-US" w:eastAsia="zh-CN"/>
        </w:rPr>
        <w:t>基坑工程监测</w:t>
      </w:r>
      <w:bookmarkEnd w:id="102"/>
      <w:bookmarkEnd w:id="103"/>
      <w:bookmarkEnd w:id="104"/>
    </w:p>
    <w:p w14:paraId="42C2E355">
      <w:pPr>
        <w:pStyle w:val="3"/>
        <w:numPr>
          <w:ilvl w:val="1"/>
          <w:numId w:val="0"/>
        </w:numPr>
        <w:ind w:left="576" w:leftChars="0" w:hanging="576" w:firstLineChars="0"/>
        <w:rPr>
          <w:rFonts w:hint="eastAsia" w:ascii="Times New Roman" w:hAnsi="Times New Roman" w:eastAsia="宋体" w:cs="Times New Roman"/>
          <w:sz w:val="28"/>
          <w:szCs w:val="28"/>
          <w:highlight w:val="none"/>
          <w:lang w:val="en-US" w:eastAsia="zh-CN"/>
        </w:rPr>
      </w:pPr>
      <w:bookmarkStart w:id="105" w:name="_Toc12151"/>
      <w:bookmarkStart w:id="106" w:name="_Toc25973"/>
      <w:bookmarkStart w:id="107" w:name="_Toc11075"/>
      <w:r>
        <w:rPr>
          <w:rFonts w:hint="eastAsia" w:ascii="Times New Roman" w:hAnsi="Times New Roman" w:eastAsia="宋体" w:cs="Times New Roman"/>
          <w:sz w:val="28"/>
          <w:szCs w:val="28"/>
          <w:highlight w:val="none"/>
          <w:lang w:val="en-US" w:eastAsia="zh-CN"/>
        </w:rPr>
        <w:t>7</w:t>
      </w:r>
      <w:r>
        <w:rPr>
          <w:rFonts w:hint="default" w:ascii="Times New Roman" w:hAnsi="Times New Roman" w:eastAsia="宋体" w:cs="Times New Roman"/>
          <w:sz w:val="28"/>
          <w:szCs w:val="28"/>
          <w:highlight w:val="none"/>
          <w:lang w:val="en-US" w:eastAsia="zh-CN"/>
        </w:rPr>
        <w:t>.1</w:t>
      </w:r>
      <w:r>
        <w:rPr>
          <w:rFonts w:hint="eastAsia" w:ascii="Times New Roman" w:hAnsi="Times New Roman" w:eastAsia="宋体" w:cs="Times New Roman"/>
          <w:sz w:val="28"/>
          <w:szCs w:val="28"/>
          <w:highlight w:val="none"/>
          <w:lang w:val="en-US" w:eastAsia="zh-CN"/>
        </w:rPr>
        <w:t>一般规定</w:t>
      </w:r>
      <w:bookmarkEnd w:id="105"/>
      <w:bookmarkEnd w:id="106"/>
      <w:bookmarkEnd w:id="107"/>
    </w:p>
    <w:p w14:paraId="1A679783">
      <w:pPr>
        <w:bidi w:val="0"/>
        <w:rPr>
          <w:rFonts w:hint="default"/>
          <w:highlight w:val="none"/>
          <w:lang w:val="en-US" w:eastAsia="zh-CN"/>
        </w:rPr>
      </w:pPr>
      <w:r>
        <w:rPr>
          <w:rFonts w:hint="default"/>
          <w:b/>
          <w:bCs/>
          <w:highlight w:val="none"/>
          <w:lang w:val="en-US" w:eastAsia="zh-CN"/>
        </w:rPr>
        <w:t>7.1.1</w:t>
      </w:r>
      <w:r>
        <w:rPr>
          <w:rFonts w:hint="default"/>
          <w:highlight w:val="none"/>
          <w:lang w:val="en-US" w:eastAsia="zh-CN"/>
        </w:rPr>
        <w:t xml:space="preserve"> 进行加固施工的基坑，应根据加固设计安全等级对基坑及影响范围内的周边环境进行监测。</w:t>
      </w:r>
    </w:p>
    <w:p w14:paraId="73051F34">
      <w:pPr>
        <w:spacing w:line="360" w:lineRule="auto"/>
        <w:rPr>
          <w:rFonts w:hint="eastAsia" w:ascii="Times New Roman" w:hAnsi="Times New Roman" w:eastAsia="楷体" w:cs="Times New Roman"/>
          <w:sz w:val="24"/>
          <w:highlight w:val="none"/>
          <w:u w:val="single"/>
          <w:lang w:val="en-US" w:eastAsia="zh-CN"/>
        </w:rPr>
      </w:pPr>
      <w:r>
        <w:rPr>
          <w:rFonts w:hint="eastAsia" w:ascii="Times New Roman" w:hAnsi="Times New Roman" w:eastAsia="楷体" w:cs="Times New Roman"/>
          <w:sz w:val="24"/>
          <w:highlight w:val="none"/>
          <w:u w:val="single"/>
          <w:lang w:val="zh-CN" w:eastAsia="zh-CN"/>
        </w:rPr>
        <w:t>【</w:t>
      </w:r>
      <w:r>
        <w:rPr>
          <w:rFonts w:hint="eastAsia" w:ascii="Times New Roman" w:hAnsi="Times New Roman" w:eastAsia="楷体" w:cs="Times New Roman"/>
          <w:sz w:val="24"/>
          <w:highlight w:val="none"/>
          <w:u w:val="single"/>
          <w:lang w:val="en-US" w:eastAsia="zh-CN"/>
        </w:rPr>
        <w:t>条文说明</w:t>
      </w:r>
      <w:r>
        <w:rPr>
          <w:rFonts w:hint="eastAsia" w:ascii="Times New Roman" w:hAnsi="Times New Roman" w:eastAsia="楷体" w:cs="Times New Roman"/>
          <w:sz w:val="24"/>
          <w:highlight w:val="none"/>
          <w:u w:val="single"/>
          <w:lang w:val="zh-CN" w:eastAsia="zh-CN"/>
        </w:rPr>
        <w:t>】</w:t>
      </w:r>
      <w:r>
        <w:rPr>
          <w:rFonts w:hint="eastAsia" w:ascii="Times New Roman" w:hAnsi="Times New Roman" w:eastAsia="楷体" w:cs="Times New Roman"/>
          <w:sz w:val="24"/>
          <w:highlight w:val="none"/>
          <w:u w:val="single"/>
          <w:lang w:val="en-US" w:eastAsia="zh-CN"/>
        </w:rPr>
        <w:t>基坑加固通常由于原有支护体系或地质条件未达到预期安全状态，或周边环境要求发生变化，加固设计的安全等级更真实地反映了基坑当前的实际风险状态和控制要求。为确保加固效果并控制施工可能带来的附加影响，监测工作与加固设计所确定的安全等级相适应，能有效掌握基坑状态，确保工程安全。</w:t>
      </w:r>
    </w:p>
    <w:p w14:paraId="5E211E20">
      <w:pPr>
        <w:bidi w:val="0"/>
        <w:rPr>
          <w:rFonts w:hint="default"/>
          <w:highlight w:val="none"/>
          <w:lang w:val="en-US" w:eastAsia="zh-CN"/>
        </w:rPr>
      </w:pPr>
      <w:r>
        <w:rPr>
          <w:rFonts w:hint="default"/>
          <w:b/>
          <w:bCs/>
          <w:highlight w:val="none"/>
          <w:lang w:val="en-US" w:eastAsia="zh-CN"/>
        </w:rPr>
        <w:t>7.1.2</w:t>
      </w:r>
      <w:r>
        <w:rPr>
          <w:rFonts w:hint="default"/>
          <w:highlight w:val="none"/>
          <w:lang w:val="en-US" w:eastAsia="zh-CN"/>
        </w:rPr>
        <w:t xml:space="preserve"> 基坑加固施工前，监测单位应在基坑工程加固设计、施工方案及原监测成果的基础上，结合基坑及周边环境现状分析基坑工程的风险、影响基坑安全的关键部位和关键工序，有针对性地编制监测方案。</w:t>
      </w:r>
    </w:p>
    <w:p w14:paraId="6DDF5BD3">
      <w:pPr>
        <w:spacing w:line="360" w:lineRule="auto"/>
        <w:rPr>
          <w:rFonts w:hint="eastAsia" w:ascii="Times New Roman" w:hAnsi="Times New Roman" w:eastAsia="楷体" w:cs="Times New Roman"/>
          <w:sz w:val="24"/>
          <w:szCs w:val="28"/>
          <w:highlight w:val="none"/>
          <w:u w:val="single"/>
          <w:lang w:val="en-US" w:eastAsia="zh-CN"/>
        </w:rPr>
      </w:pPr>
      <w:r>
        <w:rPr>
          <w:rFonts w:hint="eastAsia" w:ascii="Times New Roman" w:hAnsi="Times New Roman" w:eastAsia="楷体" w:cs="Times New Roman"/>
          <w:sz w:val="24"/>
          <w:szCs w:val="28"/>
          <w:highlight w:val="none"/>
          <w:u w:val="single"/>
          <w:lang w:val="zh-CN" w:eastAsia="zh-CN"/>
        </w:rPr>
        <w:t>【</w:t>
      </w:r>
      <w:r>
        <w:rPr>
          <w:rFonts w:hint="eastAsia" w:ascii="Times New Roman" w:hAnsi="Times New Roman" w:eastAsia="楷体" w:cs="Times New Roman"/>
          <w:sz w:val="24"/>
          <w:szCs w:val="28"/>
          <w:highlight w:val="none"/>
          <w:u w:val="single"/>
          <w:lang w:val="en-US" w:eastAsia="zh-CN"/>
        </w:rPr>
        <w:t>条文说明</w:t>
      </w:r>
      <w:r>
        <w:rPr>
          <w:rFonts w:hint="eastAsia" w:ascii="Times New Roman" w:hAnsi="Times New Roman" w:eastAsia="楷体" w:cs="Times New Roman"/>
          <w:sz w:val="24"/>
          <w:szCs w:val="28"/>
          <w:highlight w:val="none"/>
          <w:u w:val="single"/>
          <w:lang w:val="zh-CN" w:eastAsia="zh-CN"/>
        </w:rPr>
        <w:t>】</w:t>
      </w:r>
      <w:r>
        <w:rPr>
          <w:rFonts w:hint="eastAsia" w:ascii="Times New Roman" w:hAnsi="Times New Roman" w:eastAsia="楷体" w:cs="Times New Roman"/>
          <w:sz w:val="24"/>
          <w:szCs w:val="28"/>
          <w:highlight w:val="none"/>
          <w:u w:val="single"/>
          <w:lang w:val="en-US" w:eastAsia="zh-CN"/>
        </w:rPr>
        <w:t>监测方案是实施监测的重依据文件，原监测方案由于基坑设计条件的变化及加固施工可能带来的新的或潜在风险的影响而不适用，因此，需在基坑加固设计、具体施工工序及原有监测成果资料的基础上，结合当前基坑及周边环境的实际状态，精准识别对基坑安全至关重要的关键部位（如加固作业区、结构薄弱点）和关键施工环节（如支护结构置换、降水控制等），从而编制出针对性更强的专项监测方案。</w:t>
      </w:r>
    </w:p>
    <w:p w14:paraId="63F62D2D">
      <w:pPr>
        <w:bidi w:val="0"/>
        <w:rPr>
          <w:rFonts w:hint="eastAsia"/>
          <w:highlight w:val="none"/>
          <w:lang w:val="en-US" w:eastAsia="zh-CN"/>
        </w:rPr>
      </w:pPr>
      <w:r>
        <w:rPr>
          <w:rFonts w:hint="eastAsia"/>
          <w:b/>
          <w:bCs/>
          <w:highlight w:val="none"/>
          <w:lang w:val="en-US" w:eastAsia="zh-CN"/>
        </w:rPr>
        <w:t>7</w:t>
      </w:r>
      <w:r>
        <w:rPr>
          <w:rFonts w:hint="default"/>
          <w:b/>
          <w:bCs/>
          <w:highlight w:val="none"/>
          <w:lang w:val="en-US" w:eastAsia="zh-CN"/>
        </w:rPr>
        <w:t>.1.</w:t>
      </w:r>
      <w:r>
        <w:rPr>
          <w:rFonts w:hint="eastAsia"/>
          <w:b/>
          <w:bCs/>
          <w:highlight w:val="none"/>
          <w:lang w:val="en-US" w:eastAsia="zh-CN"/>
        </w:rPr>
        <w:t>3</w:t>
      </w:r>
      <w:r>
        <w:rPr>
          <w:rFonts w:hint="eastAsia"/>
          <w:highlight w:val="none"/>
          <w:lang w:val="en-US" w:eastAsia="zh-CN"/>
        </w:rPr>
        <w:t xml:space="preserve"> 监测方案应包括工程概况、场地岩土工程条件、基坑及周边环境现状、监测目的和依据、监测内容及项目、基准点和监测点的利用及布置、监测方法及精度、监测人员、主要仪器设备及检定要求、监测周期、监测频率、监测报警值、异常情况下的监测措施、监测数据处理和信息反馈等内容。</w:t>
      </w:r>
    </w:p>
    <w:p w14:paraId="70BCAA4C">
      <w:pPr>
        <w:spacing w:line="360" w:lineRule="auto"/>
        <w:rPr>
          <w:rFonts w:hint="default" w:ascii="Times New Roman" w:hAnsi="Times New Roman" w:eastAsia="楷体" w:cs="Times New Roman"/>
          <w:sz w:val="24"/>
          <w:szCs w:val="28"/>
          <w:highlight w:val="none"/>
          <w:u w:val="single"/>
          <w:lang w:val="en-US" w:eastAsia="zh-CN"/>
        </w:rPr>
      </w:pPr>
      <w:r>
        <w:rPr>
          <w:rFonts w:hint="eastAsia" w:ascii="Times New Roman" w:hAnsi="Times New Roman" w:eastAsia="楷体" w:cs="Times New Roman"/>
          <w:sz w:val="24"/>
          <w:szCs w:val="28"/>
          <w:highlight w:val="none"/>
          <w:u w:val="single"/>
          <w:lang w:val="zh-CN" w:eastAsia="zh-CN"/>
        </w:rPr>
        <w:t>【</w:t>
      </w:r>
      <w:r>
        <w:rPr>
          <w:rFonts w:hint="eastAsia" w:ascii="Times New Roman" w:hAnsi="Times New Roman" w:eastAsia="楷体" w:cs="Times New Roman"/>
          <w:sz w:val="24"/>
          <w:szCs w:val="28"/>
          <w:highlight w:val="none"/>
          <w:u w:val="single"/>
          <w:lang w:val="en-US" w:eastAsia="zh-CN"/>
        </w:rPr>
        <w:t>条文说明</w:t>
      </w:r>
      <w:r>
        <w:rPr>
          <w:rFonts w:hint="eastAsia" w:ascii="Times New Roman" w:hAnsi="Times New Roman" w:eastAsia="楷体" w:cs="Times New Roman"/>
          <w:sz w:val="24"/>
          <w:szCs w:val="28"/>
          <w:highlight w:val="none"/>
          <w:u w:val="single"/>
          <w:lang w:val="zh-CN" w:eastAsia="zh-CN"/>
        </w:rPr>
        <w:t>】</w:t>
      </w:r>
      <w:r>
        <w:rPr>
          <w:rFonts w:hint="default" w:ascii="Times New Roman" w:hAnsi="Times New Roman" w:eastAsia="楷体" w:cs="Times New Roman"/>
          <w:sz w:val="24"/>
          <w:szCs w:val="28"/>
          <w:highlight w:val="none"/>
          <w:u w:val="single"/>
          <w:lang w:val="en-US" w:eastAsia="zh-CN"/>
        </w:rPr>
        <w:t>本条规定了基坑监测方案应包含的核心组成部分，旨在确保方案的完整性、可操作性与风险管控的有效性。工程概况、场地岩土工程条件及基坑与周边环境现状是方案制定的基础背景，明确工程特性和约束条件。监测目的和依据阐明工作目标和遵循的法规标准。监测内容及项目具体定义需监控的物理量（如位移、沉降、应力等）。基准点和监测点的利用及布置图件是监测位置的定位依据，确保数据来源可靠。监测方法及精度、人员、仪器设备及检定要求共同构成技术保障体系，保证数据的准确性和可信度。监测周期、频率及报警值是动态监控的关键参数，决定数据采集密度和风险响应阈值。异常情况下的监测措施提供应急预案，应对突发风险。监测数据处理和信息反馈机制确保数据有效转化为预警信息和决策依据。这些要素共同构成一个系统、闭环的监测管理体系，为基坑工程安全提供全方位、全过程的保障。</w:t>
      </w:r>
    </w:p>
    <w:p w14:paraId="7F1C8206">
      <w:pPr>
        <w:bidi w:val="0"/>
        <w:rPr>
          <w:rFonts w:hint="eastAsia"/>
          <w:highlight w:val="none"/>
          <w:lang w:val="en-US" w:eastAsia="zh-CN"/>
        </w:rPr>
      </w:pPr>
      <w:r>
        <w:rPr>
          <w:rFonts w:hint="eastAsia"/>
          <w:b/>
          <w:bCs/>
          <w:highlight w:val="none"/>
          <w:lang w:val="en-US" w:eastAsia="zh-CN"/>
        </w:rPr>
        <w:t>7</w:t>
      </w:r>
      <w:r>
        <w:rPr>
          <w:rFonts w:hint="default"/>
          <w:b/>
          <w:bCs/>
          <w:highlight w:val="none"/>
          <w:lang w:val="en-US" w:eastAsia="zh-CN"/>
        </w:rPr>
        <w:t>.1.</w:t>
      </w:r>
      <w:r>
        <w:rPr>
          <w:rFonts w:hint="eastAsia"/>
          <w:b/>
          <w:bCs/>
          <w:highlight w:val="none"/>
          <w:lang w:val="en-US" w:eastAsia="zh-CN"/>
        </w:rPr>
        <w:t>4</w:t>
      </w:r>
      <w:r>
        <w:rPr>
          <w:rFonts w:hint="eastAsia"/>
          <w:highlight w:val="none"/>
          <w:lang w:val="en-US" w:eastAsia="zh-CN"/>
        </w:rPr>
        <w:t xml:space="preserve"> 加固基坑工程监测宜使用稳定的原监测基准点，坐标及高程系统宜与原监测系统保持一致，当原基准点破坏时，应在变形影响区域外且便于保护的位置重新设置基准点。</w:t>
      </w:r>
    </w:p>
    <w:p w14:paraId="4F081FD5">
      <w:pPr>
        <w:spacing w:line="360" w:lineRule="auto"/>
        <w:rPr>
          <w:rFonts w:hint="eastAsia" w:ascii="Times New Roman" w:hAnsi="Times New Roman" w:eastAsia="楷体" w:cs="Times New Roman"/>
          <w:sz w:val="24"/>
          <w:szCs w:val="28"/>
          <w:highlight w:val="none"/>
          <w:u w:val="single"/>
          <w:lang w:val="en-US" w:eastAsia="zh-CN"/>
        </w:rPr>
      </w:pPr>
      <w:r>
        <w:rPr>
          <w:rFonts w:hint="eastAsia" w:ascii="Times New Roman" w:hAnsi="Times New Roman" w:eastAsia="楷体" w:cs="Times New Roman"/>
          <w:sz w:val="24"/>
          <w:szCs w:val="28"/>
          <w:highlight w:val="none"/>
          <w:u w:val="single"/>
          <w:lang w:val="zh-CN" w:eastAsia="zh-CN"/>
        </w:rPr>
        <w:t>【</w:t>
      </w:r>
      <w:r>
        <w:rPr>
          <w:rFonts w:hint="eastAsia" w:ascii="Times New Roman" w:hAnsi="Times New Roman" w:eastAsia="楷体" w:cs="Times New Roman"/>
          <w:sz w:val="24"/>
          <w:szCs w:val="28"/>
          <w:highlight w:val="none"/>
          <w:u w:val="single"/>
          <w:lang w:val="en-US" w:eastAsia="zh-CN"/>
        </w:rPr>
        <w:t>条文说明</w:t>
      </w:r>
      <w:r>
        <w:rPr>
          <w:rFonts w:hint="eastAsia" w:ascii="Times New Roman" w:hAnsi="Times New Roman" w:eastAsia="楷体" w:cs="Times New Roman"/>
          <w:sz w:val="24"/>
          <w:szCs w:val="28"/>
          <w:highlight w:val="none"/>
          <w:u w:val="single"/>
          <w:lang w:val="zh-CN" w:eastAsia="zh-CN"/>
        </w:rPr>
        <w:t>】此条规定是</w:t>
      </w:r>
      <w:r>
        <w:rPr>
          <w:rFonts w:hint="default" w:ascii="Times New Roman" w:hAnsi="Times New Roman" w:eastAsia="楷体" w:cs="Times New Roman"/>
          <w:sz w:val="24"/>
          <w:szCs w:val="28"/>
          <w:highlight w:val="none"/>
          <w:u w:val="single"/>
          <w:lang w:val="en-US" w:eastAsia="zh-CN"/>
        </w:rPr>
        <w:t>为保证监测数据的连续性与可比性</w:t>
      </w:r>
      <w:r>
        <w:rPr>
          <w:rFonts w:hint="eastAsia" w:ascii="Times New Roman" w:hAnsi="Times New Roman" w:eastAsia="楷体" w:cs="Times New Roman"/>
          <w:sz w:val="24"/>
          <w:szCs w:val="28"/>
          <w:highlight w:val="none"/>
          <w:u w:val="single"/>
          <w:lang w:val="en-US" w:eastAsia="zh-CN"/>
        </w:rPr>
        <w:t>。</w:t>
      </w:r>
    </w:p>
    <w:p w14:paraId="0F25FCA6">
      <w:pPr>
        <w:spacing w:line="360" w:lineRule="auto"/>
        <w:rPr>
          <w:rFonts w:hint="eastAsia" w:ascii="Times New Roman" w:hAnsi="Times New Roman" w:eastAsia="楷体" w:cs="Times New Roman"/>
          <w:sz w:val="24"/>
          <w:szCs w:val="28"/>
          <w:highlight w:val="none"/>
          <w:u w:val="single"/>
          <w:lang w:val="en-US" w:eastAsia="zh-CN"/>
        </w:rPr>
      </w:pPr>
      <w:r>
        <w:rPr>
          <w:rFonts w:hint="eastAsia"/>
          <w:b/>
          <w:bCs/>
          <w:highlight w:val="none"/>
          <w:lang w:val="en-US" w:eastAsia="zh-CN"/>
        </w:rPr>
        <w:t>7</w:t>
      </w:r>
      <w:r>
        <w:rPr>
          <w:rFonts w:hint="default"/>
          <w:b/>
          <w:bCs/>
          <w:highlight w:val="none"/>
          <w:lang w:val="en-US" w:eastAsia="zh-CN"/>
        </w:rPr>
        <w:t>.1.</w:t>
      </w:r>
      <w:r>
        <w:rPr>
          <w:rFonts w:hint="eastAsia"/>
          <w:b/>
          <w:bCs/>
          <w:highlight w:val="none"/>
          <w:lang w:val="en-US" w:eastAsia="zh-CN"/>
        </w:rPr>
        <w:t>5</w:t>
      </w:r>
      <w:r>
        <w:rPr>
          <w:rFonts w:hint="eastAsia"/>
          <w:highlight w:val="none"/>
          <w:lang w:val="en-US" w:eastAsia="zh-CN"/>
        </w:rPr>
        <w:t xml:space="preserve"> 加固基坑工程监测方法</w:t>
      </w:r>
      <w:r>
        <w:rPr>
          <w:rFonts w:hint="default" w:ascii="Times New Roman" w:hAnsi="Times New Roman"/>
          <w:b w:val="0"/>
          <w:highlight w:val="none"/>
          <w:lang w:val="en-US" w:eastAsia="zh-CN"/>
        </w:rPr>
        <w:t>应符合国家现行标准《建筑基坑工程监测技术标准》GB50497的有关规定</w:t>
      </w:r>
      <w:r>
        <w:rPr>
          <w:rFonts w:hint="eastAsia"/>
          <w:b w:val="0"/>
          <w:highlight w:val="none"/>
          <w:lang w:val="en-US" w:eastAsia="zh-CN"/>
        </w:rPr>
        <w:t>。采用自动化监测技术应满足四川省</w:t>
      </w:r>
      <w:r>
        <w:rPr>
          <w:rFonts w:hint="default" w:ascii="Times New Roman" w:hAnsi="Times New Roman"/>
          <w:b w:val="0"/>
          <w:highlight w:val="none"/>
          <w:lang w:val="en-US" w:eastAsia="zh-CN"/>
        </w:rPr>
        <w:t>现行标准《</w:t>
      </w:r>
      <w:r>
        <w:rPr>
          <w:rFonts w:ascii="Times New Roman" w:hAnsi="Times New Roman" w:eastAsia="宋体" w:cstheme="minorBidi"/>
          <w:b w:val="0"/>
          <w:bCs w:val="0"/>
          <w:color w:val="auto"/>
          <w:sz w:val="24"/>
          <w:szCs w:val="24"/>
          <w:highlight w:val="none"/>
        </w:rPr>
        <w:t>四川省基坑工程自动化监测技术标准</w:t>
      </w:r>
      <w:r>
        <w:rPr>
          <w:rFonts w:hint="default" w:ascii="Times New Roman" w:hAnsi="Times New Roman"/>
          <w:b w:val="0"/>
          <w:highlight w:val="none"/>
          <w:lang w:val="en-US" w:eastAsia="zh-CN"/>
        </w:rPr>
        <w:t>》</w:t>
      </w:r>
      <w:r>
        <w:rPr>
          <w:rFonts w:ascii="Times New Roman" w:hAnsi="Times New Roman" w:eastAsia="宋体" w:cstheme="minorBidi"/>
          <w:b w:val="0"/>
          <w:bCs w:val="0"/>
          <w:color w:val="auto"/>
          <w:sz w:val="24"/>
          <w:szCs w:val="24"/>
          <w:highlight w:val="none"/>
        </w:rPr>
        <w:t xml:space="preserve">DBJ51/T </w:t>
      </w:r>
      <w:r>
        <w:rPr>
          <w:rFonts w:hint="default" w:ascii="Times New Roman" w:hAnsi="Times New Roman" w:eastAsia="宋体" w:cstheme="minorBidi"/>
          <w:b w:val="0"/>
          <w:bCs w:val="0"/>
          <w:color w:val="auto"/>
          <w:sz w:val="24"/>
          <w:szCs w:val="24"/>
          <w:highlight w:val="none"/>
        </w:rPr>
        <w:t>262</w:t>
      </w:r>
      <w:r>
        <w:rPr>
          <w:rFonts w:hint="default" w:ascii="Times New Roman" w:hAnsi="Times New Roman"/>
          <w:b w:val="0"/>
          <w:highlight w:val="none"/>
          <w:lang w:val="en-US" w:eastAsia="zh-CN"/>
        </w:rPr>
        <w:t>的有关</w:t>
      </w:r>
      <w:r>
        <w:rPr>
          <w:rFonts w:hint="eastAsia"/>
          <w:b w:val="0"/>
          <w:highlight w:val="none"/>
          <w:lang w:val="en-US" w:eastAsia="zh-CN"/>
        </w:rPr>
        <w:t>要求</w:t>
      </w:r>
      <w:r>
        <w:rPr>
          <w:rFonts w:hint="eastAsia" w:ascii="Times New Roman" w:hAnsi="Times New Roman"/>
          <w:b w:val="0"/>
          <w:highlight w:val="none"/>
          <w:lang w:val="en-US" w:eastAsia="zh-CN"/>
        </w:rPr>
        <w:t>。</w:t>
      </w:r>
    </w:p>
    <w:p w14:paraId="4E8E2901">
      <w:pPr>
        <w:bidi w:val="0"/>
        <w:rPr>
          <w:rFonts w:hint="eastAsia"/>
          <w:highlight w:val="none"/>
          <w:lang w:val="en-US" w:eastAsia="zh-CN"/>
        </w:rPr>
      </w:pPr>
      <w:r>
        <w:rPr>
          <w:rFonts w:hint="eastAsia"/>
          <w:b/>
          <w:bCs/>
          <w:highlight w:val="none"/>
          <w:lang w:val="en-US" w:eastAsia="zh-CN"/>
        </w:rPr>
        <w:t>7</w:t>
      </w:r>
      <w:r>
        <w:rPr>
          <w:rFonts w:hint="default"/>
          <w:b/>
          <w:bCs/>
          <w:highlight w:val="none"/>
          <w:lang w:val="en-US" w:eastAsia="zh-CN"/>
        </w:rPr>
        <w:t>.1.</w:t>
      </w:r>
      <w:r>
        <w:rPr>
          <w:rFonts w:hint="eastAsia"/>
          <w:b/>
          <w:bCs/>
          <w:highlight w:val="none"/>
          <w:lang w:val="en-US" w:eastAsia="zh-CN"/>
        </w:rPr>
        <w:t>6</w:t>
      </w:r>
      <w:r>
        <w:rPr>
          <w:rFonts w:hint="eastAsia"/>
          <w:highlight w:val="none"/>
          <w:lang w:val="en-US" w:eastAsia="zh-CN"/>
        </w:rPr>
        <w:t xml:space="preserve"> 监测方案应经建设、设计、监理等单位认可，发生严重变形的基坑加固监测方案应进行专项论证。</w:t>
      </w:r>
    </w:p>
    <w:p w14:paraId="4C1B6B81">
      <w:pPr>
        <w:spacing w:line="360" w:lineRule="auto"/>
        <w:rPr>
          <w:rFonts w:hint="eastAsia" w:ascii="Times New Roman" w:hAnsi="Times New Roman" w:eastAsia="楷体" w:cs="Times New Roman"/>
          <w:sz w:val="24"/>
          <w:szCs w:val="28"/>
          <w:highlight w:val="none"/>
          <w:u w:val="single"/>
          <w:lang w:val="en-US" w:eastAsia="zh-CN"/>
        </w:rPr>
      </w:pPr>
      <w:r>
        <w:rPr>
          <w:rFonts w:hint="eastAsia" w:ascii="Times New Roman" w:hAnsi="Times New Roman" w:eastAsia="楷体" w:cs="Times New Roman"/>
          <w:sz w:val="24"/>
          <w:szCs w:val="28"/>
          <w:highlight w:val="none"/>
          <w:u w:val="single"/>
          <w:lang w:val="zh-CN" w:eastAsia="zh-CN"/>
        </w:rPr>
        <w:t>【</w:t>
      </w:r>
      <w:r>
        <w:rPr>
          <w:rFonts w:hint="eastAsia" w:ascii="Times New Roman" w:hAnsi="Times New Roman" w:eastAsia="楷体" w:cs="Times New Roman"/>
          <w:sz w:val="24"/>
          <w:szCs w:val="28"/>
          <w:highlight w:val="none"/>
          <w:u w:val="single"/>
          <w:lang w:val="en-US" w:eastAsia="zh-CN"/>
        </w:rPr>
        <w:t>条文说明</w:t>
      </w:r>
      <w:r>
        <w:rPr>
          <w:rFonts w:hint="eastAsia" w:ascii="Times New Roman" w:hAnsi="Times New Roman" w:eastAsia="楷体" w:cs="Times New Roman"/>
          <w:sz w:val="24"/>
          <w:szCs w:val="28"/>
          <w:highlight w:val="none"/>
          <w:u w:val="single"/>
          <w:lang w:val="zh-CN" w:eastAsia="zh-CN"/>
        </w:rPr>
        <w:t>】</w:t>
      </w:r>
      <w:r>
        <w:rPr>
          <w:rFonts w:hint="default" w:ascii="Times New Roman" w:hAnsi="Times New Roman" w:eastAsia="楷体" w:cs="Times New Roman"/>
          <w:sz w:val="24"/>
          <w:szCs w:val="28"/>
          <w:highlight w:val="none"/>
          <w:u w:val="single"/>
          <w:lang w:val="en-US" w:eastAsia="zh-CN"/>
        </w:rPr>
        <w:t>对于已发生严重变形的基坑，其监测方案组织专家进行专项论证</w:t>
      </w:r>
      <w:r>
        <w:rPr>
          <w:rFonts w:hint="eastAsia" w:ascii="Times New Roman" w:hAnsi="Times New Roman" w:eastAsia="楷体" w:cs="Times New Roman"/>
          <w:sz w:val="24"/>
          <w:szCs w:val="28"/>
          <w:highlight w:val="none"/>
          <w:u w:val="single"/>
          <w:lang w:val="en-US" w:eastAsia="zh-CN"/>
        </w:rPr>
        <w:t>的目的是</w:t>
      </w:r>
      <w:r>
        <w:rPr>
          <w:rFonts w:hint="default" w:ascii="Times New Roman" w:hAnsi="Times New Roman" w:eastAsia="楷体" w:cs="Times New Roman"/>
          <w:sz w:val="24"/>
          <w:szCs w:val="28"/>
          <w:highlight w:val="none"/>
          <w:u w:val="single"/>
          <w:lang w:val="en-US" w:eastAsia="zh-CN"/>
        </w:rPr>
        <w:t>深入分析</w:t>
      </w:r>
      <w:r>
        <w:rPr>
          <w:rFonts w:hint="eastAsia" w:ascii="Times New Roman" w:hAnsi="Times New Roman" w:eastAsia="楷体" w:cs="Times New Roman"/>
          <w:sz w:val="24"/>
          <w:szCs w:val="28"/>
          <w:highlight w:val="none"/>
          <w:u w:val="single"/>
          <w:lang w:val="en-US" w:eastAsia="zh-CN"/>
        </w:rPr>
        <w:t>变形</w:t>
      </w:r>
      <w:r>
        <w:rPr>
          <w:rFonts w:hint="default" w:ascii="Times New Roman" w:hAnsi="Times New Roman" w:eastAsia="楷体" w:cs="Times New Roman"/>
          <w:sz w:val="24"/>
          <w:szCs w:val="28"/>
          <w:highlight w:val="none"/>
          <w:u w:val="single"/>
          <w:lang w:val="en-US" w:eastAsia="zh-CN"/>
        </w:rPr>
        <w:t>原因及当前风险状态，对方案进行全面评估和必要调整，确保新方案能精准应对基坑的特殊</w:t>
      </w:r>
      <w:r>
        <w:rPr>
          <w:rFonts w:hint="eastAsia" w:ascii="Times New Roman" w:hAnsi="Times New Roman" w:eastAsia="楷体" w:cs="Times New Roman"/>
          <w:sz w:val="24"/>
          <w:szCs w:val="28"/>
          <w:highlight w:val="none"/>
          <w:u w:val="single"/>
          <w:lang w:val="en-US" w:eastAsia="zh-CN"/>
        </w:rPr>
        <w:t>性、</w:t>
      </w:r>
      <w:r>
        <w:rPr>
          <w:rFonts w:hint="default" w:ascii="Times New Roman" w:hAnsi="Times New Roman" w:eastAsia="楷体" w:cs="Times New Roman"/>
          <w:sz w:val="24"/>
          <w:szCs w:val="28"/>
          <w:highlight w:val="none"/>
          <w:u w:val="single"/>
          <w:lang w:val="en-US" w:eastAsia="zh-CN"/>
        </w:rPr>
        <w:t>复杂性和高风险性</w:t>
      </w:r>
      <w:r>
        <w:rPr>
          <w:rFonts w:hint="eastAsia" w:ascii="Times New Roman" w:hAnsi="Times New Roman" w:eastAsia="楷体" w:cs="Times New Roman"/>
          <w:sz w:val="24"/>
          <w:szCs w:val="28"/>
          <w:highlight w:val="none"/>
          <w:u w:val="single"/>
          <w:lang w:val="en-US" w:eastAsia="zh-CN"/>
        </w:rPr>
        <w:t>。</w:t>
      </w:r>
    </w:p>
    <w:p w14:paraId="3EDEE145">
      <w:pPr>
        <w:bidi w:val="0"/>
        <w:rPr>
          <w:rFonts w:hint="eastAsia"/>
          <w:highlight w:val="none"/>
          <w:lang w:val="en-US" w:eastAsia="zh-CN"/>
        </w:rPr>
      </w:pPr>
      <w:r>
        <w:rPr>
          <w:rFonts w:hint="eastAsia"/>
          <w:b/>
          <w:bCs/>
          <w:highlight w:val="none"/>
          <w:lang w:val="en-US" w:eastAsia="zh-CN"/>
        </w:rPr>
        <w:t>7</w:t>
      </w:r>
      <w:r>
        <w:rPr>
          <w:rFonts w:hint="default"/>
          <w:b/>
          <w:bCs/>
          <w:highlight w:val="none"/>
          <w:lang w:val="en-US" w:eastAsia="zh-CN"/>
        </w:rPr>
        <w:t>.1.</w:t>
      </w:r>
      <w:r>
        <w:rPr>
          <w:rFonts w:hint="eastAsia"/>
          <w:b/>
          <w:bCs/>
          <w:highlight w:val="none"/>
          <w:lang w:val="en-US" w:eastAsia="zh-CN"/>
        </w:rPr>
        <w:t>7</w:t>
      </w:r>
      <w:r>
        <w:rPr>
          <w:rFonts w:hint="eastAsia"/>
          <w:highlight w:val="none"/>
          <w:lang w:val="en-US" w:eastAsia="zh-CN"/>
        </w:rPr>
        <w:t xml:space="preserve"> 监测结束后，监测单位应将下列资料组卷归档：</w:t>
      </w:r>
    </w:p>
    <w:p w14:paraId="2CC8478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 xml:space="preserve">1  </w:t>
      </w:r>
      <w:r>
        <w:rPr>
          <w:rFonts w:hint="default"/>
          <w:highlight w:val="none"/>
          <w:lang w:val="en-US" w:eastAsia="zh-CN"/>
        </w:rPr>
        <w:t xml:space="preserve">监测方案； </w:t>
      </w:r>
    </w:p>
    <w:p w14:paraId="1D6FE4F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2</w:t>
      </w:r>
      <w:r>
        <w:rPr>
          <w:rFonts w:hint="default"/>
          <w:highlight w:val="none"/>
          <w:lang w:val="en-US" w:eastAsia="zh-CN"/>
        </w:rPr>
        <w:t xml:space="preserve"> </w:t>
      </w:r>
      <w:r>
        <w:rPr>
          <w:rFonts w:hint="eastAsia"/>
          <w:highlight w:val="none"/>
          <w:lang w:val="en-US" w:eastAsia="zh-CN"/>
        </w:rPr>
        <w:t xml:space="preserve"> </w:t>
      </w:r>
      <w:r>
        <w:rPr>
          <w:rFonts w:hint="default"/>
          <w:highlight w:val="none"/>
          <w:lang w:val="en-US" w:eastAsia="zh-CN"/>
        </w:rPr>
        <w:t xml:space="preserve">阶段性报告； </w:t>
      </w:r>
    </w:p>
    <w:p w14:paraId="59F3674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w:t>
      </w:r>
      <w:r>
        <w:rPr>
          <w:rFonts w:hint="default"/>
          <w:highlight w:val="none"/>
          <w:lang w:val="en-US" w:eastAsia="zh-CN"/>
        </w:rPr>
        <w:t xml:space="preserve"> </w:t>
      </w:r>
      <w:r>
        <w:rPr>
          <w:rFonts w:hint="eastAsia"/>
          <w:highlight w:val="none"/>
          <w:lang w:val="en-US" w:eastAsia="zh-CN"/>
        </w:rPr>
        <w:t xml:space="preserve"> </w:t>
      </w:r>
      <w:r>
        <w:rPr>
          <w:rFonts w:hint="default"/>
          <w:highlight w:val="none"/>
          <w:lang w:val="en-US" w:eastAsia="zh-CN"/>
        </w:rPr>
        <w:t>总结报告。</w:t>
      </w:r>
    </w:p>
    <w:p w14:paraId="51E301BE">
      <w:pPr>
        <w:keepNext/>
        <w:keepLines/>
        <w:widowControl w:val="0"/>
        <w:numPr>
          <w:ilvl w:val="1"/>
          <w:numId w:val="0"/>
        </w:numPr>
        <w:suppressLineNumbers w:val="0"/>
        <w:spacing w:before="260" w:beforeLines="0" w:beforeAutospacing="0" w:after="260" w:afterLines="0" w:afterAutospacing="0" w:line="400" w:lineRule="exact"/>
        <w:ind w:left="576" w:leftChars="0" w:hanging="576" w:firstLineChars="0"/>
        <w:jc w:val="center"/>
        <w:outlineLvl w:val="1"/>
        <w:rPr>
          <w:rFonts w:hint="eastAsia" w:ascii="Times New Roman" w:hAnsi="Times New Roman" w:eastAsia="宋体" w:cs="Times New Roman"/>
          <w:b/>
          <w:bCs/>
          <w:kern w:val="2"/>
          <w:sz w:val="28"/>
          <w:szCs w:val="28"/>
          <w:highlight w:val="none"/>
          <w:lang w:val="en-US" w:eastAsia="zh-CN" w:bidi="ar"/>
        </w:rPr>
      </w:pPr>
      <w:bookmarkStart w:id="108" w:name="_Toc1615"/>
      <w:bookmarkStart w:id="109" w:name="_Toc8217"/>
      <w:bookmarkStart w:id="110" w:name="_Toc22963"/>
      <w:r>
        <w:rPr>
          <w:rFonts w:hint="eastAsia" w:ascii="Times New Roman" w:hAnsi="Times New Roman" w:eastAsia="宋体" w:cs="Times New Roman"/>
          <w:b/>
          <w:bCs/>
          <w:kern w:val="2"/>
          <w:sz w:val="28"/>
          <w:szCs w:val="28"/>
          <w:highlight w:val="none"/>
          <w:lang w:val="en-US" w:eastAsia="zh-CN" w:bidi="ar"/>
        </w:rPr>
        <w:t>7</w:t>
      </w:r>
      <w:r>
        <w:rPr>
          <w:rFonts w:hint="default" w:ascii="Times New Roman" w:hAnsi="Times New Roman" w:eastAsia="宋体" w:cs="Times New Roman"/>
          <w:b/>
          <w:bCs/>
          <w:kern w:val="2"/>
          <w:sz w:val="28"/>
          <w:szCs w:val="28"/>
          <w:highlight w:val="none"/>
          <w:lang w:val="en-US" w:eastAsia="zh-CN" w:bidi="ar"/>
        </w:rPr>
        <w:t>.2</w:t>
      </w:r>
      <w:r>
        <w:rPr>
          <w:rFonts w:hint="eastAsia" w:ascii="Times New Roman" w:hAnsi="Times New Roman" w:eastAsia="宋体" w:cs="Times New Roman"/>
          <w:b/>
          <w:bCs/>
          <w:kern w:val="2"/>
          <w:sz w:val="28"/>
          <w:szCs w:val="28"/>
          <w:highlight w:val="none"/>
          <w:lang w:val="en-US" w:eastAsia="zh-CN" w:bidi="ar"/>
        </w:rPr>
        <w:t>监测内容与精度</w:t>
      </w:r>
      <w:bookmarkEnd w:id="108"/>
      <w:bookmarkEnd w:id="109"/>
      <w:bookmarkEnd w:id="110"/>
    </w:p>
    <w:p w14:paraId="2EC50183">
      <w:pPr>
        <w:bidi w:val="0"/>
        <w:rPr>
          <w:rFonts w:hint="default"/>
          <w:highlight w:val="none"/>
          <w:lang w:val="en-US" w:eastAsia="zh-CN"/>
        </w:rPr>
      </w:pPr>
      <w:r>
        <w:rPr>
          <w:rFonts w:hint="default"/>
          <w:b/>
          <w:bCs/>
          <w:highlight w:val="none"/>
          <w:lang w:val="en-US" w:eastAsia="zh-CN"/>
        </w:rPr>
        <w:t>7.2.1</w:t>
      </w:r>
      <w:r>
        <w:rPr>
          <w:rFonts w:hint="default"/>
          <w:highlight w:val="none"/>
          <w:lang w:val="en-US" w:eastAsia="zh-CN"/>
        </w:rPr>
        <w:t xml:space="preserve"> 基坑加固段的监测项目应与基坑工程加固设计、施工方案相匹配，并应重点观测，各监测项目的选择应利于形成互为补充、验证的监测体系。</w:t>
      </w:r>
    </w:p>
    <w:p w14:paraId="6C427772">
      <w:pPr>
        <w:bidi w:val="0"/>
        <w:rPr>
          <w:rFonts w:hint="default" w:ascii="Times New Roman" w:hAnsi="Times New Roman" w:eastAsia="宋体"/>
          <w:b/>
          <w:bCs/>
          <w:highlight w:val="none"/>
          <w:lang w:val="en-US" w:eastAsia="zh-CN"/>
        </w:rPr>
      </w:pPr>
      <w:r>
        <w:rPr>
          <w:rFonts w:hint="default" w:ascii="Times New Roman" w:hAnsi="Times New Roman" w:eastAsia="宋体"/>
          <w:b/>
          <w:bCs/>
          <w:highlight w:val="none"/>
          <w:lang w:val="en-US" w:eastAsia="zh-CN"/>
        </w:rPr>
        <w:t xml:space="preserve">7.2.2 </w:t>
      </w:r>
      <w:r>
        <w:rPr>
          <w:rFonts w:hint="default" w:ascii="Times New Roman" w:hAnsi="Times New Roman" w:eastAsia="宋体"/>
          <w:b w:val="0"/>
          <w:bCs w:val="0"/>
          <w:highlight w:val="none"/>
          <w:lang w:val="en-US" w:eastAsia="zh-CN"/>
        </w:rPr>
        <w:t>基坑监测项目应按照加固设计的基坑安全等级选择，除应符合现行国家标准《建筑基坑工程监测技术标准》GB50497的有关规定及基坑周边环境监测对象的主管部门的要求外，还应符合下列规定：</w:t>
      </w:r>
    </w:p>
    <w:p w14:paraId="42CF89A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 xml:space="preserve">1 </w:t>
      </w:r>
      <w:r>
        <w:rPr>
          <w:rFonts w:hint="eastAsia"/>
          <w:highlight w:val="none"/>
          <w:lang w:val="en-US" w:eastAsia="zh-CN"/>
        </w:rPr>
        <w:t xml:space="preserve"> </w:t>
      </w:r>
      <w:r>
        <w:rPr>
          <w:rFonts w:hint="default"/>
          <w:highlight w:val="none"/>
          <w:lang w:val="en-US" w:eastAsia="zh-CN"/>
        </w:rPr>
        <w:t>锚固加固应监测锚杆（索）应力，非预应力锚杆的应力监测根数不应少于新增锚杆（索）总数的3%，预应力锚杆应力监测数量不应少于新增锚杆（索）总数的5%，且不应少于3根；</w:t>
      </w:r>
    </w:p>
    <w:p w14:paraId="2647162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2</w:t>
      </w:r>
      <w:r>
        <w:rPr>
          <w:rFonts w:hint="eastAsia"/>
          <w:highlight w:val="none"/>
          <w:lang w:val="en-US" w:eastAsia="zh-CN"/>
        </w:rPr>
        <w:t xml:space="preserve">  </w:t>
      </w:r>
      <w:r>
        <w:rPr>
          <w:rFonts w:hint="default"/>
          <w:highlight w:val="none"/>
          <w:lang w:val="en-US" w:eastAsia="zh-CN"/>
        </w:rPr>
        <w:t>灌注桩加固应监测桩顶水平位移、竖向位移及深层水平位移，加固段监测点水平间距不应大于10米，每边监测点数不应少于3个。</w:t>
      </w:r>
    </w:p>
    <w:p w14:paraId="05EE15F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3</w:t>
      </w:r>
      <w:r>
        <w:rPr>
          <w:rFonts w:hint="eastAsia"/>
          <w:highlight w:val="none"/>
          <w:lang w:val="en-US" w:eastAsia="zh-CN"/>
        </w:rPr>
        <w:t xml:space="preserve">  </w:t>
      </w:r>
      <w:r>
        <w:rPr>
          <w:rFonts w:hint="default"/>
          <w:highlight w:val="none"/>
          <w:lang w:val="en-US" w:eastAsia="zh-CN"/>
        </w:rPr>
        <w:t>内支撑加固应监测支撑轴力，每层支撑的轴力监测点不应少于3个。</w:t>
      </w:r>
    </w:p>
    <w:p w14:paraId="1F687B4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4</w:t>
      </w:r>
      <w:r>
        <w:rPr>
          <w:rFonts w:hint="eastAsia"/>
          <w:highlight w:val="none"/>
          <w:lang w:val="en-US" w:eastAsia="zh-CN"/>
        </w:rPr>
        <w:t xml:space="preserve">  </w:t>
      </w:r>
      <w:r>
        <w:rPr>
          <w:rFonts w:hint="default"/>
          <w:highlight w:val="none"/>
          <w:lang w:val="en-US" w:eastAsia="zh-CN"/>
        </w:rPr>
        <w:t>地下水控制修复应监测地下水位。</w:t>
      </w:r>
    </w:p>
    <w:p w14:paraId="665D84AF">
      <w:pPr>
        <w:spacing w:line="360" w:lineRule="auto"/>
        <w:rPr>
          <w:rFonts w:hint="eastAsia" w:ascii="Times New Roman" w:hAnsi="Times New Roman" w:eastAsia="楷体" w:cs="Times New Roman"/>
          <w:sz w:val="24"/>
          <w:highlight w:val="none"/>
          <w:u w:val="single"/>
          <w:lang w:val="en-US" w:eastAsia="zh-CN"/>
        </w:rPr>
      </w:pPr>
      <w:r>
        <w:rPr>
          <w:rFonts w:hint="eastAsia" w:ascii="Times New Roman" w:hAnsi="Times New Roman" w:eastAsia="楷体" w:cs="Times New Roman"/>
          <w:sz w:val="24"/>
          <w:highlight w:val="none"/>
          <w:u w:val="single"/>
          <w:lang w:val="zh-CN" w:eastAsia="zh-CN"/>
        </w:rPr>
        <w:t>【</w:t>
      </w:r>
      <w:r>
        <w:rPr>
          <w:rFonts w:hint="eastAsia" w:ascii="Times New Roman" w:hAnsi="Times New Roman" w:eastAsia="楷体" w:cs="Times New Roman"/>
          <w:sz w:val="24"/>
          <w:highlight w:val="none"/>
          <w:u w:val="single"/>
          <w:lang w:val="en-US" w:eastAsia="zh-CN"/>
        </w:rPr>
        <w:t>条文说明</w:t>
      </w:r>
      <w:r>
        <w:rPr>
          <w:rFonts w:hint="eastAsia" w:ascii="Times New Roman" w:hAnsi="Times New Roman" w:eastAsia="楷体" w:cs="Times New Roman"/>
          <w:sz w:val="24"/>
          <w:highlight w:val="none"/>
          <w:u w:val="single"/>
          <w:lang w:val="zh-CN" w:eastAsia="zh-CN"/>
        </w:rPr>
        <w:t>】</w:t>
      </w:r>
      <w:r>
        <w:rPr>
          <w:rFonts w:hint="default" w:ascii="Times New Roman" w:hAnsi="Times New Roman" w:eastAsia="楷体" w:cs="Times New Roman"/>
          <w:sz w:val="24"/>
          <w:highlight w:val="none"/>
          <w:u w:val="single"/>
          <w:lang w:val="en-US" w:eastAsia="zh-CN"/>
        </w:rPr>
        <w:t>本条强调加固基坑监测项目的设置需与加固设计的关键意图、拟采取的施工工艺及预期处理效果直接关联，确保监测数据能有效反映加固措施的实施效果及其对基坑稳定性的影响。在具体实施中，着重加强对加固关键区域（如新增支护结构、置换部位）及关键施工步骤的观测力度。同时，各监测项目的选择与布设需注重系统性，使不同项目（如位移、应力、水位、巡视检查等）的监测结果能相互关联、多角度印证，共同构成一个能交叉验证、全面评估加固效果与基坑安全状态的有机监测体系，避免信息孤岛，提升监测结论的可靠性和科学性。</w:t>
      </w:r>
    </w:p>
    <w:p w14:paraId="68EB3CCA">
      <w:pPr>
        <w:bidi w:val="0"/>
        <w:rPr>
          <w:rFonts w:hint="default"/>
          <w:highlight w:val="none"/>
          <w:lang w:val="en-US" w:eastAsia="zh-CN"/>
        </w:rPr>
      </w:pPr>
      <w:r>
        <w:rPr>
          <w:rFonts w:hint="default"/>
          <w:b/>
          <w:bCs/>
          <w:highlight w:val="none"/>
          <w:lang w:val="en-US" w:eastAsia="zh-CN"/>
        </w:rPr>
        <w:t>7.2.3</w:t>
      </w:r>
      <w:r>
        <w:rPr>
          <w:rFonts w:hint="default"/>
          <w:highlight w:val="none"/>
          <w:lang w:val="en-US" w:eastAsia="zh-CN"/>
        </w:rPr>
        <w:t xml:space="preserve"> 基坑工程现场监测应采用仪器监测与现场巡视检查相结合的方法。</w:t>
      </w:r>
    </w:p>
    <w:p w14:paraId="28B41E24">
      <w:pPr>
        <w:bidi w:val="0"/>
        <w:rPr>
          <w:rFonts w:hint="default"/>
          <w:highlight w:val="none"/>
          <w:lang w:val="en-US" w:eastAsia="zh-CN"/>
        </w:rPr>
      </w:pPr>
      <w:r>
        <w:rPr>
          <w:rFonts w:hint="default"/>
          <w:b/>
          <w:bCs/>
          <w:highlight w:val="none"/>
          <w:lang w:val="en-US" w:eastAsia="zh-CN"/>
        </w:rPr>
        <w:t>7.2.4</w:t>
      </w:r>
      <w:r>
        <w:rPr>
          <w:rFonts w:hint="default"/>
          <w:highlight w:val="none"/>
          <w:lang w:val="en-US" w:eastAsia="zh-CN"/>
        </w:rPr>
        <w:t xml:space="preserve"> 基坑工程加固施工和使用期内，每天均应由专人进行巡视检查，巡视检查的内容和方法应符合现行国家标准《建筑基坑工程监测技术标准》GB50497的有关规定。</w:t>
      </w:r>
    </w:p>
    <w:p w14:paraId="785D7642">
      <w:pPr>
        <w:bidi w:val="0"/>
        <w:rPr>
          <w:rFonts w:hint="default"/>
          <w:highlight w:val="none"/>
          <w:lang w:val="en-US" w:eastAsia="zh-CN"/>
        </w:rPr>
      </w:pPr>
      <w:r>
        <w:rPr>
          <w:rFonts w:hint="default"/>
          <w:b/>
          <w:bCs/>
          <w:highlight w:val="none"/>
          <w:lang w:val="en-US" w:eastAsia="zh-CN"/>
        </w:rPr>
        <w:t>7.2.5</w:t>
      </w:r>
      <w:r>
        <w:rPr>
          <w:rFonts w:hint="default"/>
          <w:highlight w:val="none"/>
          <w:lang w:val="en-US" w:eastAsia="zh-CN"/>
        </w:rPr>
        <w:t xml:space="preserve"> 新增监测点的初始值应取至少连续观测3次的稳定值的平均值。</w:t>
      </w:r>
    </w:p>
    <w:p w14:paraId="74D931D7">
      <w:pPr>
        <w:spacing w:line="360" w:lineRule="auto"/>
        <w:rPr>
          <w:rFonts w:hint="eastAsia" w:ascii="Times New Roman" w:hAnsi="Times New Roman" w:eastAsia="楷体" w:cs="Times New Roman"/>
          <w:sz w:val="24"/>
          <w:highlight w:val="none"/>
          <w:u w:val="single"/>
          <w:lang w:val="en-US" w:eastAsia="zh-CN"/>
        </w:rPr>
      </w:pPr>
      <w:r>
        <w:rPr>
          <w:rFonts w:hint="eastAsia" w:ascii="Times New Roman" w:hAnsi="Times New Roman" w:eastAsia="楷体" w:cs="Times New Roman"/>
          <w:sz w:val="24"/>
          <w:highlight w:val="none"/>
          <w:u w:val="single"/>
          <w:lang w:val="zh-CN" w:eastAsia="zh-CN"/>
        </w:rPr>
        <w:t>【</w:t>
      </w:r>
      <w:r>
        <w:rPr>
          <w:rFonts w:hint="eastAsia" w:ascii="Times New Roman" w:hAnsi="Times New Roman" w:eastAsia="楷体" w:cs="Times New Roman"/>
          <w:sz w:val="24"/>
          <w:highlight w:val="none"/>
          <w:u w:val="single"/>
          <w:lang w:val="en-US" w:eastAsia="zh-CN"/>
        </w:rPr>
        <w:t>条文说明</w:t>
      </w:r>
      <w:r>
        <w:rPr>
          <w:rFonts w:hint="eastAsia" w:ascii="Times New Roman" w:hAnsi="Times New Roman" w:eastAsia="楷体" w:cs="Times New Roman"/>
          <w:sz w:val="24"/>
          <w:highlight w:val="none"/>
          <w:u w:val="single"/>
          <w:lang w:val="zh-CN" w:eastAsia="zh-CN"/>
        </w:rPr>
        <w:t>】</w:t>
      </w:r>
      <w:r>
        <w:rPr>
          <w:rFonts w:hint="default" w:ascii="Times New Roman" w:hAnsi="Times New Roman" w:eastAsia="楷体" w:cs="Times New Roman"/>
          <w:sz w:val="24"/>
          <w:highlight w:val="none"/>
          <w:u w:val="single"/>
          <w:lang w:val="en-US" w:eastAsia="zh-CN"/>
        </w:rPr>
        <w:t>新增监测点的初始值通过不少于连续3次独立观测获取数据，并取稳定观测结果的平均值作为初始值</w:t>
      </w:r>
      <w:r>
        <w:rPr>
          <w:rFonts w:hint="eastAsia" w:ascii="Times New Roman" w:hAnsi="Times New Roman" w:eastAsia="楷体" w:cs="Times New Roman"/>
          <w:sz w:val="24"/>
          <w:highlight w:val="none"/>
          <w:u w:val="single"/>
          <w:lang w:val="en-US" w:eastAsia="zh-CN"/>
        </w:rPr>
        <w:t>，</w:t>
      </w:r>
      <w:r>
        <w:rPr>
          <w:rFonts w:hint="default" w:ascii="Times New Roman" w:hAnsi="Times New Roman" w:eastAsia="楷体" w:cs="Times New Roman"/>
          <w:sz w:val="24"/>
          <w:highlight w:val="none"/>
          <w:u w:val="single"/>
          <w:lang w:val="en-US" w:eastAsia="zh-CN"/>
        </w:rPr>
        <w:t>旨在</w:t>
      </w:r>
      <w:r>
        <w:rPr>
          <w:rFonts w:hint="eastAsia" w:ascii="Times New Roman" w:hAnsi="Times New Roman" w:eastAsia="楷体" w:cs="Times New Roman"/>
          <w:sz w:val="24"/>
          <w:highlight w:val="none"/>
          <w:u w:val="single"/>
          <w:lang w:val="en-US" w:eastAsia="zh-CN"/>
        </w:rPr>
        <w:t>减弱</w:t>
      </w:r>
      <w:r>
        <w:rPr>
          <w:rFonts w:hint="default" w:ascii="Times New Roman" w:hAnsi="Times New Roman" w:eastAsia="楷体" w:cs="Times New Roman"/>
          <w:sz w:val="24"/>
          <w:highlight w:val="none"/>
          <w:u w:val="single"/>
          <w:lang w:val="en-US" w:eastAsia="zh-CN"/>
        </w:rPr>
        <w:t>设备误差、环境干扰</w:t>
      </w:r>
      <w:r>
        <w:rPr>
          <w:rFonts w:hint="eastAsia" w:ascii="Times New Roman" w:hAnsi="Times New Roman" w:eastAsia="楷体" w:cs="Times New Roman"/>
          <w:sz w:val="24"/>
          <w:highlight w:val="none"/>
          <w:u w:val="single"/>
          <w:lang w:val="en-US" w:eastAsia="zh-CN"/>
        </w:rPr>
        <w:t>误差</w:t>
      </w:r>
      <w:r>
        <w:rPr>
          <w:rFonts w:hint="default" w:ascii="Times New Roman" w:hAnsi="Times New Roman" w:eastAsia="楷体" w:cs="Times New Roman"/>
          <w:sz w:val="24"/>
          <w:highlight w:val="none"/>
          <w:u w:val="single"/>
          <w:lang w:val="en-US" w:eastAsia="zh-CN"/>
        </w:rPr>
        <w:t>及</w:t>
      </w:r>
      <w:r>
        <w:rPr>
          <w:rFonts w:hint="eastAsia" w:ascii="Times New Roman" w:hAnsi="Times New Roman" w:eastAsia="楷体" w:cs="Times New Roman"/>
          <w:sz w:val="24"/>
          <w:highlight w:val="none"/>
          <w:u w:val="single"/>
          <w:lang w:val="en-US" w:eastAsia="zh-CN"/>
        </w:rPr>
        <w:t>观测误</w:t>
      </w:r>
      <w:r>
        <w:rPr>
          <w:rFonts w:hint="default" w:ascii="Times New Roman" w:hAnsi="Times New Roman" w:eastAsia="楷体" w:cs="Times New Roman"/>
          <w:sz w:val="24"/>
          <w:highlight w:val="none"/>
          <w:u w:val="single"/>
          <w:lang w:val="en-US" w:eastAsia="zh-CN"/>
        </w:rPr>
        <w:t>差</w:t>
      </w:r>
      <w:r>
        <w:rPr>
          <w:rFonts w:hint="eastAsia" w:ascii="Times New Roman" w:hAnsi="Times New Roman" w:eastAsia="楷体" w:cs="Times New Roman"/>
          <w:sz w:val="24"/>
          <w:highlight w:val="none"/>
          <w:u w:val="single"/>
          <w:lang w:val="en-US" w:eastAsia="zh-CN"/>
        </w:rPr>
        <w:t>的影响</w:t>
      </w:r>
      <w:r>
        <w:rPr>
          <w:rFonts w:hint="default" w:ascii="Times New Roman" w:hAnsi="Times New Roman" w:eastAsia="楷体" w:cs="Times New Roman"/>
          <w:sz w:val="24"/>
          <w:highlight w:val="none"/>
          <w:u w:val="single"/>
          <w:lang w:val="en-US" w:eastAsia="zh-CN"/>
        </w:rPr>
        <w:t>，确保初始值真实、稳定地反映该点位在新增时刻的状态，为后续变化监测提供</w:t>
      </w:r>
      <w:r>
        <w:rPr>
          <w:rFonts w:hint="eastAsia" w:ascii="Times New Roman" w:hAnsi="Times New Roman" w:eastAsia="楷体" w:cs="Times New Roman"/>
          <w:sz w:val="24"/>
          <w:highlight w:val="none"/>
          <w:u w:val="single"/>
          <w:lang w:val="en-US" w:eastAsia="zh-CN"/>
        </w:rPr>
        <w:t>可靠</w:t>
      </w:r>
      <w:r>
        <w:rPr>
          <w:rFonts w:hint="default" w:ascii="Times New Roman" w:hAnsi="Times New Roman" w:eastAsia="楷体" w:cs="Times New Roman"/>
          <w:sz w:val="24"/>
          <w:highlight w:val="none"/>
          <w:u w:val="single"/>
          <w:lang w:val="en-US" w:eastAsia="zh-CN"/>
        </w:rPr>
        <w:t>的基准</w:t>
      </w:r>
      <w:r>
        <w:rPr>
          <w:rFonts w:hint="eastAsia" w:ascii="Times New Roman" w:hAnsi="Times New Roman" w:eastAsia="楷体" w:cs="Times New Roman"/>
          <w:sz w:val="24"/>
          <w:highlight w:val="none"/>
          <w:u w:val="single"/>
          <w:lang w:val="en-US" w:eastAsia="zh-CN"/>
        </w:rPr>
        <w:t>值</w:t>
      </w:r>
      <w:r>
        <w:rPr>
          <w:rFonts w:hint="default" w:ascii="Times New Roman" w:hAnsi="Times New Roman" w:eastAsia="楷体" w:cs="Times New Roman"/>
          <w:sz w:val="24"/>
          <w:highlight w:val="none"/>
          <w:u w:val="single"/>
          <w:lang w:val="en-US" w:eastAsia="zh-CN"/>
        </w:rPr>
        <w:t>。</w:t>
      </w:r>
    </w:p>
    <w:p w14:paraId="7E3ADCA8">
      <w:pPr>
        <w:bidi w:val="0"/>
        <w:rPr>
          <w:rFonts w:hint="default"/>
          <w:highlight w:val="none"/>
          <w:lang w:val="en-US" w:eastAsia="zh-CN"/>
        </w:rPr>
      </w:pPr>
      <w:r>
        <w:rPr>
          <w:rFonts w:hint="default"/>
          <w:b/>
          <w:bCs/>
          <w:highlight w:val="none"/>
          <w:lang w:val="en-US" w:eastAsia="zh-CN"/>
        </w:rPr>
        <w:t>7.2.7</w:t>
      </w:r>
      <w:r>
        <w:rPr>
          <w:rFonts w:hint="default"/>
          <w:highlight w:val="none"/>
          <w:lang w:val="en-US" w:eastAsia="zh-CN"/>
        </w:rPr>
        <w:t xml:space="preserve"> 基坑围护墙（边坡）顶部、周边建筑、周边管线的水平位移监测精度应根据其水平位移预警值按表7.2.7确定。</w:t>
      </w:r>
    </w:p>
    <w:p w14:paraId="1B7E0806">
      <w:pPr>
        <w:spacing w:line="360" w:lineRule="auto"/>
        <w:jc w:val="center"/>
        <w:rPr>
          <w:rFonts w:hint="default" w:ascii="Times New Roman" w:hAnsi="Times New Roman" w:cs="Times New Roman"/>
          <w:b/>
          <w:color w:val="auto"/>
          <w:szCs w:val="21"/>
          <w:highlight w:val="none"/>
          <w:lang w:val="en-US" w:eastAsia="zh-CN"/>
        </w:rPr>
      </w:pPr>
      <w:r>
        <w:rPr>
          <w:rFonts w:hint="default" w:ascii="Times New Roman" w:hAnsi="Times New Roman" w:cs="Times New Roman"/>
          <w:b/>
          <w:color w:val="auto"/>
          <w:szCs w:val="21"/>
          <w:highlight w:val="none"/>
          <w:lang w:val="en-US" w:eastAsia="zh-CN"/>
        </w:rPr>
        <w:t>表7.2.7</w:t>
      </w:r>
      <w:r>
        <w:rPr>
          <w:rFonts w:hint="eastAsia" w:ascii="Times New Roman" w:hAnsi="Times New Roman" w:cs="Times New Roman"/>
          <w:b/>
          <w:color w:val="auto"/>
          <w:szCs w:val="21"/>
          <w:highlight w:val="none"/>
          <w:lang w:val="en-US" w:eastAsia="zh-CN"/>
        </w:rPr>
        <w:t xml:space="preserve"> </w:t>
      </w:r>
      <w:r>
        <w:rPr>
          <w:rFonts w:hint="default" w:ascii="Times New Roman" w:hAnsi="Times New Roman" w:cs="Times New Roman"/>
          <w:b/>
          <w:color w:val="auto"/>
          <w:szCs w:val="21"/>
          <w:highlight w:val="none"/>
          <w:lang w:val="en-US" w:eastAsia="zh-CN"/>
        </w:rPr>
        <w:t>水平位移监测精度要求</w:t>
      </w:r>
    </w:p>
    <w:tbl>
      <w:tblPr>
        <w:tblStyle w:val="13"/>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72"/>
        <w:gridCol w:w="2328"/>
        <w:gridCol w:w="916"/>
        <w:gridCol w:w="1403"/>
        <w:gridCol w:w="1450"/>
        <w:gridCol w:w="1387"/>
      </w:tblGrid>
      <w:tr w14:paraId="0D049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18" w:hRule="atLeast"/>
        </w:trPr>
        <w:tc>
          <w:tcPr>
            <w:tcW w:w="874" w:type="pct"/>
            <w:vMerge w:val="restart"/>
            <w:tcBorders>
              <w:top w:val="single" w:color="000000" w:sz="4" w:space="0"/>
              <w:left w:val="single" w:color="000000" w:sz="4" w:space="0"/>
              <w:bottom w:val="single" w:color="000000" w:sz="4" w:space="0"/>
              <w:right w:val="single" w:color="000000" w:sz="4" w:space="0"/>
            </w:tcBorders>
            <w:noWrap w:val="0"/>
            <w:vAlign w:val="center"/>
          </w:tcPr>
          <w:p w14:paraId="47BCFB52">
            <w:pPr>
              <w:keepNext w:val="0"/>
              <w:keepLines w:val="0"/>
              <w:pageBreakBefore w:val="0"/>
              <w:widowControl/>
              <w:suppressLineNumbers w:val="0"/>
              <w:kinsoku/>
              <w:wordWrap/>
              <w:overflowPunct/>
              <w:topLinePunct w:val="0"/>
              <w:bidi w:val="0"/>
              <w:spacing w:line="400" w:lineRule="exact"/>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水平位移预警值</w:t>
            </w:r>
          </w:p>
        </w:tc>
        <w:tc>
          <w:tcPr>
            <w:tcW w:w="1256" w:type="pct"/>
            <w:tcBorders>
              <w:top w:val="single" w:color="000000" w:sz="4" w:space="0"/>
              <w:left w:val="single" w:color="000000" w:sz="4" w:space="0"/>
              <w:bottom w:val="single" w:color="000000" w:sz="4" w:space="0"/>
              <w:right w:val="single" w:color="000000" w:sz="4" w:space="0"/>
            </w:tcBorders>
            <w:noWrap/>
            <w:vAlign w:val="center"/>
          </w:tcPr>
          <w:p w14:paraId="15D19B8E">
            <w:pPr>
              <w:keepNext w:val="0"/>
              <w:keepLines w:val="0"/>
              <w:pageBreakBefore w:val="0"/>
              <w:widowControl/>
              <w:suppressLineNumbers w:val="0"/>
              <w:kinsoku/>
              <w:wordWrap/>
              <w:overflowPunct/>
              <w:topLinePunct w:val="0"/>
              <w:bidi w:val="0"/>
              <w:spacing w:line="400" w:lineRule="exact"/>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累计值D(mm)</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79751D8D">
            <w:pPr>
              <w:keepNext w:val="0"/>
              <w:keepLines w:val="0"/>
              <w:pageBreakBefore w:val="0"/>
              <w:widowControl/>
              <w:suppressLineNumbers w:val="0"/>
              <w:kinsoku/>
              <w:wordWrap/>
              <w:overflowPunct/>
              <w:topLinePunct w:val="0"/>
              <w:bidi w:val="0"/>
              <w:spacing w:line="400" w:lineRule="exact"/>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D</w:t>
            </w:r>
            <w:r>
              <w:rPr>
                <w:rFonts w:hint="default" w:ascii="Times New Roman" w:hAnsi="Times New Roman" w:eastAsia="宋体" w:cs="Times New Roman"/>
                <w:i w:val="0"/>
                <w:iCs w:val="0"/>
                <w:color w:val="000000"/>
                <w:kern w:val="0"/>
                <w:sz w:val="21"/>
                <w:szCs w:val="21"/>
                <w:highlight w:val="none"/>
                <w:u w:val="none"/>
                <w:lang w:val="en-US" w:eastAsia="zh-CN" w:bidi="ar"/>
              </w:rPr>
              <w:t>&lt;</w:t>
            </w:r>
            <w:r>
              <w:rPr>
                <w:rFonts w:hint="eastAsia" w:ascii="Times New Roman" w:hAnsi="Times New Roman" w:eastAsia="宋体" w:cs="Times New Roman"/>
                <w:i w:val="0"/>
                <w:iCs w:val="0"/>
                <w:color w:val="000000"/>
                <w:kern w:val="0"/>
                <w:sz w:val="21"/>
                <w:szCs w:val="21"/>
                <w:highlight w:val="none"/>
                <w:u w:val="none"/>
                <w:lang w:val="en-US" w:eastAsia="zh-CN" w:bidi="ar"/>
              </w:rPr>
              <w:t>20</w:t>
            </w:r>
          </w:p>
        </w:tc>
        <w:tc>
          <w:tcPr>
            <w:tcW w:w="780" w:type="pct"/>
            <w:tcBorders>
              <w:top w:val="single" w:color="000000" w:sz="4" w:space="0"/>
              <w:left w:val="single" w:color="000000" w:sz="4" w:space="0"/>
              <w:bottom w:val="single" w:color="000000" w:sz="4" w:space="0"/>
              <w:right w:val="single" w:color="000000" w:sz="4" w:space="0"/>
            </w:tcBorders>
            <w:noWrap/>
            <w:vAlign w:val="center"/>
          </w:tcPr>
          <w:p w14:paraId="1B4B827B">
            <w:pPr>
              <w:keepNext w:val="0"/>
              <w:keepLines w:val="0"/>
              <w:pageBreakBefore w:val="0"/>
              <w:widowControl/>
              <w:suppressLineNumbers w:val="0"/>
              <w:kinsoku/>
              <w:wordWrap/>
              <w:overflowPunct/>
              <w:topLinePunct w:val="0"/>
              <w:bidi w:val="0"/>
              <w:spacing w:line="400" w:lineRule="exact"/>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20≤D</w:t>
            </w:r>
            <w:r>
              <w:rPr>
                <w:rFonts w:hint="default" w:ascii="Times New Roman" w:hAnsi="Times New Roman" w:eastAsia="宋体" w:cs="Times New Roman"/>
                <w:i w:val="0"/>
                <w:iCs w:val="0"/>
                <w:color w:val="000000"/>
                <w:kern w:val="0"/>
                <w:sz w:val="21"/>
                <w:szCs w:val="21"/>
                <w:highlight w:val="none"/>
                <w:u w:val="none"/>
                <w:lang w:val="en-US" w:eastAsia="zh-CN" w:bidi="ar"/>
              </w:rPr>
              <w:t>&lt;</w:t>
            </w:r>
            <w:r>
              <w:rPr>
                <w:rFonts w:hint="eastAsia" w:ascii="Times New Roman" w:hAnsi="Times New Roman" w:eastAsia="宋体" w:cs="Times New Roman"/>
                <w:i w:val="0"/>
                <w:iCs w:val="0"/>
                <w:color w:val="000000"/>
                <w:kern w:val="0"/>
                <w:sz w:val="21"/>
                <w:szCs w:val="21"/>
                <w:highlight w:val="none"/>
                <w:u w:val="none"/>
                <w:lang w:val="en-US" w:eastAsia="zh-CN" w:bidi="ar"/>
              </w:rPr>
              <w:t>40</w:t>
            </w:r>
          </w:p>
        </w:tc>
        <w:tc>
          <w:tcPr>
            <w:tcW w:w="806" w:type="pct"/>
            <w:tcBorders>
              <w:top w:val="single" w:color="000000" w:sz="4" w:space="0"/>
              <w:left w:val="single" w:color="000000" w:sz="4" w:space="0"/>
              <w:bottom w:val="single" w:color="000000" w:sz="4" w:space="0"/>
              <w:right w:val="single" w:color="000000" w:sz="4" w:space="0"/>
            </w:tcBorders>
            <w:noWrap/>
            <w:vAlign w:val="center"/>
          </w:tcPr>
          <w:p w14:paraId="13458B70">
            <w:pPr>
              <w:keepNext w:val="0"/>
              <w:keepLines w:val="0"/>
              <w:pageBreakBefore w:val="0"/>
              <w:widowControl/>
              <w:suppressLineNumbers w:val="0"/>
              <w:kinsoku/>
              <w:wordWrap/>
              <w:overflowPunct/>
              <w:topLinePunct w:val="0"/>
              <w:bidi w:val="0"/>
              <w:spacing w:line="400" w:lineRule="exact"/>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40≤D≤60</w:t>
            </w:r>
          </w:p>
        </w:tc>
        <w:tc>
          <w:tcPr>
            <w:tcW w:w="771" w:type="pct"/>
            <w:tcBorders>
              <w:top w:val="single" w:color="000000" w:sz="4" w:space="0"/>
              <w:left w:val="single" w:color="000000" w:sz="4" w:space="0"/>
              <w:bottom w:val="single" w:color="000000" w:sz="4" w:space="0"/>
              <w:right w:val="single" w:color="000000" w:sz="4" w:space="0"/>
            </w:tcBorders>
            <w:noWrap/>
            <w:vAlign w:val="center"/>
          </w:tcPr>
          <w:p w14:paraId="4E9D2670">
            <w:pPr>
              <w:keepNext w:val="0"/>
              <w:keepLines w:val="0"/>
              <w:pageBreakBefore w:val="0"/>
              <w:widowControl/>
              <w:suppressLineNumbers w:val="0"/>
              <w:kinsoku/>
              <w:wordWrap/>
              <w:overflowPunct/>
              <w:topLinePunct w:val="0"/>
              <w:bidi w:val="0"/>
              <w:spacing w:line="400" w:lineRule="exact"/>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D</w:t>
            </w:r>
            <w:r>
              <w:rPr>
                <w:rFonts w:hint="default" w:ascii="Times New Roman" w:hAnsi="Times New Roman" w:eastAsia="宋体" w:cs="Times New Roman"/>
                <w:i w:val="0"/>
                <w:iCs w:val="0"/>
                <w:color w:val="000000"/>
                <w:kern w:val="0"/>
                <w:sz w:val="21"/>
                <w:szCs w:val="21"/>
                <w:highlight w:val="none"/>
                <w:u w:val="none"/>
                <w:lang w:val="en-US" w:eastAsia="zh-CN" w:bidi="ar"/>
              </w:rPr>
              <w:t>&gt;</w:t>
            </w:r>
            <w:r>
              <w:rPr>
                <w:rFonts w:hint="eastAsia" w:ascii="Times New Roman" w:hAnsi="Times New Roman" w:eastAsia="宋体" w:cs="Times New Roman"/>
                <w:i w:val="0"/>
                <w:iCs w:val="0"/>
                <w:color w:val="000000"/>
                <w:kern w:val="0"/>
                <w:sz w:val="21"/>
                <w:szCs w:val="21"/>
                <w:highlight w:val="none"/>
                <w:u w:val="none"/>
                <w:lang w:val="en-US" w:eastAsia="zh-CN" w:bidi="ar"/>
              </w:rPr>
              <w:t>60</w:t>
            </w:r>
          </w:p>
        </w:tc>
      </w:tr>
      <w:tr w14:paraId="7D795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874" w:type="pct"/>
            <w:vMerge w:val="continue"/>
            <w:tcBorders>
              <w:top w:val="single" w:color="000000" w:sz="4" w:space="0"/>
              <w:left w:val="single" w:color="000000" w:sz="4" w:space="0"/>
              <w:bottom w:val="single" w:color="000000" w:sz="4" w:space="0"/>
              <w:right w:val="single" w:color="000000" w:sz="4" w:space="0"/>
            </w:tcBorders>
            <w:noWrap w:val="0"/>
            <w:vAlign w:val="center"/>
          </w:tcPr>
          <w:p w14:paraId="52CC6193">
            <w:pPr>
              <w:keepNext w:val="0"/>
              <w:keepLines w:val="0"/>
              <w:pageBreakBefore w:val="0"/>
              <w:widowControl/>
              <w:suppressLineNumbers w:val="0"/>
              <w:kinsoku/>
              <w:wordWrap/>
              <w:overflowPunct/>
              <w:topLinePunct w:val="0"/>
              <w:bidi w:val="0"/>
              <w:spacing w:line="400" w:lineRule="exact"/>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p>
        </w:tc>
        <w:tc>
          <w:tcPr>
            <w:tcW w:w="1256" w:type="pct"/>
            <w:tcBorders>
              <w:top w:val="single" w:color="000000" w:sz="4" w:space="0"/>
              <w:left w:val="single" w:color="000000" w:sz="4" w:space="0"/>
              <w:bottom w:val="single" w:color="000000" w:sz="4" w:space="0"/>
              <w:right w:val="single" w:color="000000" w:sz="4" w:space="0"/>
            </w:tcBorders>
            <w:noWrap/>
            <w:vAlign w:val="center"/>
          </w:tcPr>
          <w:p w14:paraId="70B9766B">
            <w:pPr>
              <w:keepNext w:val="0"/>
              <w:keepLines w:val="0"/>
              <w:pageBreakBefore w:val="0"/>
              <w:widowControl/>
              <w:suppressLineNumbers w:val="0"/>
              <w:kinsoku/>
              <w:wordWrap/>
              <w:overflowPunct/>
              <w:topLinePunct w:val="0"/>
              <w:bidi w:val="0"/>
              <w:spacing w:line="400" w:lineRule="exact"/>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变化速率υD（mm/d）</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134AEC26">
            <w:pPr>
              <w:keepNext w:val="0"/>
              <w:keepLines w:val="0"/>
              <w:pageBreakBefore w:val="0"/>
              <w:widowControl/>
              <w:suppressLineNumbers w:val="0"/>
              <w:kinsoku/>
              <w:wordWrap/>
              <w:overflowPunct/>
              <w:topLinePunct w:val="0"/>
              <w:bidi w:val="0"/>
              <w:spacing w:line="400" w:lineRule="exact"/>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υD</w:t>
            </w:r>
            <w:r>
              <w:rPr>
                <w:rFonts w:hint="default" w:ascii="Times New Roman" w:hAnsi="Times New Roman" w:eastAsia="宋体" w:cs="Times New Roman"/>
                <w:i w:val="0"/>
                <w:iCs w:val="0"/>
                <w:color w:val="000000"/>
                <w:kern w:val="0"/>
                <w:sz w:val="21"/>
                <w:szCs w:val="21"/>
                <w:highlight w:val="none"/>
                <w:u w:val="none"/>
                <w:lang w:val="en-US" w:eastAsia="zh-CN" w:bidi="ar"/>
              </w:rPr>
              <w:t>&lt;</w:t>
            </w:r>
            <w:r>
              <w:rPr>
                <w:rFonts w:hint="eastAsia" w:ascii="Times New Roman" w:hAnsi="Times New Roman" w:eastAsia="宋体" w:cs="Times New Roman"/>
                <w:i w:val="0"/>
                <w:iCs w:val="0"/>
                <w:color w:val="000000"/>
                <w:kern w:val="0"/>
                <w:sz w:val="21"/>
                <w:szCs w:val="21"/>
                <w:highlight w:val="none"/>
                <w:u w:val="none"/>
                <w:lang w:val="en-US" w:eastAsia="zh-CN" w:bidi="ar"/>
              </w:rPr>
              <w:t>2</w:t>
            </w:r>
          </w:p>
        </w:tc>
        <w:tc>
          <w:tcPr>
            <w:tcW w:w="780" w:type="pct"/>
            <w:tcBorders>
              <w:top w:val="single" w:color="000000" w:sz="4" w:space="0"/>
              <w:left w:val="single" w:color="000000" w:sz="4" w:space="0"/>
              <w:bottom w:val="single" w:color="000000" w:sz="4" w:space="0"/>
              <w:right w:val="single" w:color="000000" w:sz="4" w:space="0"/>
            </w:tcBorders>
            <w:noWrap/>
            <w:vAlign w:val="center"/>
          </w:tcPr>
          <w:p w14:paraId="02F18466">
            <w:pPr>
              <w:keepNext w:val="0"/>
              <w:keepLines w:val="0"/>
              <w:pageBreakBefore w:val="0"/>
              <w:widowControl/>
              <w:suppressLineNumbers w:val="0"/>
              <w:kinsoku/>
              <w:wordWrap/>
              <w:overflowPunct/>
              <w:topLinePunct w:val="0"/>
              <w:bidi w:val="0"/>
              <w:spacing w:line="400" w:lineRule="exact"/>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2≤υD</w:t>
            </w:r>
            <w:r>
              <w:rPr>
                <w:rFonts w:hint="default" w:ascii="Times New Roman" w:hAnsi="Times New Roman" w:eastAsia="宋体" w:cs="Times New Roman"/>
                <w:i w:val="0"/>
                <w:iCs w:val="0"/>
                <w:color w:val="000000"/>
                <w:kern w:val="0"/>
                <w:sz w:val="21"/>
                <w:szCs w:val="21"/>
                <w:highlight w:val="none"/>
                <w:u w:val="none"/>
                <w:lang w:val="en-US" w:eastAsia="zh-CN" w:bidi="ar"/>
              </w:rPr>
              <w:t>&lt;</w:t>
            </w:r>
            <w:r>
              <w:rPr>
                <w:rFonts w:hint="eastAsia" w:ascii="Times New Roman" w:hAnsi="Times New Roman" w:eastAsia="宋体" w:cs="Times New Roman"/>
                <w:i w:val="0"/>
                <w:iCs w:val="0"/>
                <w:color w:val="000000"/>
                <w:kern w:val="0"/>
                <w:sz w:val="21"/>
                <w:szCs w:val="21"/>
                <w:highlight w:val="none"/>
                <w:u w:val="none"/>
                <w:lang w:val="en-US" w:eastAsia="zh-CN" w:bidi="ar"/>
              </w:rPr>
              <w:t>4</w:t>
            </w:r>
          </w:p>
        </w:tc>
        <w:tc>
          <w:tcPr>
            <w:tcW w:w="806" w:type="pct"/>
            <w:tcBorders>
              <w:top w:val="single" w:color="000000" w:sz="4" w:space="0"/>
              <w:left w:val="single" w:color="000000" w:sz="4" w:space="0"/>
              <w:bottom w:val="single" w:color="000000" w:sz="4" w:space="0"/>
              <w:right w:val="single" w:color="000000" w:sz="4" w:space="0"/>
            </w:tcBorders>
            <w:noWrap/>
            <w:vAlign w:val="center"/>
          </w:tcPr>
          <w:p w14:paraId="71B7D311">
            <w:pPr>
              <w:keepNext w:val="0"/>
              <w:keepLines w:val="0"/>
              <w:pageBreakBefore w:val="0"/>
              <w:widowControl/>
              <w:suppressLineNumbers w:val="0"/>
              <w:kinsoku/>
              <w:wordWrap/>
              <w:overflowPunct/>
              <w:topLinePunct w:val="0"/>
              <w:bidi w:val="0"/>
              <w:spacing w:line="400" w:lineRule="exact"/>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4≤υD≤6</w:t>
            </w:r>
          </w:p>
        </w:tc>
        <w:tc>
          <w:tcPr>
            <w:tcW w:w="771" w:type="pct"/>
            <w:tcBorders>
              <w:top w:val="single" w:color="000000" w:sz="4" w:space="0"/>
              <w:left w:val="single" w:color="000000" w:sz="4" w:space="0"/>
              <w:bottom w:val="single" w:color="000000" w:sz="4" w:space="0"/>
              <w:right w:val="single" w:color="000000" w:sz="4" w:space="0"/>
            </w:tcBorders>
            <w:noWrap/>
            <w:vAlign w:val="center"/>
          </w:tcPr>
          <w:p w14:paraId="04A1287A">
            <w:pPr>
              <w:keepNext w:val="0"/>
              <w:keepLines w:val="0"/>
              <w:pageBreakBefore w:val="0"/>
              <w:widowControl/>
              <w:suppressLineNumbers w:val="0"/>
              <w:kinsoku/>
              <w:wordWrap/>
              <w:overflowPunct/>
              <w:topLinePunct w:val="0"/>
              <w:bidi w:val="0"/>
              <w:spacing w:line="400" w:lineRule="exact"/>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υD</w:t>
            </w:r>
            <w:r>
              <w:rPr>
                <w:rFonts w:hint="default" w:ascii="Times New Roman" w:hAnsi="Times New Roman" w:eastAsia="宋体" w:cs="Times New Roman"/>
                <w:i w:val="0"/>
                <w:iCs w:val="0"/>
                <w:color w:val="000000"/>
                <w:kern w:val="0"/>
                <w:sz w:val="21"/>
                <w:szCs w:val="21"/>
                <w:highlight w:val="none"/>
                <w:u w:val="none"/>
                <w:lang w:val="en-US" w:eastAsia="zh-CN" w:bidi="ar"/>
              </w:rPr>
              <w:t>&gt;</w:t>
            </w:r>
            <w:r>
              <w:rPr>
                <w:rFonts w:hint="eastAsia" w:ascii="Times New Roman" w:hAnsi="Times New Roman" w:eastAsia="宋体" w:cs="Times New Roman"/>
                <w:i w:val="0"/>
                <w:iCs w:val="0"/>
                <w:color w:val="000000"/>
                <w:kern w:val="0"/>
                <w:sz w:val="21"/>
                <w:szCs w:val="21"/>
                <w:highlight w:val="none"/>
                <w:u w:val="none"/>
                <w:lang w:val="en-US" w:eastAsia="zh-CN" w:bidi="ar"/>
              </w:rPr>
              <w:t>6</w:t>
            </w:r>
          </w:p>
        </w:tc>
      </w:tr>
      <w:tr w14:paraId="3DC50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131" w:type="pct"/>
            <w:gridSpan w:val="2"/>
            <w:tcBorders>
              <w:top w:val="single" w:color="000000" w:sz="4" w:space="0"/>
              <w:left w:val="single" w:color="000000" w:sz="4" w:space="0"/>
              <w:bottom w:val="single" w:color="000000" w:sz="4" w:space="0"/>
              <w:right w:val="single" w:color="000000" w:sz="4" w:space="0"/>
            </w:tcBorders>
            <w:noWrap/>
            <w:vAlign w:val="center"/>
          </w:tcPr>
          <w:p w14:paraId="1D363F6B">
            <w:pPr>
              <w:keepNext w:val="0"/>
              <w:keepLines w:val="0"/>
              <w:pageBreakBefore w:val="0"/>
              <w:widowControl/>
              <w:suppressLineNumbers w:val="0"/>
              <w:kinsoku/>
              <w:wordWrap/>
              <w:overflowPunct/>
              <w:topLinePunct w:val="0"/>
              <w:bidi w:val="0"/>
              <w:spacing w:line="400" w:lineRule="exact"/>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监测点坐标中误差(mm)</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3A347191">
            <w:pPr>
              <w:keepNext w:val="0"/>
              <w:keepLines w:val="0"/>
              <w:pageBreakBefore w:val="0"/>
              <w:widowControl/>
              <w:suppressLineNumbers w:val="0"/>
              <w:kinsoku/>
              <w:wordWrap/>
              <w:overflowPunct/>
              <w:topLinePunct w:val="0"/>
              <w:bidi w:val="0"/>
              <w:spacing w:line="400" w:lineRule="exact"/>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≤0.3</w:t>
            </w:r>
          </w:p>
        </w:tc>
        <w:tc>
          <w:tcPr>
            <w:tcW w:w="780" w:type="pct"/>
            <w:tcBorders>
              <w:top w:val="single" w:color="000000" w:sz="4" w:space="0"/>
              <w:left w:val="single" w:color="000000" w:sz="4" w:space="0"/>
              <w:bottom w:val="single" w:color="000000" w:sz="4" w:space="0"/>
              <w:right w:val="single" w:color="000000" w:sz="4" w:space="0"/>
            </w:tcBorders>
            <w:noWrap/>
            <w:vAlign w:val="center"/>
          </w:tcPr>
          <w:p w14:paraId="096F6AA0">
            <w:pPr>
              <w:keepNext w:val="0"/>
              <w:keepLines w:val="0"/>
              <w:pageBreakBefore w:val="0"/>
              <w:widowControl/>
              <w:suppressLineNumbers w:val="0"/>
              <w:kinsoku/>
              <w:wordWrap/>
              <w:overflowPunct/>
              <w:topLinePunct w:val="0"/>
              <w:bidi w:val="0"/>
              <w:spacing w:line="400" w:lineRule="exact"/>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≤1.0</w:t>
            </w:r>
          </w:p>
        </w:tc>
        <w:tc>
          <w:tcPr>
            <w:tcW w:w="806" w:type="pct"/>
            <w:tcBorders>
              <w:top w:val="single" w:color="000000" w:sz="4" w:space="0"/>
              <w:left w:val="single" w:color="000000" w:sz="4" w:space="0"/>
              <w:bottom w:val="single" w:color="000000" w:sz="4" w:space="0"/>
              <w:right w:val="single" w:color="000000" w:sz="4" w:space="0"/>
            </w:tcBorders>
            <w:noWrap/>
            <w:vAlign w:val="center"/>
          </w:tcPr>
          <w:p w14:paraId="466CFB76">
            <w:pPr>
              <w:keepNext w:val="0"/>
              <w:keepLines w:val="0"/>
              <w:pageBreakBefore w:val="0"/>
              <w:widowControl/>
              <w:suppressLineNumbers w:val="0"/>
              <w:kinsoku/>
              <w:wordWrap/>
              <w:overflowPunct/>
              <w:topLinePunct w:val="0"/>
              <w:bidi w:val="0"/>
              <w:spacing w:line="400" w:lineRule="exact"/>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≤1.5</w:t>
            </w:r>
          </w:p>
        </w:tc>
        <w:tc>
          <w:tcPr>
            <w:tcW w:w="771" w:type="pct"/>
            <w:tcBorders>
              <w:top w:val="single" w:color="000000" w:sz="4" w:space="0"/>
              <w:left w:val="single" w:color="000000" w:sz="4" w:space="0"/>
              <w:bottom w:val="single" w:color="000000" w:sz="4" w:space="0"/>
              <w:right w:val="single" w:color="000000" w:sz="4" w:space="0"/>
            </w:tcBorders>
            <w:noWrap/>
            <w:vAlign w:val="center"/>
          </w:tcPr>
          <w:p w14:paraId="6DF9F397">
            <w:pPr>
              <w:keepNext w:val="0"/>
              <w:keepLines w:val="0"/>
              <w:pageBreakBefore w:val="0"/>
              <w:widowControl/>
              <w:suppressLineNumbers w:val="0"/>
              <w:kinsoku/>
              <w:wordWrap/>
              <w:overflowPunct/>
              <w:topLinePunct w:val="0"/>
              <w:bidi w:val="0"/>
              <w:spacing w:line="400" w:lineRule="exact"/>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≤3.0</w:t>
            </w:r>
          </w:p>
        </w:tc>
      </w:tr>
    </w:tbl>
    <w:p w14:paraId="74478AD8">
      <w:pPr>
        <w:pageBreakBefore w:val="0"/>
        <w:kinsoku/>
        <w:wordWrap/>
        <w:overflowPunct/>
        <w:topLinePunct w:val="0"/>
        <w:autoSpaceDE w:val="0"/>
        <w:autoSpaceDN w:val="0"/>
        <w:bidi w:val="0"/>
        <w:adjustRightInd w:val="0"/>
        <w:snapToGrid w:val="0"/>
        <w:spacing w:line="400" w:lineRule="exact"/>
        <w:ind w:left="540" w:hanging="540" w:hangingChars="300"/>
        <w:rPr>
          <w:rFonts w:hint="eastAsia" w:ascii="楷体" w:hAnsi="楷体" w:eastAsia="楷体" w:cs="楷体"/>
          <w:color w:val="auto"/>
          <w:sz w:val="18"/>
          <w:szCs w:val="18"/>
          <w:highlight w:val="none"/>
          <w:lang w:val="en-US" w:eastAsia="zh-CN"/>
        </w:rPr>
      </w:pPr>
      <w:r>
        <w:rPr>
          <w:rFonts w:hint="eastAsia" w:ascii="楷体" w:hAnsi="楷体" w:eastAsia="楷体" w:cs="楷体"/>
          <w:color w:val="auto"/>
          <w:sz w:val="18"/>
          <w:szCs w:val="18"/>
          <w:highlight w:val="none"/>
          <w:lang w:val="en-US" w:eastAsia="zh-CN"/>
        </w:rPr>
        <w:t>注: 1 监测点坐标中误差,指监测点相对测站点(如工作基点等)的坐标中误差，监测点相对于基准线的偏差中误差为点位中误差的</w:t>
      </w:r>
      <w:r>
        <w:rPr>
          <w:rFonts w:hint="eastAsia" w:ascii="楷体" w:hAnsi="楷体" w:eastAsia="楷体" w:cs="楷体"/>
          <w:color w:val="auto"/>
          <w:position w:val="-6"/>
          <w:sz w:val="18"/>
          <w:szCs w:val="18"/>
          <w:highlight w:val="none"/>
          <w:lang w:val="en-US" w:eastAsia="zh-CN"/>
        </w:rPr>
        <w:object>
          <v:shape id="_x0000_i1025" o:spt="75" type="#_x0000_t75" style="height:11.35pt;width:19.95pt;" o:ole="t" filled="f" o:preferrelative="t" stroked="f" coordsize="21600,21600">
            <v:path/>
            <v:fill on="f" focussize="0,0"/>
            <v:stroke on="f"/>
            <v:imagedata r:id="rId37" o:title=""/>
            <o:lock v:ext="edit" aspectratio="t"/>
            <w10:wrap type="none"/>
            <w10:anchorlock/>
          </v:shape>
          <o:OLEObject Type="Embed" ProgID="Equation.KSEE3" ShapeID="_x0000_i1025" DrawAspect="Content" ObjectID="_1468075725" r:id="rId36">
            <o:LockedField>false</o:LockedField>
          </o:OLEObject>
        </w:object>
      </w:r>
      <w:r>
        <w:rPr>
          <w:rFonts w:hint="eastAsia" w:ascii="楷体" w:hAnsi="楷体" w:eastAsia="楷体" w:cs="楷体"/>
          <w:color w:val="auto"/>
          <w:sz w:val="18"/>
          <w:szCs w:val="18"/>
          <w:highlight w:val="none"/>
          <w:lang w:val="en-US" w:eastAsia="zh-CN"/>
        </w:rPr>
        <w:t>。</w:t>
      </w:r>
    </w:p>
    <w:p w14:paraId="5621202D">
      <w:pPr>
        <w:pageBreakBefore w:val="0"/>
        <w:kinsoku/>
        <w:wordWrap/>
        <w:overflowPunct/>
        <w:topLinePunct w:val="0"/>
        <w:autoSpaceDE w:val="0"/>
        <w:autoSpaceDN w:val="0"/>
        <w:bidi w:val="0"/>
        <w:adjustRightInd w:val="0"/>
        <w:snapToGrid w:val="0"/>
        <w:spacing w:line="400" w:lineRule="exact"/>
        <w:ind w:left="588" w:leftChars="170" w:hanging="180" w:hangingChars="100"/>
        <w:rPr>
          <w:rFonts w:hint="eastAsia" w:ascii="楷体" w:hAnsi="楷体" w:eastAsia="楷体" w:cs="楷体"/>
          <w:color w:val="auto"/>
          <w:sz w:val="18"/>
          <w:szCs w:val="18"/>
          <w:highlight w:val="none"/>
          <w:lang w:val="en-US" w:eastAsia="zh-CN"/>
        </w:rPr>
      </w:pPr>
      <w:r>
        <w:rPr>
          <w:rFonts w:hint="eastAsia" w:ascii="楷体" w:hAnsi="楷体" w:eastAsia="楷体" w:cs="楷体"/>
          <w:color w:val="auto"/>
          <w:sz w:val="18"/>
          <w:szCs w:val="18"/>
          <w:highlight w:val="none"/>
          <w:lang w:val="en-US" w:eastAsia="zh-CN"/>
        </w:rPr>
        <w:t>2 当根据累计值和变化速率选择的精度要求不一致时,水平位移监 测精度优先按变化速率预警值的要求确定。</w:t>
      </w:r>
    </w:p>
    <w:p w14:paraId="7EA76595">
      <w:pPr>
        <w:pageBreakBefore w:val="0"/>
        <w:kinsoku/>
        <w:wordWrap/>
        <w:overflowPunct/>
        <w:topLinePunct w:val="0"/>
        <w:autoSpaceDE w:val="0"/>
        <w:autoSpaceDN w:val="0"/>
        <w:bidi w:val="0"/>
        <w:adjustRightInd w:val="0"/>
        <w:snapToGrid w:val="0"/>
        <w:spacing w:line="400" w:lineRule="exact"/>
        <w:ind w:firstLine="360" w:firstLineChars="200"/>
        <w:rPr>
          <w:rFonts w:hint="eastAsia" w:ascii="楷体" w:hAnsi="楷体" w:eastAsia="楷体" w:cs="楷体"/>
          <w:color w:val="auto"/>
          <w:sz w:val="18"/>
          <w:szCs w:val="18"/>
          <w:highlight w:val="none"/>
          <w:lang w:val="en-US" w:eastAsia="zh-CN"/>
        </w:rPr>
      </w:pPr>
      <w:r>
        <w:rPr>
          <w:rFonts w:hint="eastAsia" w:ascii="楷体" w:hAnsi="楷体" w:eastAsia="楷体" w:cs="楷体"/>
          <w:color w:val="auto"/>
          <w:sz w:val="18"/>
          <w:szCs w:val="18"/>
          <w:highlight w:val="none"/>
          <w:lang w:val="en-US" w:eastAsia="zh-CN"/>
        </w:rPr>
        <w:t>3 以中误差作为衡量精度的标准。</w:t>
      </w:r>
    </w:p>
    <w:p w14:paraId="51A843B6">
      <w:pPr>
        <w:bidi w:val="0"/>
        <w:rPr>
          <w:rFonts w:hint="default"/>
          <w:highlight w:val="none"/>
          <w:lang w:val="en-US" w:eastAsia="zh-CN"/>
        </w:rPr>
      </w:pPr>
      <w:r>
        <w:rPr>
          <w:rFonts w:hint="default"/>
          <w:b/>
          <w:bCs/>
          <w:highlight w:val="none"/>
          <w:lang w:val="en-US" w:eastAsia="zh-CN"/>
        </w:rPr>
        <w:t>7.2.8</w:t>
      </w:r>
      <w:r>
        <w:rPr>
          <w:rFonts w:hint="default"/>
          <w:highlight w:val="none"/>
          <w:lang w:val="en-US" w:eastAsia="zh-CN"/>
        </w:rPr>
        <w:t xml:space="preserve"> 基坑围护墙（边坡）顶部、立柱、基坑周边地表、管线和邻近建筑、道路的竖向位移监测精度应根据其竖向位移预警值按表7.2.8确定。</w:t>
      </w:r>
    </w:p>
    <w:p w14:paraId="1FE0EA8F">
      <w:pPr>
        <w:spacing w:line="360" w:lineRule="auto"/>
        <w:jc w:val="center"/>
        <w:rPr>
          <w:rFonts w:hint="default" w:ascii="Times New Roman" w:hAnsi="Times New Roman" w:cs="Times New Roman"/>
          <w:b/>
          <w:color w:val="auto"/>
          <w:szCs w:val="21"/>
          <w:highlight w:val="none"/>
          <w:lang w:val="en-US" w:eastAsia="zh-CN"/>
        </w:rPr>
      </w:pPr>
      <w:r>
        <w:rPr>
          <w:rFonts w:hint="eastAsia" w:ascii="Times New Roman" w:hAnsi="Times New Roman" w:cs="Times New Roman"/>
          <w:b/>
          <w:color w:val="auto"/>
          <w:szCs w:val="21"/>
          <w:highlight w:val="none"/>
          <w:lang w:val="en-US" w:eastAsia="zh-CN"/>
        </w:rPr>
        <w:t>表7.2.8 竖向位移监测精度要求</w:t>
      </w:r>
    </w:p>
    <w:tbl>
      <w:tblPr>
        <w:tblStyle w:val="13"/>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83"/>
        <w:gridCol w:w="2277"/>
        <w:gridCol w:w="1040"/>
        <w:gridCol w:w="1299"/>
        <w:gridCol w:w="1460"/>
        <w:gridCol w:w="1397"/>
      </w:tblGrid>
      <w:tr w14:paraId="32CD4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874" w:type="pct"/>
            <w:vMerge w:val="restart"/>
            <w:tcBorders>
              <w:top w:val="single" w:color="000000" w:sz="4" w:space="0"/>
              <w:left w:val="single" w:color="000000" w:sz="4" w:space="0"/>
              <w:bottom w:val="single" w:color="000000" w:sz="4" w:space="0"/>
              <w:right w:val="single" w:color="000000" w:sz="4" w:space="0"/>
            </w:tcBorders>
            <w:noWrap w:val="0"/>
            <w:vAlign w:val="center"/>
          </w:tcPr>
          <w:p w14:paraId="4974C853">
            <w:pPr>
              <w:keepNext w:val="0"/>
              <w:keepLines w:val="0"/>
              <w:pageBreakBefore w:val="0"/>
              <w:widowControl/>
              <w:suppressLineNumbers w:val="0"/>
              <w:kinsoku/>
              <w:wordWrap/>
              <w:overflowPunct/>
              <w:topLinePunct w:val="0"/>
              <w:bidi w:val="0"/>
              <w:spacing w:line="400" w:lineRule="exact"/>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竖向位移预警值</w:t>
            </w:r>
          </w:p>
        </w:tc>
        <w:tc>
          <w:tcPr>
            <w:tcW w:w="1257" w:type="pct"/>
            <w:tcBorders>
              <w:top w:val="single" w:color="000000" w:sz="4" w:space="0"/>
              <w:left w:val="single" w:color="000000" w:sz="4" w:space="0"/>
              <w:bottom w:val="single" w:color="000000" w:sz="4" w:space="0"/>
              <w:right w:val="single" w:color="000000" w:sz="4" w:space="0"/>
            </w:tcBorders>
            <w:noWrap/>
            <w:vAlign w:val="center"/>
          </w:tcPr>
          <w:p w14:paraId="5A367929">
            <w:pPr>
              <w:keepNext w:val="0"/>
              <w:keepLines w:val="0"/>
              <w:pageBreakBefore w:val="0"/>
              <w:widowControl/>
              <w:suppressLineNumbers w:val="0"/>
              <w:kinsoku/>
              <w:wordWrap/>
              <w:overflowPunct/>
              <w:topLinePunct w:val="0"/>
              <w:bidi w:val="0"/>
              <w:spacing w:line="400" w:lineRule="exact"/>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累计值S(mm)</w:t>
            </w:r>
          </w:p>
        </w:tc>
        <w:tc>
          <w:tcPr>
            <w:tcW w:w="574" w:type="pct"/>
            <w:tcBorders>
              <w:top w:val="single" w:color="000000" w:sz="4" w:space="0"/>
              <w:left w:val="single" w:color="000000" w:sz="4" w:space="0"/>
              <w:bottom w:val="single" w:color="000000" w:sz="4" w:space="0"/>
              <w:right w:val="single" w:color="000000" w:sz="4" w:space="0"/>
            </w:tcBorders>
            <w:noWrap/>
            <w:vAlign w:val="center"/>
          </w:tcPr>
          <w:p w14:paraId="154DF2BF">
            <w:pPr>
              <w:keepNext w:val="0"/>
              <w:keepLines w:val="0"/>
              <w:pageBreakBefore w:val="0"/>
              <w:widowControl/>
              <w:suppressLineNumbers w:val="0"/>
              <w:kinsoku/>
              <w:wordWrap/>
              <w:overflowPunct/>
              <w:topLinePunct w:val="0"/>
              <w:bidi w:val="0"/>
              <w:spacing w:line="400" w:lineRule="exact"/>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S</w:t>
            </w:r>
            <w:r>
              <w:rPr>
                <w:rFonts w:hint="default" w:ascii="Times New Roman" w:hAnsi="Times New Roman" w:eastAsia="宋体" w:cs="Times New Roman"/>
                <w:i w:val="0"/>
                <w:iCs w:val="0"/>
                <w:color w:val="000000"/>
                <w:kern w:val="0"/>
                <w:sz w:val="21"/>
                <w:szCs w:val="21"/>
                <w:highlight w:val="none"/>
                <w:u w:val="none"/>
                <w:lang w:val="en-US" w:eastAsia="zh-CN" w:bidi="ar"/>
              </w:rPr>
              <w:t>&lt;</w:t>
            </w:r>
            <w:r>
              <w:rPr>
                <w:rFonts w:hint="eastAsia" w:ascii="Times New Roman" w:hAnsi="Times New Roman" w:eastAsia="宋体" w:cs="Times New Roman"/>
                <w:i w:val="0"/>
                <w:iCs w:val="0"/>
                <w:color w:val="000000"/>
                <w:kern w:val="0"/>
                <w:sz w:val="21"/>
                <w:szCs w:val="21"/>
                <w:highlight w:val="none"/>
                <w:u w:val="none"/>
                <w:lang w:val="en-US" w:eastAsia="zh-CN" w:bidi="ar"/>
              </w:rPr>
              <w:t>20</w:t>
            </w:r>
          </w:p>
        </w:tc>
        <w:tc>
          <w:tcPr>
            <w:tcW w:w="717" w:type="pct"/>
            <w:tcBorders>
              <w:top w:val="single" w:color="000000" w:sz="4" w:space="0"/>
              <w:left w:val="single" w:color="000000" w:sz="4" w:space="0"/>
              <w:bottom w:val="single" w:color="000000" w:sz="4" w:space="0"/>
              <w:right w:val="single" w:color="000000" w:sz="4" w:space="0"/>
            </w:tcBorders>
            <w:noWrap/>
            <w:vAlign w:val="center"/>
          </w:tcPr>
          <w:p w14:paraId="541EC305">
            <w:pPr>
              <w:keepNext w:val="0"/>
              <w:keepLines w:val="0"/>
              <w:pageBreakBefore w:val="0"/>
              <w:widowControl/>
              <w:suppressLineNumbers w:val="0"/>
              <w:kinsoku/>
              <w:wordWrap/>
              <w:overflowPunct/>
              <w:topLinePunct w:val="0"/>
              <w:bidi w:val="0"/>
              <w:spacing w:line="400" w:lineRule="exact"/>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20≤S</w:t>
            </w:r>
            <w:r>
              <w:rPr>
                <w:rFonts w:hint="default" w:ascii="Times New Roman" w:hAnsi="Times New Roman" w:eastAsia="宋体" w:cs="Times New Roman"/>
                <w:i w:val="0"/>
                <w:iCs w:val="0"/>
                <w:color w:val="000000"/>
                <w:kern w:val="0"/>
                <w:sz w:val="21"/>
                <w:szCs w:val="21"/>
                <w:highlight w:val="none"/>
                <w:u w:val="none"/>
                <w:lang w:val="en-US" w:eastAsia="zh-CN" w:bidi="ar"/>
              </w:rPr>
              <w:t>&lt;</w:t>
            </w:r>
            <w:r>
              <w:rPr>
                <w:rFonts w:hint="eastAsia" w:ascii="Times New Roman" w:hAnsi="Times New Roman" w:eastAsia="宋体" w:cs="Times New Roman"/>
                <w:i w:val="0"/>
                <w:iCs w:val="0"/>
                <w:color w:val="000000"/>
                <w:kern w:val="0"/>
                <w:sz w:val="21"/>
                <w:szCs w:val="21"/>
                <w:highlight w:val="none"/>
                <w:u w:val="none"/>
                <w:lang w:val="en-US" w:eastAsia="zh-CN" w:bidi="ar"/>
              </w:rPr>
              <w:t>40</w:t>
            </w:r>
          </w:p>
        </w:tc>
        <w:tc>
          <w:tcPr>
            <w:tcW w:w="806" w:type="pct"/>
            <w:tcBorders>
              <w:top w:val="single" w:color="000000" w:sz="4" w:space="0"/>
              <w:left w:val="single" w:color="000000" w:sz="4" w:space="0"/>
              <w:bottom w:val="single" w:color="000000" w:sz="4" w:space="0"/>
              <w:right w:val="single" w:color="000000" w:sz="4" w:space="0"/>
            </w:tcBorders>
            <w:noWrap/>
            <w:vAlign w:val="center"/>
          </w:tcPr>
          <w:p w14:paraId="477120D3">
            <w:pPr>
              <w:keepNext w:val="0"/>
              <w:keepLines w:val="0"/>
              <w:pageBreakBefore w:val="0"/>
              <w:widowControl/>
              <w:suppressLineNumbers w:val="0"/>
              <w:kinsoku/>
              <w:wordWrap/>
              <w:overflowPunct/>
              <w:topLinePunct w:val="0"/>
              <w:bidi w:val="0"/>
              <w:spacing w:line="400" w:lineRule="exact"/>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40≤S≤60</w:t>
            </w:r>
          </w:p>
        </w:tc>
        <w:tc>
          <w:tcPr>
            <w:tcW w:w="771" w:type="pct"/>
            <w:tcBorders>
              <w:top w:val="single" w:color="000000" w:sz="4" w:space="0"/>
              <w:left w:val="single" w:color="000000" w:sz="4" w:space="0"/>
              <w:bottom w:val="single" w:color="000000" w:sz="4" w:space="0"/>
              <w:right w:val="single" w:color="000000" w:sz="4" w:space="0"/>
            </w:tcBorders>
            <w:noWrap/>
            <w:vAlign w:val="center"/>
          </w:tcPr>
          <w:p w14:paraId="52821ACB">
            <w:pPr>
              <w:keepNext w:val="0"/>
              <w:keepLines w:val="0"/>
              <w:pageBreakBefore w:val="0"/>
              <w:widowControl/>
              <w:suppressLineNumbers w:val="0"/>
              <w:kinsoku/>
              <w:wordWrap/>
              <w:overflowPunct/>
              <w:topLinePunct w:val="0"/>
              <w:bidi w:val="0"/>
              <w:spacing w:line="400" w:lineRule="exact"/>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S</w:t>
            </w:r>
            <w:r>
              <w:rPr>
                <w:rFonts w:hint="default" w:ascii="Times New Roman" w:hAnsi="Times New Roman" w:eastAsia="宋体" w:cs="Times New Roman"/>
                <w:i w:val="0"/>
                <w:iCs w:val="0"/>
                <w:color w:val="000000"/>
                <w:kern w:val="0"/>
                <w:sz w:val="21"/>
                <w:szCs w:val="21"/>
                <w:highlight w:val="none"/>
                <w:u w:val="none"/>
                <w:lang w:val="en-US" w:eastAsia="zh-CN" w:bidi="ar"/>
              </w:rPr>
              <w:t>&gt;</w:t>
            </w:r>
            <w:r>
              <w:rPr>
                <w:rFonts w:hint="eastAsia" w:ascii="Times New Roman" w:hAnsi="Times New Roman" w:eastAsia="宋体" w:cs="Times New Roman"/>
                <w:i w:val="0"/>
                <w:iCs w:val="0"/>
                <w:color w:val="000000"/>
                <w:kern w:val="0"/>
                <w:sz w:val="21"/>
                <w:szCs w:val="21"/>
                <w:highlight w:val="none"/>
                <w:u w:val="none"/>
                <w:lang w:val="en-US" w:eastAsia="zh-CN" w:bidi="ar"/>
              </w:rPr>
              <w:t>60</w:t>
            </w:r>
          </w:p>
        </w:tc>
      </w:tr>
      <w:tr w14:paraId="68BBE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874" w:type="pct"/>
            <w:vMerge w:val="continue"/>
            <w:tcBorders>
              <w:top w:val="single" w:color="000000" w:sz="4" w:space="0"/>
              <w:left w:val="single" w:color="000000" w:sz="4" w:space="0"/>
              <w:bottom w:val="single" w:color="000000" w:sz="4" w:space="0"/>
              <w:right w:val="single" w:color="000000" w:sz="4" w:space="0"/>
            </w:tcBorders>
            <w:noWrap w:val="0"/>
            <w:vAlign w:val="center"/>
          </w:tcPr>
          <w:p w14:paraId="028DD490">
            <w:pPr>
              <w:keepNext w:val="0"/>
              <w:keepLines w:val="0"/>
              <w:pageBreakBefore w:val="0"/>
              <w:widowControl/>
              <w:suppressLineNumbers w:val="0"/>
              <w:kinsoku/>
              <w:wordWrap/>
              <w:overflowPunct/>
              <w:topLinePunct w:val="0"/>
              <w:bidi w:val="0"/>
              <w:spacing w:line="400" w:lineRule="exact"/>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p>
        </w:tc>
        <w:tc>
          <w:tcPr>
            <w:tcW w:w="1257" w:type="pct"/>
            <w:tcBorders>
              <w:top w:val="single" w:color="000000" w:sz="4" w:space="0"/>
              <w:left w:val="single" w:color="000000" w:sz="4" w:space="0"/>
              <w:bottom w:val="single" w:color="000000" w:sz="4" w:space="0"/>
              <w:right w:val="single" w:color="000000" w:sz="4" w:space="0"/>
            </w:tcBorders>
            <w:noWrap/>
            <w:vAlign w:val="center"/>
          </w:tcPr>
          <w:p w14:paraId="68D38396">
            <w:pPr>
              <w:keepNext w:val="0"/>
              <w:keepLines w:val="0"/>
              <w:pageBreakBefore w:val="0"/>
              <w:widowControl/>
              <w:suppressLineNumbers w:val="0"/>
              <w:kinsoku/>
              <w:wordWrap/>
              <w:overflowPunct/>
              <w:topLinePunct w:val="0"/>
              <w:bidi w:val="0"/>
              <w:spacing w:line="400" w:lineRule="exact"/>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变化速率υs（mm/d）</w:t>
            </w:r>
          </w:p>
        </w:tc>
        <w:tc>
          <w:tcPr>
            <w:tcW w:w="574" w:type="pct"/>
            <w:tcBorders>
              <w:top w:val="single" w:color="000000" w:sz="4" w:space="0"/>
              <w:left w:val="single" w:color="000000" w:sz="4" w:space="0"/>
              <w:bottom w:val="single" w:color="000000" w:sz="4" w:space="0"/>
              <w:right w:val="single" w:color="000000" w:sz="4" w:space="0"/>
            </w:tcBorders>
            <w:noWrap/>
            <w:vAlign w:val="center"/>
          </w:tcPr>
          <w:p w14:paraId="0AA9E563">
            <w:pPr>
              <w:keepNext w:val="0"/>
              <w:keepLines w:val="0"/>
              <w:pageBreakBefore w:val="0"/>
              <w:widowControl/>
              <w:suppressLineNumbers w:val="0"/>
              <w:kinsoku/>
              <w:wordWrap/>
              <w:overflowPunct/>
              <w:topLinePunct w:val="0"/>
              <w:bidi w:val="0"/>
              <w:spacing w:line="400" w:lineRule="exact"/>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υs</w:t>
            </w:r>
            <w:r>
              <w:rPr>
                <w:rFonts w:hint="default" w:ascii="Times New Roman" w:hAnsi="Times New Roman" w:eastAsia="宋体" w:cs="Times New Roman"/>
                <w:i w:val="0"/>
                <w:iCs w:val="0"/>
                <w:color w:val="000000"/>
                <w:kern w:val="0"/>
                <w:sz w:val="21"/>
                <w:szCs w:val="21"/>
                <w:highlight w:val="none"/>
                <w:u w:val="none"/>
                <w:lang w:val="en-US" w:eastAsia="zh-CN" w:bidi="ar"/>
              </w:rPr>
              <w:t>&lt;</w:t>
            </w:r>
            <w:r>
              <w:rPr>
                <w:rFonts w:hint="eastAsia" w:ascii="Times New Roman" w:hAnsi="Times New Roman" w:eastAsia="宋体" w:cs="Times New Roman"/>
                <w:i w:val="0"/>
                <w:iCs w:val="0"/>
                <w:color w:val="000000"/>
                <w:kern w:val="0"/>
                <w:sz w:val="21"/>
                <w:szCs w:val="21"/>
                <w:highlight w:val="none"/>
                <w:u w:val="none"/>
                <w:lang w:val="en-US" w:eastAsia="zh-CN" w:bidi="ar"/>
              </w:rPr>
              <w:t>2</w:t>
            </w:r>
          </w:p>
        </w:tc>
        <w:tc>
          <w:tcPr>
            <w:tcW w:w="717" w:type="pct"/>
            <w:tcBorders>
              <w:top w:val="single" w:color="000000" w:sz="4" w:space="0"/>
              <w:left w:val="single" w:color="000000" w:sz="4" w:space="0"/>
              <w:bottom w:val="single" w:color="000000" w:sz="4" w:space="0"/>
              <w:right w:val="single" w:color="000000" w:sz="4" w:space="0"/>
            </w:tcBorders>
            <w:noWrap/>
            <w:vAlign w:val="center"/>
          </w:tcPr>
          <w:p w14:paraId="50A715D0">
            <w:pPr>
              <w:keepNext w:val="0"/>
              <w:keepLines w:val="0"/>
              <w:pageBreakBefore w:val="0"/>
              <w:widowControl/>
              <w:suppressLineNumbers w:val="0"/>
              <w:kinsoku/>
              <w:wordWrap/>
              <w:overflowPunct/>
              <w:topLinePunct w:val="0"/>
              <w:bidi w:val="0"/>
              <w:spacing w:line="400" w:lineRule="exact"/>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2≤υs</w:t>
            </w:r>
            <w:r>
              <w:rPr>
                <w:rFonts w:hint="default" w:ascii="Times New Roman" w:hAnsi="Times New Roman" w:eastAsia="宋体" w:cs="Times New Roman"/>
                <w:i w:val="0"/>
                <w:iCs w:val="0"/>
                <w:color w:val="000000"/>
                <w:kern w:val="0"/>
                <w:sz w:val="21"/>
                <w:szCs w:val="21"/>
                <w:highlight w:val="none"/>
                <w:u w:val="none"/>
                <w:lang w:val="en-US" w:eastAsia="zh-CN" w:bidi="ar"/>
              </w:rPr>
              <w:t>&lt;</w:t>
            </w:r>
            <w:r>
              <w:rPr>
                <w:rFonts w:hint="eastAsia" w:ascii="Times New Roman" w:hAnsi="Times New Roman" w:eastAsia="宋体" w:cs="Times New Roman"/>
                <w:i w:val="0"/>
                <w:iCs w:val="0"/>
                <w:color w:val="000000"/>
                <w:kern w:val="0"/>
                <w:sz w:val="21"/>
                <w:szCs w:val="21"/>
                <w:highlight w:val="none"/>
                <w:u w:val="none"/>
                <w:lang w:val="en-US" w:eastAsia="zh-CN" w:bidi="ar"/>
              </w:rPr>
              <w:t>4</w:t>
            </w:r>
          </w:p>
        </w:tc>
        <w:tc>
          <w:tcPr>
            <w:tcW w:w="806" w:type="pct"/>
            <w:tcBorders>
              <w:top w:val="single" w:color="000000" w:sz="4" w:space="0"/>
              <w:left w:val="single" w:color="000000" w:sz="4" w:space="0"/>
              <w:bottom w:val="single" w:color="000000" w:sz="4" w:space="0"/>
              <w:right w:val="single" w:color="000000" w:sz="4" w:space="0"/>
            </w:tcBorders>
            <w:noWrap/>
            <w:vAlign w:val="center"/>
          </w:tcPr>
          <w:p w14:paraId="717FAF43">
            <w:pPr>
              <w:keepNext w:val="0"/>
              <w:keepLines w:val="0"/>
              <w:pageBreakBefore w:val="0"/>
              <w:widowControl/>
              <w:suppressLineNumbers w:val="0"/>
              <w:kinsoku/>
              <w:wordWrap/>
              <w:overflowPunct/>
              <w:topLinePunct w:val="0"/>
              <w:bidi w:val="0"/>
              <w:spacing w:line="400" w:lineRule="exact"/>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4≤υs≤6</w:t>
            </w:r>
          </w:p>
        </w:tc>
        <w:tc>
          <w:tcPr>
            <w:tcW w:w="771" w:type="pct"/>
            <w:tcBorders>
              <w:top w:val="single" w:color="000000" w:sz="4" w:space="0"/>
              <w:left w:val="single" w:color="000000" w:sz="4" w:space="0"/>
              <w:bottom w:val="single" w:color="000000" w:sz="4" w:space="0"/>
              <w:right w:val="single" w:color="000000" w:sz="4" w:space="0"/>
            </w:tcBorders>
            <w:noWrap/>
            <w:vAlign w:val="center"/>
          </w:tcPr>
          <w:p w14:paraId="5FCF6681">
            <w:pPr>
              <w:keepNext w:val="0"/>
              <w:keepLines w:val="0"/>
              <w:pageBreakBefore w:val="0"/>
              <w:widowControl/>
              <w:suppressLineNumbers w:val="0"/>
              <w:kinsoku/>
              <w:wordWrap/>
              <w:overflowPunct/>
              <w:topLinePunct w:val="0"/>
              <w:bidi w:val="0"/>
              <w:spacing w:line="400" w:lineRule="exact"/>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υs</w:t>
            </w:r>
            <w:r>
              <w:rPr>
                <w:rFonts w:hint="default" w:ascii="Times New Roman" w:hAnsi="Times New Roman" w:eastAsia="宋体" w:cs="Times New Roman"/>
                <w:i w:val="0"/>
                <w:iCs w:val="0"/>
                <w:color w:val="000000"/>
                <w:kern w:val="0"/>
                <w:sz w:val="21"/>
                <w:szCs w:val="21"/>
                <w:highlight w:val="none"/>
                <w:u w:val="none"/>
                <w:lang w:val="en-US" w:eastAsia="zh-CN" w:bidi="ar"/>
              </w:rPr>
              <w:t>&gt;</w:t>
            </w:r>
            <w:r>
              <w:rPr>
                <w:rFonts w:hint="eastAsia" w:ascii="Times New Roman" w:hAnsi="Times New Roman" w:eastAsia="宋体" w:cs="Times New Roman"/>
                <w:i w:val="0"/>
                <w:iCs w:val="0"/>
                <w:color w:val="000000"/>
                <w:kern w:val="0"/>
                <w:sz w:val="21"/>
                <w:szCs w:val="21"/>
                <w:highlight w:val="none"/>
                <w:u w:val="none"/>
                <w:lang w:val="en-US" w:eastAsia="zh-CN" w:bidi="ar"/>
              </w:rPr>
              <w:t>6</w:t>
            </w:r>
          </w:p>
        </w:tc>
      </w:tr>
      <w:tr w14:paraId="7D337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131" w:type="pct"/>
            <w:gridSpan w:val="2"/>
            <w:tcBorders>
              <w:top w:val="single" w:color="000000" w:sz="4" w:space="0"/>
              <w:left w:val="single" w:color="000000" w:sz="4" w:space="0"/>
              <w:bottom w:val="single" w:color="000000" w:sz="4" w:space="0"/>
              <w:right w:val="single" w:color="000000" w:sz="4" w:space="0"/>
            </w:tcBorders>
            <w:noWrap/>
            <w:vAlign w:val="center"/>
          </w:tcPr>
          <w:p w14:paraId="4558D5E9">
            <w:pPr>
              <w:keepNext w:val="0"/>
              <w:keepLines w:val="0"/>
              <w:pageBreakBefore w:val="0"/>
              <w:widowControl/>
              <w:suppressLineNumbers w:val="0"/>
              <w:kinsoku/>
              <w:wordWrap/>
              <w:overflowPunct/>
              <w:topLinePunct w:val="0"/>
              <w:bidi w:val="0"/>
              <w:spacing w:line="400" w:lineRule="exact"/>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监测点测站高差中误差(mm)</w:t>
            </w:r>
          </w:p>
        </w:tc>
        <w:tc>
          <w:tcPr>
            <w:tcW w:w="574" w:type="pct"/>
            <w:tcBorders>
              <w:top w:val="single" w:color="000000" w:sz="4" w:space="0"/>
              <w:left w:val="single" w:color="000000" w:sz="4" w:space="0"/>
              <w:bottom w:val="single" w:color="000000" w:sz="4" w:space="0"/>
              <w:right w:val="single" w:color="000000" w:sz="4" w:space="0"/>
            </w:tcBorders>
            <w:noWrap/>
            <w:vAlign w:val="center"/>
          </w:tcPr>
          <w:p w14:paraId="325D0FCD">
            <w:pPr>
              <w:keepNext w:val="0"/>
              <w:keepLines w:val="0"/>
              <w:pageBreakBefore w:val="0"/>
              <w:widowControl/>
              <w:suppressLineNumbers w:val="0"/>
              <w:kinsoku/>
              <w:wordWrap/>
              <w:overflowPunct/>
              <w:topLinePunct w:val="0"/>
              <w:bidi w:val="0"/>
              <w:spacing w:line="400" w:lineRule="exact"/>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≤0.15</w:t>
            </w:r>
          </w:p>
        </w:tc>
        <w:tc>
          <w:tcPr>
            <w:tcW w:w="717" w:type="pct"/>
            <w:tcBorders>
              <w:top w:val="single" w:color="000000" w:sz="4" w:space="0"/>
              <w:left w:val="single" w:color="000000" w:sz="4" w:space="0"/>
              <w:bottom w:val="single" w:color="000000" w:sz="4" w:space="0"/>
              <w:right w:val="single" w:color="000000" w:sz="4" w:space="0"/>
            </w:tcBorders>
            <w:noWrap/>
            <w:vAlign w:val="center"/>
          </w:tcPr>
          <w:p w14:paraId="56C3A377">
            <w:pPr>
              <w:keepNext w:val="0"/>
              <w:keepLines w:val="0"/>
              <w:pageBreakBefore w:val="0"/>
              <w:widowControl/>
              <w:suppressLineNumbers w:val="0"/>
              <w:kinsoku/>
              <w:wordWrap/>
              <w:overflowPunct/>
              <w:topLinePunct w:val="0"/>
              <w:bidi w:val="0"/>
              <w:spacing w:line="400" w:lineRule="exact"/>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≤0.3</w:t>
            </w:r>
          </w:p>
        </w:tc>
        <w:tc>
          <w:tcPr>
            <w:tcW w:w="806" w:type="pct"/>
            <w:tcBorders>
              <w:top w:val="single" w:color="000000" w:sz="4" w:space="0"/>
              <w:left w:val="single" w:color="000000" w:sz="4" w:space="0"/>
              <w:bottom w:val="single" w:color="000000" w:sz="4" w:space="0"/>
              <w:right w:val="single" w:color="000000" w:sz="4" w:space="0"/>
            </w:tcBorders>
            <w:noWrap/>
            <w:vAlign w:val="center"/>
          </w:tcPr>
          <w:p w14:paraId="062A4673">
            <w:pPr>
              <w:keepNext w:val="0"/>
              <w:keepLines w:val="0"/>
              <w:pageBreakBefore w:val="0"/>
              <w:widowControl/>
              <w:suppressLineNumbers w:val="0"/>
              <w:kinsoku/>
              <w:wordWrap/>
              <w:overflowPunct/>
              <w:topLinePunct w:val="0"/>
              <w:bidi w:val="0"/>
              <w:spacing w:line="400" w:lineRule="exact"/>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≤0.5</w:t>
            </w:r>
          </w:p>
        </w:tc>
        <w:tc>
          <w:tcPr>
            <w:tcW w:w="771" w:type="pct"/>
            <w:tcBorders>
              <w:top w:val="single" w:color="000000" w:sz="4" w:space="0"/>
              <w:left w:val="single" w:color="000000" w:sz="4" w:space="0"/>
              <w:bottom w:val="single" w:color="000000" w:sz="4" w:space="0"/>
              <w:right w:val="single" w:color="000000" w:sz="4" w:space="0"/>
            </w:tcBorders>
            <w:noWrap/>
            <w:vAlign w:val="center"/>
          </w:tcPr>
          <w:p w14:paraId="453CD1CD">
            <w:pPr>
              <w:keepNext w:val="0"/>
              <w:keepLines w:val="0"/>
              <w:pageBreakBefore w:val="0"/>
              <w:widowControl/>
              <w:suppressLineNumbers w:val="0"/>
              <w:kinsoku/>
              <w:wordWrap/>
              <w:overflowPunct/>
              <w:topLinePunct w:val="0"/>
              <w:bidi w:val="0"/>
              <w:spacing w:line="400" w:lineRule="exact"/>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≤1.5</w:t>
            </w:r>
          </w:p>
        </w:tc>
      </w:tr>
    </w:tbl>
    <w:p w14:paraId="600DD997">
      <w:pPr>
        <w:pageBreakBefore w:val="0"/>
        <w:kinsoku/>
        <w:wordWrap/>
        <w:overflowPunct/>
        <w:topLinePunct w:val="0"/>
        <w:autoSpaceDE w:val="0"/>
        <w:autoSpaceDN w:val="0"/>
        <w:bidi w:val="0"/>
        <w:adjustRightInd w:val="0"/>
        <w:snapToGrid w:val="0"/>
        <w:spacing w:line="400" w:lineRule="exact"/>
        <w:rPr>
          <w:rFonts w:hint="eastAsia" w:ascii="楷体" w:hAnsi="楷体" w:eastAsia="楷体" w:cs="楷体"/>
          <w:color w:val="0000FF"/>
          <w:sz w:val="18"/>
          <w:szCs w:val="18"/>
          <w:highlight w:val="none"/>
          <w:lang w:val="en-US" w:eastAsia="zh-CN"/>
        </w:rPr>
      </w:pPr>
      <w:r>
        <w:rPr>
          <w:rFonts w:hint="eastAsia" w:ascii="楷体" w:hAnsi="楷体" w:eastAsia="楷体" w:cs="楷体"/>
          <w:color w:val="auto"/>
          <w:sz w:val="18"/>
          <w:szCs w:val="18"/>
          <w:highlight w:val="none"/>
          <w:lang w:val="en-US" w:eastAsia="zh-CN"/>
        </w:rPr>
        <w:t>注:监测点测站高差中误差是指相应精度与视距的几何水准测量单程一测站的高差中误差。</w:t>
      </w:r>
    </w:p>
    <w:p w14:paraId="7E16A4EE">
      <w:pPr>
        <w:spacing w:line="360" w:lineRule="auto"/>
        <w:rPr>
          <w:rFonts w:hint="default" w:ascii="Times New Roman" w:hAnsi="Times New Roman" w:eastAsia="楷体" w:cs="Times New Roman"/>
          <w:sz w:val="24"/>
          <w:highlight w:val="none"/>
          <w:u w:val="single"/>
          <w:lang w:val="en-US" w:eastAsia="zh-CN"/>
        </w:rPr>
      </w:pPr>
      <w:r>
        <w:rPr>
          <w:rFonts w:hint="default" w:ascii="Times New Roman" w:hAnsi="Times New Roman" w:eastAsia="楷体" w:cs="Times New Roman"/>
          <w:sz w:val="24"/>
          <w:highlight w:val="none"/>
          <w:u w:val="single"/>
          <w:lang w:val="zh-CN" w:eastAsia="zh-CN"/>
        </w:rPr>
        <w:t>【</w:t>
      </w:r>
      <w:r>
        <w:rPr>
          <w:rFonts w:hint="default" w:ascii="Times New Roman" w:hAnsi="Times New Roman" w:eastAsia="楷体" w:cs="Times New Roman"/>
          <w:sz w:val="24"/>
          <w:highlight w:val="none"/>
          <w:u w:val="single"/>
          <w:lang w:val="en-US" w:eastAsia="zh-CN"/>
        </w:rPr>
        <w:t>条文说明</w:t>
      </w:r>
      <w:r>
        <w:rPr>
          <w:rFonts w:hint="default" w:ascii="Times New Roman" w:hAnsi="Times New Roman" w:eastAsia="楷体" w:cs="Times New Roman"/>
          <w:sz w:val="24"/>
          <w:highlight w:val="none"/>
          <w:u w:val="single"/>
          <w:lang w:val="zh-CN" w:eastAsia="zh-CN"/>
        </w:rPr>
        <w:t>】</w:t>
      </w:r>
      <w:r>
        <w:rPr>
          <w:rFonts w:hint="default" w:ascii="Times New Roman" w:hAnsi="Times New Roman" w:eastAsia="楷体" w:cs="Times New Roman"/>
          <w:sz w:val="24"/>
          <w:highlight w:val="none"/>
          <w:u w:val="single"/>
          <w:lang w:val="en-US" w:eastAsia="zh-CN"/>
        </w:rPr>
        <w:t>7.2.7—7.2.8条表中的累计值为加固设计方确定监测项目累计变化预警值，不含已发生的变形部分，即从加固开始到基坑使用结束后还能允许的变形控制值。</w:t>
      </w:r>
    </w:p>
    <w:p w14:paraId="015E1E16">
      <w:pPr>
        <w:bidi w:val="0"/>
        <w:rPr>
          <w:rFonts w:hint="default"/>
          <w:highlight w:val="none"/>
          <w:lang w:val="en-US" w:eastAsia="zh-CN"/>
        </w:rPr>
      </w:pPr>
      <w:r>
        <w:rPr>
          <w:rFonts w:hint="default"/>
          <w:b/>
          <w:bCs/>
          <w:highlight w:val="none"/>
          <w:lang w:val="en-US" w:eastAsia="zh-CN"/>
        </w:rPr>
        <w:t>7.2.9</w:t>
      </w:r>
      <w:r>
        <w:rPr>
          <w:rFonts w:hint="default"/>
          <w:highlight w:val="none"/>
          <w:lang w:val="en-US" w:eastAsia="zh-CN"/>
        </w:rPr>
        <w:t xml:space="preserve"> 深层水平位移监测的测斜仪系统精度不宜低于0.25mm/m,分辨率不宜低于0.02mm/500mm。</w:t>
      </w:r>
    </w:p>
    <w:p w14:paraId="623C7ED4">
      <w:pPr>
        <w:bidi w:val="0"/>
        <w:rPr>
          <w:rFonts w:hint="default"/>
          <w:color w:val="auto"/>
          <w:highlight w:val="none"/>
          <w:lang w:val="en-US" w:eastAsia="zh-CN"/>
        </w:rPr>
      </w:pPr>
      <w:r>
        <w:rPr>
          <w:rFonts w:hint="default"/>
          <w:b/>
          <w:bCs/>
          <w:color w:val="auto"/>
          <w:highlight w:val="none"/>
          <w:lang w:val="en-US" w:eastAsia="zh-CN"/>
        </w:rPr>
        <w:t>7.2.10</w:t>
      </w:r>
      <w:r>
        <w:rPr>
          <w:rFonts w:hint="default"/>
          <w:color w:val="auto"/>
          <w:highlight w:val="none"/>
          <w:lang w:val="en-US" w:eastAsia="zh-CN"/>
        </w:rPr>
        <w:t xml:space="preserve"> 建筑倾斜监测精度应符合国家现行标准《工程测量规范》GB50026及《建筑变形测量规范》JGJ8的有关规定</w:t>
      </w:r>
      <w:r>
        <w:rPr>
          <w:rFonts w:hint="eastAsia"/>
          <w:color w:val="auto"/>
          <w:highlight w:val="none"/>
          <w:lang w:val="en-US" w:eastAsia="zh-CN"/>
        </w:rPr>
        <w:t>。</w:t>
      </w:r>
    </w:p>
    <w:p w14:paraId="7D6E09ED">
      <w:pPr>
        <w:bidi w:val="0"/>
        <w:rPr>
          <w:rFonts w:hint="default"/>
          <w:highlight w:val="none"/>
          <w:lang w:val="en-US" w:eastAsia="zh-CN"/>
        </w:rPr>
      </w:pPr>
      <w:r>
        <w:rPr>
          <w:rFonts w:hint="default"/>
          <w:b/>
          <w:bCs/>
          <w:highlight w:val="none"/>
          <w:lang w:val="en-US" w:eastAsia="zh-CN"/>
        </w:rPr>
        <w:t>7.2.11</w:t>
      </w:r>
      <w:r>
        <w:rPr>
          <w:rFonts w:hint="default"/>
          <w:highlight w:val="none"/>
          <w:lang w:val="en-US" w:eastAsia="zh-CN"/>
        </w:rPr>
        <w:t xml:space="preserve"> 裂缝宽度量测精度不宜低于0.1mm,裂缝长度和深度量测精度不宜低于1mm。</w:t>
      </w:r>
    </w:p>
    <w:p w14:paraId="10A4D080">
      <w:pPr>
        <w:bidi w:val="0"/>
        <w:rPr>
          <w:rFonts w:hint="default"/>
          <w:highlight w:val="none"/>
          <w:lang w:val="en-US" w:eastAsia="zh-CN"/>
        </w:rPr>
      </w:pPr>
      <w:r>
        <w:rPr>
          <w:rFonts w:hint="default"/>
          <w:b/>
          <w:bCs/>
          <w:highlight w:val="none"/>
          <w:lang w:val="en-US" w:eastAsia="zh-CN"/>
        </w:rPr>
        <w:t>7.2.1</w:t>
      </w:r>
      <w:r>
        <w:rPr>
          <w:rFonts w:hint="eastAsia"/>
          <w:b/>
          <w:bCs/>
          <w:highlight w:val="none"/>
          <w:lang w:val="en-US" w:eastAsia="zh-CN"/>
        </w:rPr>
        <w:t>2</w:t>
      </w:r>
      <w:r>
        <w:rPr>
          <w:rFonts w:hint="default"/>
          <w:highlight w:val="none"/>
          <w:lang w:val="en-US" w:eastAsia="zh-CN"/>
        </w:rPr>
        <w:t xml:space="preserve"> 地下水位量测精度不宜低于10mm。</w:t>
      </w:r>
    </w:p>
    <w:p w14:paraId="7C279F2E">
      <w:pPr>
        <w:bidi w:val="0"/>
        <w:rPr>
          <w:rFonts w:hint="default"/>
          <w:highlight w:val="none"/>
          <w:lang w:val="en-US" w:eastAsia="zh-CN"/>
        </w:rPr>
      </w:pPr>
      <w:r>
        <w:rPr>
          <w:rFonts w:hint="default"/>
          <w:b/>
          <w:bCs/>
          <w:highlight w:val="none"/>
          <w:lang w:val="en-US" w:eastAsia="zh-CN"/>
        </w:rPr>
        <w:t>7.2.1</w:t>
      </w:r>
      <w:r>
        <w:rPr>
          <w:rFonts w:hint="eastAsia"/>
          <w:b/>
          <w:bCs/>
          <w:highlight w:val="none"/>
          <w:lang w:val="en-US" w:eastAsia="zh-CN"/>
        </w:rPr>
        <w:t>3</w:t>
      </w:r>
      <w:r>
        <w:rPr>
          <w:rFonts w:hint="default"/>
          <w:highlight w:val="none"/>
          <w:lang w:val="en-US" w:eastAsia="zh-CN"/>
        </w:rPr>
        <w:t>埋设磁环式分层沉降标，采用分层沉降仪量测时，2次读数较差不应大于1.5mm,沉降仪的系统精度不宜低于1.5mm。</w:t>
      </w:r>
    </w:p>
    <w:p w14:paraId="199797E1">
      <w:pPr>
        <w:bidi w:val="0"/>
        <w:rPr>
          <w:rFonts w:hint="default"/>
          <w:highlight w:val="none"/>
          <w:lang w:val="en-US" w:eastAsia="zh-CN"/>
        </w:rPr>
      </w:pPr>
      <w:r>
        <w:rPr>
          <w:rFonts w:hint="default"/>
          <w:b/>
          <w:bCs/>
          <w:highlight w:val="none"/>
          <w:lang w:val="en-US" w:eastAsia="zh-CN"/>
        </w:rPr>
        <w:t>7.2.1</w:t>
      </w:r>
      <w:r>
        <w:rPr>
          <w:rFonts w:hint="eastAsia"/>
          <w:b/>
          <w:bCs/>
          <w:highlight w:val="none"/>
          <w:lang w:val="en-US" w:eastAsia="zh-CN"/>
        </w:rPr>
        <w:t>4</w:t>
      </w:r>
      <w:r>
        <w:rPr>
          <w:rFonts w:hint="default"/>
          <w:highlight w:val="none"/>
          <w:lang w:val="en-US" w:eastAsia="zh-CN"/>
        </w:rPr>
        <w:t xml:space="preserve"> 坑底隆起监测的精度应符合表7.2.18的规定。</w:t>
      </w:r>
    </w:p>
    <w:p w14:paraId="057C29F2">
      <w:pPr>
        <w:spacing w:line="360" w:lineRule="auto"/>
        <w:jc w:val="center"/>
        <w:rPr>
          <w:rFonts w:hint="eastAsia" w:ascii="Times New Roman" w:hAnsi="Times New Roman" w:cs="Times New Roman"/>
          <w:b/>
          <w:color w:val="auto"/>
          <w:szCs w:val="21"/>
          <w:highlight w:val="none"/>
          <w:lang w:val="en-US" w:eastAsia="zh-CN"/>
        </w:rPr>
      </w:pPr>
      <w:r>
        <w:rPr>
          <w:rFonts w:hint="eastAsia" w:ascii="Times New Roman" w:hAnsi="Times New Roman" w:cs="Times New Roman"/>
          <w:b/>
          <w:color w:val="auto"/>
          <w:szCs w:val="21"/>
          <w:highlight w:val="none"/>
          <w:lang w:val="en-US" w:eastAsia="zh-CN"/>
        </w:rPr>
        <w:t>表7.2.14 坑底隆起监测的精度要求（mm）</w:t>
      </w:r>
    </w:p>
    <w:tbl>
      <w:tblPr>
        <w:tblStyle w:val="13"/>
        <w:tblpPr w:leftFromText="180" w:rightFromText="180" w:vertAnchor="text" w:horzAnchor="page" w:tblpX="1256" w:tblpY="59"/>
        <w:tblOverlap w:val="never"/>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29"/>
        <w:gridCol w:w="1781"/>
        <w:gridCol w:w="2001"/>
        <w:gridCol w:w="1946"/>
      </w:tblGrid>
      <w:tr w14:paraId="0E9CC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1837" w:type="pct"/>
            <w:tcBorders>
              <w:top w:val="single" w:color="000000" w:sz="4" w:space="0"/>
              <w:left w:val="single" w:color="000000" w:sz="4" w:space="0"/>
              <w:bottom w:val="single" w:color="000000" w:sz="4" w:space="0"/>
              <w:right w:val="single" w:color="000000" w:sz="4" w:space="0"/>
            </w:tcBorders>
            <w:noWrap/>
            <w:vAlign w:val="center"/>
          </w:tcPr>
          <w:p w14:paraId="60859BF6">
            <w:pPr>
              <w:keepNext w:val="0"/>
              <w:keepLines w:val="0"/>
              <w:pageBreakBefore w:val="0"/>
              <w:widowControl/>
              <w:suppressLineNumbers w:val="0"/>
              <w:kinsoku/>
              <w:wordWrap/>
              <w:overflowPunct/>
              <w:topLinePunct w:val="0"/>
              <w:bidi w:val="0"/>
              <w:spacing w:line="400" w:lineRule="exact"/>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坑底隆起预警值(累计值)</w:t>
            </w:r>
          </w:p>
        </w:tc>
        <w:tc>
          <w:tcPr>
            <w:tcW w:w="983" w:type="pct"/>
            <w:tcBorders>
              <w:top w:val="single" w:color="000000" w:sz="4" w:space="0"/>
              <w:left w:val="single" w:color="000000" w:sz="4" w:space="0"/>
              <w:bottom w:val="single" w:color="000000" w:sz="4" w:space="0"/>
              <w:right w:val="single" w:color="000000" w:sz="4" w:space="0"/>
            </w:tcBorders>
            <w:noWrap/>
            <w:vAlign w:val="center"/>
          </w:tcPr>
          <w:p w14:paraId="5A7ADACF">
            <w:pPr>
              <w:keepNext w:val="0"/>
              <w:keepLines w:val="0"/>
              <w:pageBreakBefore w:val="0"/>
              <w:widowControl/>
              <w:suppressLineNumbers w:val="0"/>
              <w:kinsoku/>
              <w:wordWrap/>
              <w:overflowPunct/>
              <w:topLinePunct w:val="0"/>
              <w:bidi w:val="0"/>
              <w:spacing w:line="400" w:lineRule="exact"/>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≤40</w:t>
            </w:r>
          </w:p>
        </w:tc>
        <w:tc>
          <w:tcPr>
            <w:tcW w:w="1104" w:type="pct"/>
            <w:tcBorders>
              <w:top w:val="single" w:color="000000" w:sz="4" w:space="0"/>
              <w:left w:val="single" w:color="000000" w:sz="4" w:space="0"/>
              <w:bottom w:val="single" w:color="000000" w:sz="4" w:space="0"/>
              <w:right w:val="single" w:color="000000" w:sz="4" w:space="0"/>
            </w:tcBorders>
            <w:noWrap/>
            <w:vAlign w:val="center"/>
          </w:tcPr>
          <w:p w14:paraId="244F3C20">
            <w:pPr>
              <w:keepNext w:val="0"/>
              <w:keepLines w:val="0"/>
              <w:pageBreakBefore w:val="0"/>
              <w:widowControl/>
              <w:suppressLineNumbers w:val="0"/>
              <w:kinsoku/>
              <w:wordWrap/>
              <w:overflowPunct/>
              <w:topLinePunct w:val="0"/>
              <w:bidi w:val="0"/>
              <w:spacing w:line="400" w:lineRule="exact"/>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40~60</w:t>
            </w:r>
          </w:p>
        </w:tc>
        <w:tc>
          <w:tcPr>
            <w:tcW w:w="1074" w:type="pct"/>
            <w:tcBorders>
              <w:top w:val="single" w:color="000000" w:sz="4" w:space="0"/>
              <w:left w:val="single" w:color="000000" w:sz="4" w:space="0"/>
              <w:bottom w:val="single" w:color="000000" w:sz="4" w:space="0"/>
              <w:right w:val="single" w:color="000000" w:sz="4" w:space="0"/>
            </w:tcBorders>
            <w:noWrap/>
            <w:vAlign w:val="center"/>
          </w:tcPr>
          <w:p w14:paraId="4C1078A5">
            <w:pPr>
              <w:keepNext w:val="0"/>
              <w:keepLines w:val="0"/>
              <w:pageBreakBefore w:val="0"/>
              <w:widowControl/>
              <w:suppressLineNumbers w:val="0"/>
              <w:kinsoku/>
              <w:wordWrap/>
              <w:overflowPunct/>
              <w:topLinePunct w:val="0"/>
              <w:bidi w:val="0"/>
              <w:spacing w:line="400" w:lineRule="exact"/>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aps w:val="0"/>
                <w:color w:val="333333"/>
                <w:spacing w:val="0"/>
                <w:sz w:val="21"/>
                <w:szCs w:val="21"/>
                <w:highlight w:val="none"/>
                <w:shd w:val="clear" w:color="auto" w:fill="FFFFFF"/>
              </w:rPr>
              <w:t>&gt;</w:t>
            </w:r>
            <w:r>
              <w:rPr>
                <w:rFonts w:hint="default" w:ascii="Times New Roman" w:hAnsi="Times New Roman" w:eastAsia="宋体" w:cs="Times New Roman"/>
                <w:i w:val="0"/>
                <w:iCs w:val="0"/>
                <w:color w:val="000000"/>
                <w:kern w:val="0"/>
                <w:sz w:val="21"/>
                <w:szCs w:val="21"/>
                <w:highlight w:val="none"/>
                <w:u w:val="none"/>
                <w:lang w:val="en-US" w:eastAsia="zh-CN" w:bidi="ar"/>
              </w:rPr>
              <w:t>60</w:t>
            </w:r>
          </w:p>
        </w:tc>
      </w:tr>
      <w:tr w14:paraId="3396C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1837" w:type="pct"/>
            <w:tcBorders>
              <w:top w:val="single" w:color="000000" w:sz="4" w:space="0"/>
              <w:left w:val="single" w:color="000000" w:sz="4" w:space="0"/>
              <w:bottom w:val="single" w:color="000000" w:sz="4" w:space="0"/>
              <w:right w:val="single" w:color="000000" w:sz="4" w:space="0"/>
            </w:tcBorders>
            <w:noWrap/>
            <w:vAlign w:val="center"/>
          </w:tcPr>
          <w:p w14:paraId="5C895C4B">
            <w:pPr>
              <w:keepNext w:val="0"/>
              <w:keepLines w:val="0"/>
              <w:pageBreakBefore w:val="0"/>
              <w:widowControl/>
              <w:suppressLineNumbers w:val="0"/>
              <w:kinsoku/>
              <w:wordWrap/>
              <w:overflowPunct/>
              <w:topLinePunct w:val="0"/>
              <w:bidi w:val="0"/>
              <w:spacing w:line="400" w:lineRule="exact"/>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监测点测站高差中误差</w:t>
            </w:r>
          </w:p>
        </w:tc>
        <w:tc>
          <w:tcPr>
            <w:tcW w:w="983" w:type="pct"/>
            <w:tcBorders>
              <w:top w:val="single" w:color="000000" w:sz="4" w:space="0"/>
              <w:left w:val="single" w:color="000000" w:sz="4" w:space="0"/>
              <w:bottom w:val="single" w:color="000000" w:sz="4" w:space="0"/>
              <w:right w:val="single" w:color="000000" w:sz="4" w:space="0"/>
            </w:tcBorders>
            <w:noWrap/>
            <w:vAlign w:val="center"/>
          </w:tcPr>
          <w:p w14:paraId="434B28AD">
            <w:pPr>
              <w:keepNext w:val="0"/>
              <w:keepLines w:val="0"/>
              <w:pageBreakBefore w:val="0"/>
              <w:widowControl/>
              <w:suppressLineNumbers w:val="0"/>
              <w:kinsoku/>
              <w:wordWrap/>
              <w:overflowPunct/>
              <w:topLinePunct w:val="0"/>
              <w:bidi w:val="0"/>
              <w:spacing w:line="400" w:lineRule="exact"/>
              <w:jc w:val="center"/>
              <w:textAlignment w:val="center"/>
              <w:rPr>
                <w:rFonts w:hint="default" w:ascii="Times New Roman" w:hAnsi="Times New Roman" w:eastAsia="宋体" w:cs="Times New Roman"/>
                <w:i w:val="0"/>
                <w:iCs w:val="0"/>
                <w:color w:val="000000"/>
                <w:sz w:val="21"/>
                <w:szCs w:val="21"/>
                <w:highlight w:val="none"/>
                <w:u w:val="none"/>
                <w:lang w:val="en-US"/>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1104" w:type="pct"/>
            <w:tcBorders>
              <w:top w:val="single" w:color="000000" w:sz="4" w:space="0"/>
              <w:left w:val="single" w:color="000000" w:sz="4" w:space="0"/>
              <w:bottom w:val="single" w:color="000000" w:sz="4" w:space="0"/>
              <w:right w:val="single" w:color="000000" w:sz="4" w:space="0"/>
            </w:tcBorders>
            <w:noWrap/>
            <w:vAlign w:val="center"/>
          </w:tcPr>
          <w:p w14:paraId="14010D18">
            <w:pPr>
              <w:keepNext w:val="0"/>
              <w:keepLines w:val="0"/>
              <w:pageBreakBefore w:val="0"/>
              <w:widowControl/>
              <w:suppressLineNumbers w:val="0"/>
              <w:kinsoku/>
              <w:wordWrap/>
              <w:overflowPunct/>
              <w:topLinePunct w:val="0"/>
              <w:bidi w:val="0"/>
              <w:spacing w:line="400" w:lineRule="exact"/>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≤2.0</w:t>
            </w:r>
          </w:p>
        </w:tc>
        <w:tc>
          <w:tcPr>
            <w:tcW w:w="1074" w:type="pct"/>
            <w:tcBorders>
              <w:top w:val="single" w:color="000000" w:sz="4" w:space="0"/>
              <w:left w:val="single" w:color="000000" w:sz="4" w:space="0"/>
              <w:bottom w:val="single" w:color="000000" w:sz="4" w:space="0"/>
              <w:right w:val="single" w:color="000000" w:sz="4" w:space="0"/>
            </w:tcBorders>
            <w:noWrap/>
            <w:vAlign w:val="center"/>
          </w:tcPr>
          <w:p w14:paraId="7215CC48">
            <w:pPr>
              <w:keepNext w:val="0"/>
              <w:keepLines w:val="0"/>
              <w:pageBreakBefore w:val="0"/>
              <w:widowControl/>
              <w:suppressLineNumbers w:val="0"/>
              <w:kinsoku/>
              <w:wordWrap/>
              <w:overflowPunct/>
              <w:topLinePunct w:val="0"/>
              <w:bidi w:val="0"/>
              <w:spacing w:line="400" w:lineRule="exact"/>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≤3.0</w:t>
            </w:r>
          </w:p>
        </w:tc>
      </w:tr>
    </w:tbl>
    <w:p w14:paraId="6984FEF0">
      <w:pPr>
        <w:bidi w:val="0"/>
        <w:rPr>
          <w:rFonts w:hint="eastAsia" w:ascii="Times New Roman" w:hAnsi="Times New Roman" w:eastAsia="宋体"/>
          <w:b/>
          <w:bCs/>
          <w:highlight w:val="none"/>
          <w:lang w:val="en-US" w:eastAsia="zh-CN"/>
        </w:rPr>
      </w:pPr>
      <w:bookmarkStart w:id="111" w:name="_Toc12100"/>
      <w:bookmarkStart w:id="112" w:name="_Toc5720"/>
      <w:r>
        <w:rPr>
          <w:rFonts w:hint="default" w:ascii="Times New Roman" w:hAnsi="Times New Roman" w:eastAsia="宋体"/>
          <w:b/>
          <w:bCs/>
          <w:highlight w:val="none"/>
          <w:lang w:val="en-US" w:eastAsia="zh-CN"/>
        </w:rPr>
        <w:t>7.2.1</w:t>
      </w:r>
      <w:r>
        <w:rPr>
          <w:rFonts w:hint="eastAsia" w:ascii="Times New Roman" w:hAnsi="Times New Roman" w:eastAsia="宋体"/>
          <w:b/>
          <w:bCs/>
          <w:highlight w:val="none"/>
          <w:lang w:val="en-US" w:eastAsia="zh-CN"/>
        </w:rPr>
        <w:t>5</w:t>
      </w:r>
      <w:r>
        <w:rPr>
          <w:rFonts w:hint="default" w:ascii="Times New Roman" w:hAnsi="Times New Roman" w:eastAsia="宋体"/>
          <w:b/>
          <w:bCs/>
          <w:highlight w:val="none"/>
          <w:lang w:val="en-US" w:eastAsia="zh-CN"/>
        </w:rPr>
        <w:t xml:space="preserve"> </w:t>
      </w:r>
      <w:r>
        <w:rPr>
          <w:rFonts w:hint="default" w:ascii="Times New Roman" w:hAnsi="Times New Roman" w:eastAsia="宋体"/>
          <w:b w:val="0"/>
          <w:bCs w:val="0"/>
          <w:highlight w:val="none"/>
          <w:lang w:val="en-US" w:eastAsia="zh-CN"/>
        </w:rPr>
        <w:t>支护结构内力、土压力、孔隙水压力、锚杆轴力量测精度及分辨率应符合国家现行标准《建筑基坑工程监测技术标准》GB50497的有关规定</w:t>
      </w:r>
      <w:r>
        <w:rPr>
          <w:rFonts w:hint="eastAsia" w:ascii="Times New Roman" w:hAnsi="Times New Roman" w:eastAsia="宋体"/>
          <w:b w:val="0"/>
          <w:bCs w:val="0"/>
          <w:highlight w:val="none"/>
          <w:lang w:val="en-US" w:eastAsia="zh-CN"/>
        </w:rPr>
        <w:t>。</w:t>
      </w:r>
    </w:p>
    <w:p w14:paraId="2E63D809">
      <w:pPr>
        <w:pStyle w:val="3"/>
        <w:rPr>
          <w:rFonts w:hint="default" w:ascii="Times New Roman" w:hAnsi="Times New Roman" w:cs="Times New Roman" w:eastAsiaTheme="minorEastAsia"/>
          <w:sz w:val="28"/>
          <w:szCs w:val="28"/>
          <w:highlight w:val="none"/>
          <w:lang w:val="en-US" w:eastAsia="zh-CN"/>
        </w:rPr>
      </w:pPr>
      <w:bookmarkStart w:id="113" w:name="_Toc6292"/>
      <w:r>
        <w:rPr>
          <w:rFonts w:hint="eastAsia" w:ascii="Times New Roman" w:hAnsi="Times New Roman" w:cs="Times New Roman" w:eastAsiaTheme="minorEastAsia"/>
          <w:sz w:val="28"/>
          <w:szCs w:val="28"/>
          <w:highlight w:val="none"/>
          <w:lang w:val="en-US" w:eastAsia="zh-CN"/>
        </w:rPr>
        <w:t>7</w:t>
      </w:r>
      <w:r>
        <w:rPr>
          <w:rFonts w:hint="default" w:ascii="Times New Roman" w:hAnsi="Times New Roman" w:cs="Times New Roman" w:eastAsiaTheme="minorEastAsia"/>
          <w:sz w:val="28"/>
          <w:szCs w:val="28"/>
          <w:highlight w:val="none"/>
          <w:lang w:val="en-US" w:eastAsia="zh-CN"/>
        </w:rPr>
        <w:t>.3</w:t>
      </w:r>
      <w:r>
        <w:rPr>
          <w:rFonts w:hint="eastAsia" w:ascii="Times New Roman" w:hAnsi="Times New Roman" w:cs="Times New Roman" w:eastAsiaTheme="minorEastAsia"/>
          <w:sz w:val="28"/>
          <w:szCs w:val="28"/>
          <w:highlight w:val="none"/>
          <w:lang w:val="en-US" w:eastAsia="zh-CN"/>
        </w:rPr>
        <w:t>监测频率与预警</w:t>
      </w:r>
      <w:bookmarkEnd w:id="111"/>
      <w:bookmarkEnd w:id="112"/>
      <w:bookmarkEnd w:id="113"/>
    </w:p>
    <w:p w14:paraId="11ABAA9C">
      <w:pPr>
        <w:bidi w:val="0"/>
        <w:rPr>
          <w:rFonts w:hint="eastAsia"/>
          <w:highlight w:val="none"/>
          <w:lang w:val="en-US" w:eastAsia="zh-CN"/>
        </w:rPr>
      </w:pPr>
      <w:r>
        <w:rPr>
          <w:rFonts w:hint="eastAsia"/>
          <w:b/>
          <w:bCs/>
          <w:highlight w:val="none"/>
          <w:lang w:val="en-US" w:eastAsia="zh-CN"/>
        </w:rPr>
        <w:t>7</w:t>
      </w:r>
      <w:r>
        <w:rPr>
          <w:rFonts w:hint="default"/>
          <w:b/>
          <w:bCs/>
          <w:highlight w:val="none"/>
          <w:lang w:val="en-US" w:eastAsia="zh-CN"/>
        </w:rPr>
        <w:t>.3.1</w:t>
      </w:r>
      <w:r>
        <w:rPr>
          <w:rFonts w:hint="eastAsia"/>
          <w:highlight w:val="none"/>
          <w:lang w:val="en-US" w:eastAsia="zh-CN"/>
        </w:rPr>
        <w:t xml:space="preserve"> 加固施工的基坑监测周期应从基坑加固施工前开始，直至基坑回填完成为止。对有特殊要求的基坑周边环境的监测应根据需要延续至变形趋于稳定后结束。</w:t>
      </w:r>
    </w:p>
    <w:p w14:paraId="326E4610">
      <w:pPr>
        <w:spacing w:line="360" w:lineRule="auto"/>
        <w:rPr>
          <w:rFonts w:hint="eastAsia" w:ascii="Times New Roman" w:hAnsi="Times New Roman" w:eastAsia="楷体" w:cs="Times New Roman"/>
          <w:sz w:val="24"/>
          <w:highlight w:val="none"/>
          <w:u w:val="single"/>
          <w:lang w:val="en-US" w:eastAsia="zh-CN"/>
        </w:rPr>
      </w:pPr>
      <w:r>
        <w:rPr>
          <w:rFonts w:hint="eastAsia" w:ascii="Times New Roman" w:hAnsi="Times New Roman" w:eastAsia="楷体" w:cs="Times New Roman"/>
          <w:sz w:val="24"/>
          <w:highlight w:val="none"/>
          <w:u w:val="single"/>
          <w:lang w:val="zh-CN" w:eastAsia="zh-CN"/>
        </w:rPr>
        <w:t>【</w:t>
      </w:r>
      <w:r>
        <w:rPr>
          <w:rFonts w:hint="eastAsia" w:ascii="Times New Roman" w:hAnsi="Times New Roman" w:eastAsia="楷体" w:cs="Times New Roman"/>
          <w:sz w:val="24"/>
          <w:highlight w:val="none"/>
          <w:u w:val="single"/>
          <w:lang w:val="en-US" w:eastAsia="zh-CN"/>
        </w:rPr>
        <w:t>条文说明</w:t>
      </w:r>
      <w:r>
        <w:rPr>
          <w:rFonts w:hint="eastAsia" w:ascii="Times New Roman" w:hAnsi="Times New Roman" w:eastAsia="楷体" w:cs="Times New Roman"/>
          <w:sz w:val="24"/>
          <w:highlight w:val="none"/>
          <w:u w:val="single"/>
          <w:lang w:val="zh-CN" w:eastAsia="zh-CN"/>
        </w:rPr>
        <w:t>】</w:t>
      </w:r>
      <w:r>
        <w:rPr>
          <w:rFonts w:hint="eastAsia" w:ascii="Times New Roman" w:hAnsi="Times New Roman" w:eastAsia="楷体" w:cs="Times New Roman"/>
          <w:sz w:val="24"/>
          <w:highlight w:val="none"/>
          <w:u w:val="single"/>
          <w:lang w:val="en-US" w:eastAsia="zh-CN"/>
        </w:rPr>
        <w:t>监测周期</w:t>
      </w:r>
      <w:r>
        <w:rPr>
          <w:rFonts w:hint="default" w:ascii="Times New Roman" w:hAnsi="Times New Roman" w:eastAsia="楷体" w:cs="Times New Roman"/>
          <w:sz w:val="24"/>
          <w:highlight w:val="none"/>
          <w:u w:val="single"/>
          <w:lang w:val="en-US" w:eastAsia="zh-CN"/>
        </w:rPr>
        <w:t>需要覆盖基坑加固施工</w:t>
      </w:r>
      <w:r>
        <w:rPr>
          <w:rFonts w:hint="eastAsia" w:eastAsia="楷体" w:cs="Times New Roman"/>
          <w:sz w:val="24"/>
          <w:highlight w:val="none"/>
          <w:u w:val="single"/>
          <w:lang w:val="en-US" w:eastAsia="zh-CN"/>
        </w:rPr>
        <w:t>及使用</w:t>
      </w:r>
      <w:r>
        <w:rPr>
          <w:rFonts w:hint="default" w:ascii="Times New Roman" w:hAnsi="Times New Roman" w:eastAsia="楷体" w:cs="Times New Roman"/>
          <w:sz w:val="24"/>
          <w:highlight w:val="none"/>
          <w:u w:val="single"/>
          <w:lang w:val="en-US" w:eastAsia="zh-CN"/>
        </w:rPr>
        <w:t>的全过程，起始于施工前，以获取加固前的基准状态，全过程监控加固施工对基坑稳定性的影响以及新施作结构与基坑的相互作用，</w:t>
      </w:r>
      <w:r>
        <w:rPr>
          <w:rFonts w:ascii="Times New Roman" w:hAnsi="Times New Roman" w:eastAsia="楷体" w:cs="Times New Roman"/>
          <w:i w:val="0"/>
          <w:iCs w:val="0"/>
          <w:caps w:val="0"/>
          <w:color w:val="auto"/>
          <w:spacing w:val="0"/>
          <w:sz w:val="24"/>
          <w:szCs w:val="24"/>
          <w:highlight w:val="none"/>
          <w:u w:val="single"/>
          <w:shd w:val="clear" w:fill="auto"/>
        </w:rPr>
        <w:t>直至地下结构完成</w:t>
      </w:r>
      <w:r>
        <w:rPr>
          <w:rFonts w:hint="default" w:ascii="Times New Roman" w:hAnsi="Times New Roman" w:eastAsia="楷体" w:cs="Times New Roman"/>
          <w:i w:val="0"/>
          <w:iCs w:val="0"/>
          <w:caps w:val="0"/>
          <w:color w:val="auto"/>
          <w:spacing w:val="0"/>
          <w:sz w:val="24"/>
          <w:szCs w:val="24"/>
          <w:highlight w:val="none"/>
          <w:u w:val="single"/>
          <w:shd w:val="clear" w:fill="auto"/>
          <w:lang w:eastAsia="zh-CN"/>
        </w:rPr>
        <w:t>、</w:t>
      </w:r>
      <w:r>
        <w:rPr>
          <w:rFonts w:ascii="Times New Roman" w:hAnsi="Times New Roman" w:eastAsia="楷体" w:cs="Times New Roman"/>
          <w:i w:val="0"/>
          <w:iCs w:val="0"/>
          <w:caps w:val="0"/>
          <w:color w:val="auto"/>
          <w:spacing w:val="0"/>
          <w:sz w:val="24"/>
          <w:szCs w:val="24"/>
          <w:highlight w:val="none"/>
          <w:u w:val="single"/>
          <w:shd w:val="clear" w:fill="auto"/>
        </w:rPr>
        <w:t>基坑回填</w:t>
      </w:r>
      <w:r>
        <w:rPr>
          <w:rFonts w:hint="default" w:ascii="Times New Roman" w:hAnsi="Times New Roman" w:eastAsia="楷体" w:cs="Times New Roman"/>
          <w:i w:val="0"/>
          <w:iCs w:val="0"/>
          <w:caps w:val="0"/>
          <w:color w:val="auto"/>
          <w:spacing w:val="0"/>
          <w:sz w:val="24"/>
          <w:szCs w:val="24"/>
          <w:highlight w:val="none"/>
          <w:u w:val="single"/>
          <w:shd w:val="clear" w:fill="auto"/>
          <w:lang w:eastAsia="zh-CN"/>
        </w:rPr>
        <w:t>后</w:t>
      </w:r>
      <w:r>
        <w:rPr>
          <w:rFonts w:ascii="Times New Roman" w:hAnsi="Times New Roman" w:eastAsia="楷体" w:cs="Times New Roman"/>
          <w:i w:val="0"/>
          <w:iCs w:val="0"/>
          <w:caps w:val="0"/>
          <w:color w:val="auto"/>
          <w:spacing w:val="0"/>
          <w:sz w:val="24"/>
          <w:szCs w:val="24"/>
          <w:highlight w:val="none"/>
          <w:u w:val="single"/>
          <w:shd w:val="clear" w:fill="auto"/>
        </w:rPr>
        <w:t>结束</w:t>
      </w:r>
      <w:r>
        <w:rPr>
          <w:rFonts w:hint="default" w:ascii="Times New Roman" w:hAnsi="Times New Roman" w:eastAsia="楷体" w:cs="Times New Roman"/>
          <w:sz w:val="24"/>
          <w:highlight w:val="none"/>
          <w:u w:val="single"/>
          <w:lang w:val="en-US" w:eastAsia="zh-CN"/>
        </w:rPr>
        <w:t>。对于受基坑变形影响特别敏感或重要的周边环境对象（如古建筑、精密设施、运营地铁等），其监测工作需根据其安全要求或主管部门的规定，在主体工程完成后继续延续，直至其变形确认稳定在安全阈值内为止，以充分保障其长期安全。</w:t>
      </w:r>
    </w:p>
    <w:p w14:paraId="1327C141">
      <w:pPr>
        <w:bidi w:val="0"/>
        <w:rPr>
          <w:rFonts w:hint="eastAsia"/>
          <w:highlight w:val="none"/>
          <w:lang w:val="en-US" w:eastAsia="zh-CN"/>
        </w:rPr>
      </w:pPr>
      <w:r>
        <w:rPr>
          <w:rFonts w:hint="eastAsia"/>
          <w:b/>
          <w:bCs/>
          <w:highlight w:val="none"/>
          <w:lang w:val="en-US" w:eastAsia="zh-CN"/>
        </w:rPr>
        <w:t>7</w:t>
      </w:r>
      <w:r>
        <w:rPr>
          <w:rFonts w:hint="default"/>
          <w:b/>
          <w:bCs/>
          <w:highlight w:val="none"/>
          <w:lang w:val="en-US" w:eastAsia="zh-CN"/>
        </w:rPr>
        <w:t>.3.2</w:t>
      </w:r>
      <w:r>
        <w:rPr>
          <w:rFonts w:hint="eastAsia"/>
          <w:highlight w:val="none"/>
          <w:lang w:val="en-US" w:eastAsia="zh-CN"/>
        </w:rPr>
        <w:t xml:space="preserve"> 基坑加固施工期间监测频率不应少于每天一次，加固完成后，监测频率应符合现行国家标准《建筑基坑工程监测技术标准》GB50497的有关规定。</w:t>
      </w:r>
    </w:p>
    <w:p w14:paraId="3C6D8B55">
      <w:pPr>
        <w:spacing w:line="360" w:lineRule="auto"/>
        <w:rPr>
          <w:rFonts w:hint="eastAsia" w:ascii="Times New Roman" w:hAnsi="Times New Roman" w:eastAsia="楷体" w:cs="Times New Roman"/>
          <w:sz w:val="24"/>
          <w:highlight w:val="none"/>
          <w:u w:val="single"/>
          <w:lang w:val="en-US" w:eastAsia="zh-CN"/>
        </w:rPr>
      </w:pPr>
      <w:r>
        <w:rPr>
          <w:rFonts w:hint="eastAsia" w:ascii="Times New Roman" w:hAnsi="Times New Roman" w:eastAsia="楷体" w:cs="Times New Roman"/>
          <w:sz w:val="24"/>
          <w:highlight w:val="none"/>
          <w:u w:val="single"/>
          <w:lang w:val="zh-CN" w:eastAsia="zh-CN"/>
        </w:rPr>
        <w:t>【</w:t>
      </w:r>
      <w:r>
        <w:rPr>
          <w:rFonts w:hint="eastAsia" w:ascii="Times New Roman" w:hAnsi="Times New Roman" w:eastAsia="楷体" w:cs="Times New Roman"/>
          <w:sz w:val="24"/>
          <w:highlight w:val="none"/>
          <w:u w:val="single"/>
          <w:lang w:val="en-US" w:eastAsia="zh-CN"/>
        </w:rPr>
        <w:t>条文说明</w:t>
      </w:r>
      <w:r>
        <w:rPr>
          <w:rFonts w:hint="eastAsia" w:ascii="Times New Roman" w:hAnsi="Times New Roman" w:eastAsia="楷体" w:cs="Times New Roman"/>
          <w:sz w:val="24"/>
          <w:highlight w:val="none"/>
          <w:u w:val="single"/>
          <w:lang w:val="zh-CN" w:eastAsia="zh-CN"/>
        </w:rPr>
        <w:t>】</w:t>
      </w:r>
      <w:r>
        <w:rPr>
          <w:rFonts w:hint="default" w:ascii="Times New Roman" w:hAnsi="Times New Roman" w:eastAsia="楷体" w:cs="Times New Roman"/>
          <w:sz w:val="24"/>
          <w:highlight w:val="none"/>
          <w:u w:val="single"/>
          <w:lang w:val="en-US" w:eastAsia="zh-CN"/>
        </w:rPr>
        <w:t>加固施工期间是基坑风险动态变化最剧烈的阶段，施工扰动（如支护</w:t>
      </w:r>
      <w:r>
        <w:rPr>
          <w:rFonts w:hint="eastAsia" w:ascii="Times New Roman" w:hAnsi="Times New Roman" w:eastAsia="楷体" w:cs="Times New Roman"/>
          <w:sz w:val="24"/>
          <w:highlight w:val="none"/>
          <w:u w:val="single"/>
          <w:lang w:val="en-US" w:eastAsia="zh-CN"/>
        </w:rPr>
        <w:t>结构施工</w:t>
      </w:r>
      <w:r>
        <w:rPr>
          <w:rFonts w:hint="default" w:ascii="Times New Roman" w:hAnsi="Times New Roman" w:eastAsia="楷体" w:cs="Times New Roman"/>
          <w:sz w:val="24"/>
          <w:highlight w:val="none"/>
          <w:u w:val="single"/>
          <w:lang w:val="en-US" w:eastAsia="zh-CN"/>
        </w:rPr>
        <w:t>、注浆等）直接影响稳定性，需高频监测以</w:t>
      </w:r>
      <w:r>
        <w:rPr>
          <w:rFonts w:hint="eastAsia" w:ascii="Times New Roman" w:hAnsi="Times New Roman" w:eastAsia="楷体" w:cs="Times New Roman"/>
          <w:sz w:val="24"/>
          <w:highlight w:val="none"/>
          <w:u w:val="single"/>
          <w:lang w:val="en-US" w:eastAsia="zh-CN"/>
        </w:rPr>
        <w:t>掌握</w:t>
      </w:r>
      <w:r>
        <w:rPr>
          <w:rFonts w:hint="default" w:ascii="Times New Roman" w:hAnsi="Times New Roman" w:eastAsia="楷体" w:cs="Times New Roman"/>
          <w:sz w:val="24"/>
          <w:highlight w:val="none"/>
          <w:u w:val="single"/>
          <w:lang w:val="en-US" w:eastAsia="zh-CN"/>
        </w:rPr>
        <w:t>潜在的不利变形或应力突变，为风险动态管控和应急决策提供及时依据。加固工程主体完成后，基坑进入相对稳定期，其监测频率回归至常规模式，</w:t>
      </w:r>
      <w:r>
        <w:rPr>
          <w:rFonts w:hint="eastAsia" w:ascii="Times New Roman" w:hAnsi="Times New Roman" w:eastAsia="楷体" w:cs="Times New Roman"/>
          <w:sz w:val="24"/>
          <w:highlight w:val="none"/>
          <w:u w:val="single"/>
          <w:lang w:val="en-US" w:eastAsia="zh-CN"/>
        </w:rPr>
        <w:t>结合基坑继续开挖施工进度及变形情况，根据《建筑基坑工程监测技术标准》GB50497的有关规定合理选择监测频率。</w:t>
      </w:r>
    </w:p>
    <w:p w14:paraId="43CA8E8E">
      <w:pPr>
        <w:bidi w:val="0"/>
        <w:rPr>
          <w:rFonts w:hint="eastAsia"/>
          <w:highlight w:val="none"/>
          <w:lang w:val="en-US" w:eastAsia="zh-CN"/>
        </w:rPr>
      </w:pPr>
      <w:r>
        <w:rPr>
          <w:rFonts w:hint="eastAsia"/>
          <w:b/>
          <w:bCs/>
          <w:highlight w:val="none"/>
          <w:lang w:val="en-US" w:eastAsia="zh-CN"/>
        </w:rPr>
        <w:t>7</w:t>
      </w:r>
      <w:r>
        <w:rPr>
          <w:rFonts w:hint="default"/>
          <w:b/>
          <w:bCs/>
          <w:highlight w:val="none"/>
          <w:lang w:val="en-US" w:eastAsia="zh-CN"/>
        </w:rPr>
        <w:t>.3.</w:t>
      </w:r>
      <w:r>
        <w:rPr>
          <w:rFonts w:hint="eastAsia"/>
          <w:b/>
          <w:bCs/>
          <w:highlight w:val="none"/>
          <w:lang w:val="en-US" w:eastAsia="zh-CN"/>
        </w:rPr>
        <w:t>3</w:t>
      </w:r>
      <w:r>
        <w:rPr>
          <w:rFonts w:hint="eastAsia"/>
          <w:highlight w:val="none"/>
          <w:lang w:val="en-US" w:eastAsia="zh-CN"/>
        </w:rPr>
        <w:t xml:space="preserve"> </w:t>
      </w:r>
      <w:r>
        <w:rPr>
          <w:rFonts w:ascii="Segoe UI" w:hAnsi="Segoe UI" w:eastAsia="Segoe UI" w:cs="Segoe UI"/>
          <w:i w:val="0"/>
          <w:iCs w:val="0"/>
          <w:caps w:val="0"/>
          <w:color w:val="0F1115"/>
          <w:spacing w:val="0"/>
          <w:sz w:val="24"/>
          <w:szCs w:val="24"/>
          <w:highlight w:val="none"/>
          <w:shd w:val="clear" w:fill="FFFFFF"/>
        </w:rPr>
        <w:t>基坑加固工程的监测预警值应由加固设计方根据新的设计条件与安全状态重新设定。</w:t>
      </w:r>
    </w:p>
    <w:p w14:paraId="52953F7C">
      <w:pPr>
        <w:spacing w:line="360" w:lineRule="auto"/>
        <w:rPr>
          <w:rFonts w:hint="default" w:ascii="Times New Roman" w:hAnsi="Times New Roman" w:eastAsia="楷体" w:cs="Times New Roman"/>
          <w:sz w:val="24"/>
          <w:highlight w:val="none"/>
          <w:u w:val="single"/>
          <w:lang w:val="en-US" w:eastAsia="zh-CN"/>
        </w:rPr>
      </w:pPr>
      <w:r>
        <w:rPr>
          <w:rFonts w:hint="eastAsia" w:ascii="Times New Roman" w:hAnsi="Times New Roman" w:eastAsia="楷体" w:cs="Times New Roman"/>
          <w:sz w:val="24"/>
          <w:highlight w:val="none"/>
          <w:u w:val="single"/>
          <w:lang w:val="zh-CN" w:eastAsia="zh-CN"/>
        </w:rPr>
        <w:t>【</w:t>
      </w:r>
      <w:r>
        <w:rPr>
          <w:rFonts w:hint="eastAsia" w:ascii="Times New Roman" w:hAnsi="Times New Roman" w:eastAsia="楷体" w:cs="Times New Roman"/>
          <w:sz w:val="24"/>
          <w:highlight w:val="none"/>
          <w:u w:val="single"/>
          <w:lang w:val="en-US" w:eastAsia="zh-CN"/>
        </w:rPr>
        <w:t>条文说明</w:t>
      </w:r>
      <w:r>
        <w:rPr>
          <w:rFonts w:hint="eastAsia" w:ascii="Times New Roman" w:hAnsi="Times New Roman" w:eastAsia="楷体" w:cs="Times New Roman"/>
          <w:sz w:val="24"/>
          <w:highlight w:val="none"/>
          <w:u w:val="single"/>
          <w:lang w:val="zh-CN" w:eastAsia="zh-CN"/>
        </w:rPr>
        <w:t>】</w:t>
      </w:r>
      <w:r>
        <w:rPr>
          <w:rFonts w:hint="default" w:ascii="Times New Roman" w:hAnsi="Times New Roman" w:eastAsia="楷体" w:cs="Times New Roman"/>
          <w:sz w:val="24"/>
          <w:highlight w:val="none"/>
          <w:u w:val="single"/>
          <w:lang w:val="en-US" w:eastAsia="zh-CN"/>
        </w:rPr>
        <w:t>加固设计方作为最掌握支护体系性能演变、设计安全储备及周边环境控制标准的技术责任主体，由其确定涵盖整个加固过程及后续使用阶段的预警值，是确保预警值科学合理、动态匹配各阶段风险特征与设计目标的关键。</w:t>
      </w:r>
      <w:r>
        <w:rPr>
          <w:rFonts w:hint="eastAsia" w:ascii="Times New Roman" w:hAnsi="Times New Roman" w:eastAsia="楷体" w:cs="Times New Roman"/>
          <w:sz w:val="24"/>
          <w:highlight w:val="none"/>
          <w:u w:val="single"/>
          <w:lang w:val="en-US" w:eastAsia="zh-CN"/>
        </w:rPr>
        <w:t>加固基坑，其支护体系性能、变形允许极限及对周边环境的影响阈值</w:t>
      </w:r>
      <w:r>
        <w:rPr>
          <w:rFonts w:hint="default" w:ascii="Times New Roman" w:hAnsi="Times New Roman" w:eastAsia="楷体" w:cs="Times New Roman"/>
          <w:sz w:val="24"/>
          <w:highlight w:val="none"/>
          <w:u w:val="single"/>
          <w:lang w:val="en-US" w:eastAsia="zh-CN"/>
        </w:rPr>
        <w:t>通常</w:t>
      </w:r>
      <w:r>
        <w:rPr>
          <w:rFonts w:hint="eastAsia" w:ascii="Times New Roman" w:hAnsi="Times New Roman" w:eastAsia="楷体" w:cs="Times New Roman"/>
          <w:sz w:val="24"/>
          <w:highlight w:val="none"/>
          <w:u w:val="single"/>
          <w:lang w:val="en-US" w:eastAsia="zh-CN"/>
        </w:rPr>
        <w:t>会</w:t>
      </w:r>
      <w:r>
        <w:rPr>
          <w:rFonts w:hint="default" w:ascii="Times New Roman" w:hAnsi="Times New Roman" w:eastAsia="楷体" w:cs="Times New Roman"/>
          <w:sz w:val="24"/>
          <w:highlight w:val="none"/>
          <w:u w:val="single"/>
          <w:lang w:val="en-US" w:eastAsia="zh-CN"/>
        </w:rPr>
        <w:t>发生变化。例如，若基坑支护桩已发生50mm变形并超原</w:t>
      </w:r>
      <w:r>
        <w:rPr>
          <w:rFonts w:hint="eastAsia" w:ascii="Times New Roman" w:hAnsi="Times New Roman" w:eastAsia="楷体" w:cs="Times New Roman"/>
          <w:sz w:val="24"/>
          <w:highlight w:val="none"/>
          <w:u w:val="single"/>
          <w:lang w:val="en-US" w:eastAsia="zh-CN"/>
        </w:rPr>
        <w:t>预警值（40mm）</w:t>
      </w:r>
      <w:r>
        <w:rPr>
          <w:rFonts w:hint="default" w:ascii="Times New Roman" w:hAnsi="Times New Roman" w:eastAsia="楷体" w:cs="Times New Roman"/>
          <w:sz w:val="24"/>
          <w:highlight w:val="none"/>
          <w:u w:val="single"/>
          <w:lang w:val="en-US" w:eastAsia="zh-CN"/>
        </w:rPr>
        <w:t>，</w:t>
      </w:r>
      <w:r>
        <w:rPr>
          <w:rFonts w:hint="eastAsia" w:ascii="Times New Roman" w:hAnsi="Times New Roman" w:eastAsia="楷体" w:cs="Times New Roman"/>
          <w:sz w:val="24"/>
          <w:highlight w:val="none"/>
          <w:u w:val="single"/>
          <w:lang w:val="en-US" w:eastAsia="zh-CN"/>
        </w:rPr>
        <w:t>显然，利用原预警值进行控制已不合理。</w:t>
      </w:r>
      <w:r>
        <w:rPr>
          <w:rFonts w:hint="default" w:ascii="Times New Roman" w:hAnsi="Times New Roman" w:eastAsia="楷体" w:cs="Times New Roman"/>
          <w:sz w:val="24"/>
          <w:highlight w:val="none"/>
          <w:u w:val="single"/>
          <w:lang w:val="en-US" w:eastAsia="zh-CN"/>
        </w:rPr>
        <w:t>在进行</w:t>
      </w:r>
      <w:r>
        <w:rPr>
          <w:rFonts w:hint="eastAsia" w:ascii="Times New Roman" w:hAnsi="Times New Roman" w:eastAsia="楷体" w:cs="Times New Roman"/>
          <w:sz w:val="24"/>
          <w:highlight w:val="none"/>
          <w:u w:val="single"/>
          <w:lang w:val="en-US" w:eastAsia="zh-CN"/>
        </w:rPr>
        <w:t>基坑</w:t>
      </w:r>
      <w:r>
        <w:rPr>
          <w:rFonts w:hint="default" w:ascii="Times New Roman" w:hAnsi="Times New Roman" w:eastAsia="楷体" w:cs="Times New Roman"/>
          <w:sz w:val="24"/>
          <w:highlight w:val="none"/>
          <w:u w:val="single"/>
          <w:lang w:val="en-US" w:eastAsia="zh-CN"/>
        </w:rPr>
        <w:t>加固</w:t>
      </w:r>
      <w:r>
        <w:rPr>
          <w:rFonts w:hint="eastAsia" w:ascii="Times New Roman" w:hAnsi="Times New Roman" w:eastAsia="楷体" w:cs="Times New Roman"/>
          <w:sz w:val="24"/>
          <w:highlight w:val="none"/>
          <w:u w:val="single"/>
          <w:lang w:val="en-US" w:eastAsia="zh-CN"/>
        </w:rPr>
        <w:t>设计</w:t>
      </w:r>
      <w:r>
        <w:rPr>
          <w:rFonts w:hint="default" w:ascii="Times New Roman" w:hAnsi="Times New Roman" w:eastAsia="楷体" w:cs="Times New Roman"/>
          <w:sz w:val="24"/>
          <w:highlight w:val="none"/>
          <w:u w:val="single"/>
          <w:lang w:val="en-US" w:eastAsia="zh-CN"/>
        </w:rPr>
        <w:t>时，</w:t>
      </w:r>
      <w:r>
        <w:rPr>
          <w:rFonts w:hint="eastAsia" w:ascii="Times New Roman" w:hAnsi="Times New Roman" w:eastAsia="楷体" w:cs="Times New Roman"/>
          <w:sz w:val="24"/>
          <w:highlight w:val="none"/>
          <w:u w:val="single"/>
          <w:lang w:val="en-US" w:eastAsia="zh-CN"/>
        </w:rPr>
        <w:t>需重新设定</w:t>
      </w:r>
      <w:r>
        <w:rPr>
          <w:rFonts w:hint="default" w:ascii="Times New Roman" w:hAnsi="Times New Roman" w:eastAsia="楷体" w:cs="Times New Roman"/>
          <w:sz w:val="24"/>
          <w:highlight w:val="none"/>
          <w:u w:val="single"/>
          <w:lang w:val="en-US" w:eastAsia="zh-CN"/>
        </w:rPr>
        <w:t>预警值</w:t>
      </w:r>
      <w:r>
        <w:rPr>
          <w:rFonts w:hint="eastAsia" w:ascii="Times New Roman" w:hAnsi="Times New Roman" w:eastAsia="楷体" w:cs="Times New Roman"/>
          <w:sz w:val="24"/>
          <w:highlight w:val="none"/>
          <w:u w:val="single"/>
          <w:lang w:val="en-US" w:eastAsia="zh-CN"/>
        </w:rPr>
        <w:t>，</w:t>
      </w:r>
      <w:r>
        <w:rPr>
          <w:rFonts w:hint="default" w:ascii="Times New Roman" w:hAnsi="Times New Roman" w:eastAsia="楷体" w:cs="Times New Roman"/>
          <w:sz w:val="24"/>
          <w:highlight w:val="none"/>
          <w:u w:val="single"/>
          <w:lang w:val="en-US" w:eastAsia="zh-CN"/>
        </w:rPr>
        <w:t>如</w:t>
      </w:r>
      <w:r>
        <w:rPr>
          <w:rFonts w:hint="eastAsia" w:ascii="Times New Roman" w:hAnsi="Times New Roman" w:eastAsia="楷体" w:cs="Times New Roman"/>
          <w:sz w:val="24"/>
          <w:highlight w:val="none"/>
          <w:u w:val="single"/>
          <w:lang w:val="en-US" w:eastAsia="zh-CN"/>
        </w:rPr>
        <w:t>后续允许变形</w:t>
      </w:r>
      <w:r>
        <w:rPr>
          <w:rFonts w:hint="default" w:ascii="Times New Roman" w:hAnsi="Times New Roman" w:eastAsia="楷体" w:cs="Times New Roman"/>
          <w:sz w:val="24"/>
          <w:highlight w:val="none"/>
          <w:u w:val="single"/>
          <w:lang w:val="en-US" w:eastAsia="zh-CN"/>
        </w:rPr>
        <w:t>不超过</w:t>
      </w:r>
      <w:r>
        <w:rPr>
          <w:rFonts w:hint="eastAsia" w:ascii="Times New Roman" w:hAnsi="Times New Roman" w:eastAsia="楷体" w:cs="Times New Roman"/>
          <w:sz w:val="24"/>
          <w:highlight w:val="none"/>
          <w:u w:val="single"/>
          <w:lang w:val="en-US" w:eastAsia="zh-CN"/>
        </w:rPr>
        <w:t>1</w:t>
      </w:r>
      <w:r>
        <w:rPr>
          <w:rFonts w:hint="default" w:ascii="Times New Roman" w:hAnsi="Times New Roman" w:eastAsia="楷体" w:cs="Times New Roman"/>
          <w:sz w:val="24"/>
          <w:highlight w:val="none"/>
          <w:u w:val="single"/>
          <w:lang w:val="en-US" w:eastAsia="zh-CN"/>
        </w:rPr>
        <w:t>5mm</w:t>
      </w:r>
      <w:r>
        <w:rPr>
          <w:rFonts w:hint="eastAsia" w:ascii="Times New Roman" w:hAnsi="Times New Roman" w:eastAsia="楷体" w:cs="Times New Roman"/>
          <w:sz w:val="24"/>
          <w:highlight w:val="none"/>
          <w:u w:val="single"/>
          <w:lang w:val="en-US" w:eastAsia="zh-CN"/>
        </w:rPr>
        <w:t>，</w:t>
      </w:r>
      <w:r>
        <w:rPr>
          <w:rFonts w:hint="default" w:ascii="Times New Roman" w:hAnsi="Times New Roman" w:eastAsia="楷体" w:cs="Times New Roman"/>
          <w:sz w:val="24"/>
          <w:highlight w:val="none"/>
          <w:u w:val="single"/>
          <w:lang w:val="en-US" w:eastAsia="zh-CN"/>
        </w:rPr>
        <w:t>变化速率≤2mm/天，以实时控制加固施工带来的扰动并验证效果；</w:t>
      </w:r>
      <w:r>
        <w:rPr>
          <w:rFonts w:hint="eastAsia" w:ascii="Times New Roman" w:hAnsi="Times New Roman" w:eastAsia="楷体" w:cs="Times New Roman"/>
          <w:sz w:val="24"/>
          <w:highlight w:val="none"/>
          <w:u w:val="single"/>
          <w:lang w:val="en-US" w:eastAsia="zh-CN"/>
        </w:rPr>
        <w:t>又如</w:t>
      </w:r>
      <w:r>
        <w:rPr>
          <w:rFonts w:hint="default" w:ascii="Times New Roman" w:hAnsi="Times New Roman" w:eastAsia="楷体" w:cs="Times New Roman"/>
          <w:sz w:val="24"/>
          <w:highlight w:val="none"/>
          <w:u w:val="single"/>
          <w:lang w:val="en-US" w:eastAsia="zh-CN"/>
        </w:rPr>
        <w:t>基坑</w:t>
      </w:r>
      <w:r>
        <w:rPr>
          <w:rFonts w:hint="eastAsia" w:ascii="Times New Roman" w:hAnsi="Times New Roman" w:eastAsia="楷体" w:cs="Times New Roman"/>
          <w:sz w:val="24"/>
          <w:highlight w:val="none"/>
          <w:u w:val="single"/>
          <w:lang w:val="en-US" w:eastAsia="zh-CN"/>
        </w:rPr>
        <w:t>变形</w:t>
      </w:r>
      <w:r>
        <w:rPr>
          <w:rFonts w:hint="default" w:ascii="Times New Roman" w:hAnsi="Times New Roman" w:eastAsia="楷体" w:cs="Times New Roman"/>
          <w:sz w:val="24"/>
          <w:highlight w:val="none"/>
          <w:u w:val="single"/>
          <w:lang w:val="en-US" w:eastAsia="zh-CN"/>
        </w:rPr>
        <w:t>未超原预警但需加深开挖而新增支撑时，为保护邻近</w:t>
      </w:r>
      <w:r>
        <w:rPr>
          <w:rFonts w:hint="eastAsia" w:ascii="Times New Roman" w:hAnsi="Times New Roman" w:eastAsia="楷体" w:cs="Times New Roman"/>
          <w:sz w:val="24"/>
          <w:highlight w:val="none"/>
          <w:u w:val="single"/>
          <w:lang w:val="en-US" w:eastAsia="zh-CN"/>
        </w:rPr>
        <w:t>对象</w:t>
      </w:r>
      <w:r>
        <w:rPr>
          <w:rFonts w:hint="default" w:ascii="Times New Roman" w:hAnsi="Times New Roman" w:eastAsia="楷体" w:cs="Times New Roman"/>
          <w:sz w:val="24"/>
          <w:highlight w:val="none"/>
          <w:u w:val="single"/>
          <w:lang w:val="en-US" w:eastAsia="zh-CN"/>
        </w:rPr>
        <w:t>，须根据新的计算模型和环境要求，提</w:t>
      </w:r>
      <w:r>
        <w:rPr>
          <w:rFonts w:hint="eastAsia" w:ascii="Times New Roman" w:hAnsi="Times New Roman" w:eastAsia="楷体" w:cs="Times New Roman"/>
          <w:sz w:val="24"/>
          <w:highlight w:val="none"/>
          <w:u w:val="single"/>
          <w:lang w:val="en-US" w:eastAsia="zh-CN"/>
        </w:rPr>
        <w:t>出扣除既有变形量的</w:t>
      </w:r>
      <w:r>
        <w:rPr>
          <w:rFonts w:hint="default" w:ascii="Times New Roman" w:hAnsi="Times New Roman" w:eastAsia="楷体" w:cs="Times New Roman"/>
          <w:sz w:val="24"/>
          <w:highlight w:val="none"/>
          <w:u w:val="single"/>
          <w:lang w:val="en-US" w:eastAsia="zh-CN"/>
        </w:rPr>
        <w:t>变形控制标准</w:t>
      </w:r>
      <w:r>
        <w:rPr>
          <w:rFonts w:hint="eastAsia" w:ascii="Times New Roman" w:hAnsi="Times New Roman" w:eastAsia="楷体" w:cs="Times New Roman"/>
          <w:sz w:val="24"/>
          <w:highlight w:val="none"/>
          <w:u w:val="single"/>
          <w:lang w:val="en-US" w:eastAsia="zh-CN"/>
        </w:rPr>
        <w:t>，</w:t>
      </w:r>
      <w:r>
        <w:rPr>
          <w:rFonts w:hint="default" w:ascii="Times New Roman" w:hAnsi="Times New Roman" w:eastAsia="楷体" w:cs="Times New Roman"/>
          <w:sz w:val="24"/>
          <w:highlight w:val="none"/>
          <w:u w:val="single"/>
          <w:lang w:val="en-US" w:eastAsia="zh-CN"/>
        </w:rPr>
        <w:t>如</w:t>
      </w:r>
      <w:r>
        <w:rPr>
          <w:rFonts w:hint="eastAsia" w:ascii="Times New Roman" w:hAnsi="Times New Roman" w:eastAsia="楷体" w:cs="Times New Roman"/>
          <w:sz w:val="24"/>
          <w:highlight w:val="none"/>
          <w:u w:val="single"/>
          <w:lang w:val="en-US" w:eastAsia="zh-CN"/>
        </w:rPr>
        <w:t>后续</w:t>
      </w:r>
      <w:r>
        <w:rPr>
          <w:rFonts w:hint="default" w:ascii="Times New Roman" w:hAnsi="Times New Roman" w:eastAsia="楷体" w:cs="Times New Roman"/>
          <w:sz w:val="24"/>
          <w:highlight w:val="none"/>
          <w:u w:val="single"/>
          <w:lang w:val="en-US" w:eastAsia="zh-CN"/>
        </w:rPr>
        <w:t>沉降≤</w:t>
      </w:r>
      <w:r>
        <w:rPr>
          <w:rFonts w:hint="eastAsia" w:ascii="Times New Roman" w:hAnsi="Times New Roman" w:eastAsia="楷体" w:cs="Times New Roman"/>
          <w:sz w:val="24"/>
          <w:highlight w:val="none"/>
          <w:u w:val="single"/>
          <w:lang w:val="en-US" w:eastAsia="zh-CN"/>
        </w:rPr>
        <w:t>1</w:t>
      </w:r>
      <w:r>
        <w:rPr>
          <w:rFonts w:hint="default" w:ascii="Times New Roman" w:hAnsi="Times New Roman" w:eastAsia="楷体" w:cs="Times New Roman"/>
          <w:sz w:val="24"/>
          <w:highlight w:val="none"/>
          <w:u w:val="single"/>
          <w:lang w:val="en-US" w:eastAsia="zh-CN"/>
        </w:rPr>
        <w:t>0mm。重新设定预警值是对基坑安全状态的一次关键重校准，为加固期间及后续施工提供精确的安全控制依据。</w:t>
      </w:r>
    </w:p>
    <w:p w14:paraId="1C58520D">
      <w:pPr>
        <w:bidi w:val="0"/>
        <w:rPr>
          <w:rFonts w:hint="eastAsia"/>
          <w:highlight w:val="none"/>
          <w:lang w:val="en-US" w:eastAsia="zh-CN"/>
        </w:rPr>
      </w:pPr>
      <w:r>
        <w:rPr>
          <w:rFonts w:hint="eastAsia"/>
          <w:b/>
          <w:bCs/>
          <w:highlight w:val="none"/>
          <w:lang w:val="en-US" w:eastAsia="zh-CN"/>
        </w:rPr>
        <w:t>7</w:t>
      </w:r>
      <w:r>
        <w:rPr>
          <w:rFonts w:hint="default"/>
          <w:b/>
          <w:bCs/>
          <w:highlight w:val="none"/>
          <w:lang w:val="en-US" w:eastAsia="zh-CN"/>
        </w:rPr>
        <w:t>.3.</w:t>
      </w:r>
      <w:r>
        <w:rPr>
          <w:rFonts w:hint="eastAsia"/>
          <w:b/>
          <w:bCs/>
          <w:highlight w:val="none"/>
          <w:lang w:val="en-US" w:eastAsia="zh-CN"/>
        </w:rPr>
        <w:t>4</w:t>
      </w:r>
      <w:r>
        <w:rPr>
          <w:rFonts w:hint="eastAsia"/>
          <w:highlight w:val="none"/>
          <w:lang w:val="en-US" w:eastAsia="zh-CN"/>
        </w:rPr>
        <w:t>当出现下列情况之一时，应立即预警，通知有关各方及时分析原因并采取相应措施。</w:t>
      </w:r>
    </w:p>
    <w:p w14:paraId="52CDA66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  新增监测点或利用原监测点的监测项目扣除既有累计值后，达到加固基坑新设定的累计预警值；</w:t>
      </w:r>
    </w:p>
    <w:p w14:paraId="61F2495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  监测项目的变化速率达到新设定的变化速率预警值或连续3次超过该值的70%。</w:t>
      </w:r>
    </w:p>
    <w:p w14:paraId="62663F3D">
      <w:pPr>
        <w:pStyle w:val="3"/>
        <w:rPr>
          <w:rFonts w:hint="default" w:ascii="Times New Roman" w:hAnsi="Times New Roman" w:cs="Times New Roman" w:eastAsiaTheme="minorEastAsia"/>
          <w:sz w:val="28"/>
          <w:szCs w:val="28"/>
          <w:highlight w:val="none"/>
          <w:lang w:val="en-US" w:eastAsia="zh-CN"/>
        </w:rPr>
      </w:pPr>
      <w:bookmarkStart w:id="114" w:name="_Toc25841"/>
      <w:bookmarkStart w:id="115" w:name="_Toc8007"/>
      <w:bookmarkStart w:id="116" w:name="_Toc5950"/>
      <w:r>
        <w:rPr>
          <w:rFonts w:hint="eastAsia" w:ascii="Times New Roman" w:hAnsi="Times New Roman" w:cs="Times New Roman" w:eastAsiaTheme="minorEastAsia"/>
          <w:sz w:val="28"/>
          <w:szCs w:val="28"/>
          <w:highlight w:val="none"/>
          <w:lang w:val="en-US" w:eastAsia="zh-CN"/>
        </w:rPr>
        <w:t>7</w:t>
      </w:r>
      <w:r>
        <w:rPr>
          <w:rFonts w:hint="default" w:ascii="Times New Roman" w:hAnsi="Times New Roman" w:cs="Times New Roman" w:eastAsiaTheme="minorEastAsia"/>
          <w:sz w:val="28"/>
          <w:szCs w:val="28"/>
          <w:highlight w:val="none"/>
          <w:lang w:val="en-US" w:eastAsia="zh-CN"/>
        </w:rPr>
        <w:t>.4</w:t>
      </w:r>
      <w:r>
        <w:rPr>
          <w:rFonts w:hint="eastAsia" w:ascii="Times New Roman" w:hAnsi="Times New Roman" w:cs="Times New Roman" w:eastAsiaTheme="minorEastAsia"/>
          <w:sz w:val="28"/>
          <w:szCs w:val="28"/>
          <w:highlight w:val="none"/>
          <w:lang w:val="en-US" w:eastAsia="zh-CN"/>
        </w:rPr>
        <w:t>监测报告与成果</w:t>
      </w:r>
      <w:bookmarkEnd w:id="114"/>
      <w:bookmarkEnd w:id="115"/>
      <w:bookmarkEnd w:id="116"/>
    </w:p>
    <w:p w14:paraId="31BC45A0">
      <w:pPr>
        <w:bidi w:val="0"/>
        <w:rPr>
          <w:rFonts w:hint="eastAsia"/>
          <w:highlight w:val="none"/>
          <w:lang w:val="en-US" w:eastAsia="zh-CN"/>
        </w:rPr>
      </w:pPr>
      <w:r>
        <w:rPr>
          <w:rFonts w:hint="eastAsia"/>
          <w:b/>
          <w:bCs/>
          <w:highlight w:val="none"/>
          <w:lang w:val="en-US" w:eastAsia="zh-CN"/>
        </w:rPr>
        <w:t>7</w:t>
      </w:r>
      <w:r>
        <w:rPr>
          <w:rFonts w:hint="default"/>
          <w:b/>
          <w:bCs/>
          <w:highlight w:val="none"/>
          <w:lang w:val="en-US" w:eastAsia="zh-CN"/>
        </w:rPr>
        <w:t>.4.</w:t>
      </w:r>
      <w:r>
        <w:rPr>
          <w:rFonts w:hint="eastAsia"/>
          <w:b/>
          <w:bCs/>
          <w:highlight w:val="none"/>
          <w:lang w:val="en-US" w:eastAsia="zh-CN"/>
        </w:rPr>
        <w:t>1</w:t>
      </w:r>
      <w:r>
        <w:rPr>
          <w:rFonts w:hint="eastAsia"/>
          <w:highlight w:val="none"/>
          <w:lang w:val="en-US" w:eastAsia="zh-CN"/>
        </w:rPr>
        <w:t xml:space="preserve"> 基坑监测成果资料应完整、清晰、签署齐全，监测成果应包括现场监测资料、计算分析资料、图表、技术成果报告等。</w:t>
      </w:r>
    </w:p>
    <w:p w14:paraId="0DF4D217">
      <w:pPr>
        <w:spacing w:line="360" w:lineRule="auto"/>
        <w:rPr>
          <w:rFonts w:hint="eastAsia" w:ascii="Times New Roman" w:hAnsi="Times New Roman" w:eastAsia="楷体" w:cs="Times New Roman"/>
          <w:sz w:val="24"/>
          <w:highlight w:val="none"/>
          <w:u w:val="single"/>
          <w:lang w:val="en-US" w:eastAsia="zh-CN"/>
        </w:rPr>
      </w:pPr>
      <w:r>
        <w:rPr>
          <w:rFonts w:hint="eastAsia" w:ascii="Times New Roman" w:hAnsi="Times New Roman" w:eastAsia="楷体" w:cs="Times New Roman"/>
          <w:sz w:val="24"/>
          <w:highlight w:val="none"/>
          <w:u w:val="single"/>
          <w:lang w:val="zh-CN" w:eastAsia="zh-CN"/>
        </w:rPr>
        <w:t>【</w:t>
      </w:r>
      <w:r>
        <w:rPr>
          <w:rFonts w:hint="eastAsia" w:ascii="Times New Roman" w:hAnsi="Times New Roman" w:eastAsia="楷体" w:cs="Times New Roman"/>
          <w:sz w:val="24"/>
          <w:highlight w:val="none"/>
          <w:u w:val="single"/>
          <w:lang w:val="en-US" w:eastAsia="zh-CN"/>
        </w:rPr>
        <w:t>条文说明</w:t>
      </w:r>
      <w:r>
        <w:rPr>
          <w:rFonts w:hint="eastAsia" w:ascii="Times New Roman" w:hAnsi="Times New Roman" w:eastAsia="楷体" w:cs="Times New Roman"/>
          <w:sz w:val="24"/>
          <w:highlight w:val="none"/>
          <w:u w:val="single"/>
          <w:lang w:val="zh-CN" w:eastAsia="zh-CN"/>
        </w:rPr>
        <w:t>】</w:t>
      </w:r>
      <w:r>
        <w:rPr>
          <w:rFonts w:hint="eastAsia" w:ascii="Times New Roman" w:hAnsi="Times New Roman" w:eastAsia="楷体" w:cs="Times New Roman"/>
          <w:sz w:val="24"/>
          <w:highlight w:val="none"/>
          <w:u w:val="single"/>
          <w:lang w:val="en-US" w:eastAsia="zh-CN"/>
        </w:rPr>
        <w:t>监测单位</w:t>
      </w:r>
      <w:r>
        <w:rPr>
          <w:rFonts w:hint="default" w:ascii="Times New Roman" w:hAnsi="Times New Roman" w:eastAsia="楷体" w:cs="Times New Roman"/>
          <w:sz w:val="24"/>
          <w:highlight w:val="none"/>
          <w:u w:val="single"/>
          <w:lang w:val="en-US" w:eastAsia="zh-CN"/>
        </w:rPr>
        <w:t>承担着对监测方案全过程执行（包括人员、设备、方法、频率等要素的落实）以及最终所提交监测技术成果（数据、报告、预警信息等）真实性、可靠性负全责的法律与技术责任</w:t>
      </w:r>
      <w:r>
        <w:rPr>
          <w:rFonts w:hint="eastAsia" w:ascii="Times New Roman" w:hAnsi="Times New Roman" w:eastAsia="楷体" w:cs="Times New Roman"/>
          <w:sz w:val="24"/>
          <w:highlight w:val="none"/>
          <w:u w:val="single"/>
          <w:lang w:val="en-US" w:eastAsia="zh-CN"/>
        </w:rPr>
        <w:t>，签字与盖章是</w:t>
      </w:r>
      <w:r>
        <w:rPr>
          <w:rFonts w:hint="default" w:ascii="Times New Roman" w:hAnsi="Times New Roman" w:eastAsia="楷体" w:cs="Times New Roman"/>
          <w:sz w:val="24"/>
          <w:highlight w:val="none"/>
          <w:u w:val="single"/>
          <w:lang w:val="en-US" w:eastAsia="zh-CN"/>
        </w:rPr>
        <w:t>责任归属的明确标识，也是质量控制的重要环节，旨在杜绝虚假数据、提升成果可信度，并为可能的质量追溯或责任界定提供法定依据</w:t>
      </w:r>
      <w:r>
        <w:rPr>
          <w:rFonts w:hint="eastAsia" w:ascii="Times New Roman" w:hAnsi="Times New Roman" w:eastAsia="楷体" w:cs="Times New Roman"/>
          <w:sz w:val="24"/>
          <w:highlight w:val="none"/>
          <w:u w:val="single"/>
          <w:lang w:val="en-US" w:eastAsia="zh-CN"/>
        </w:rPr>
        <w:t>。</w:t>
      </w:r>
    </w:p>
    <w:p w14:paraId="2A479D39">
      <w:pPr>
        <w:bidi w:val="0"/>
        <w:rPr>
          <w:rFonts w:hint="eastAsia"/>
          <w:highlight w:val="none"/>
          <w:lang w:val="en-US" w:eastAsia="zh-CN"/>
        </w:rPr>
      </w:pPr>
      <w:r>
        <w:rPr>
          <w:rFonts w:hint="eastAsia"/>
          <w:b/>
          <w:bCs/>
          <w:highlight w:val="none"/>
          <w:lang w:val="en-US" w:eastAsia="zh-CN"/>
        </w:rPr>
        <w:t>7</w:t>
      </w:r>
      <w:r>
        <w:rPr>
          <w:rFonts w:hint="default"/>
          <w:b/>
          <w:bCs/>
          <w:highlight w:val="none"/>
          <w:lang w:val="en-US" w:eastAsia="zh-CN"/>
        </w:rPr>
        <w:t>.4.</w:t>
      </w:r>
      <w:r>
        <w:rPr>
          <w:rFonts w:hint="eastAsia"/>
          <w:b/>
          <w:bCs/>
          <w:highlight w:val="none"/>
          <w:lang w:val="en-US" w:eastAsia="zh-CN"/>
        </w:rPr>
        <w:t>2</w:t>
      </w:r>
      <w:r>
        <w:rPr>
          <w:rFonts w:hint="eastAsia"/>
          <w:highlight w:val="none"/>
          <w:lang w:val="en-US" w:eastAsia="zh-CN"/>
        </w:rPr>
        <w:t xml:space="preserve"> 现场监测资料宜包括外业观测记录、巡视检查记录、记事项目、视频及仪器电子数据资料等。</w:t>
      </w:r>
    </w:p>
    <w:p w14:paraId="67DED7A8">
      <w:pPr>
        <w:bidi w:val="0"/>
        <w:rPr>
          <w:rFonts w:hint="eastAsia"/>
          <w:highlight w:val="none"/>
          <w:lang w:val="en-US" w:eastAsia="zh-CN"/>
        </w:rPr>
      </w:pPr>
      <w:r>
        <w:rPr>
          <w:rFonts w:hint="eastAsia"/>
          <w:b/>
          <w:bCs/>
          <w:highlight w:val="none"/>
          <w:lang w:val="en-US" w:eastAsia="zh-CN"/>
        </w:rPr>
        <w:t>7</w:t>
      </w:r>
      <w:r>
        <w:rPr>
          <w:rFonts w:hint="default"/>
          <w:b/>
          <w:bCs/>
          <w:highlight w:val="none"/>
          <w:lang w:val="en-US" w:eastAsia="zh-CN"/>
        </w:rPr>
        <w:t>.4.</w:t>
      </w:r>
      <w:r>
        <w:rPr>
          <w:rFonts w:hint="eastAsia"/>
          <w:b/>
          <w:bCs/>
          <w:highlight w:val="none"/>
          <w:lang w:val="en-US" w:eastAsia="zh-CN"/>
        </w:rPr>
        <w:t>3</w:t>
      </w:r>
      <w:r>
        <w:rPr>
          <w:rFonts w:hint="eastAsia"/>
          <w:highlight w:val="none"/>
          <w:lang w:val="en-US" w:eastAsia="zh-CN"/>
        </w:rPr>
        <w:t xml:space="preserve"> 取得现场监测资料后，应及时进行整理、分析和校对。监测数据出现异常时，应分析原因，必要时应进行复测。</w:t>
      </w:r>
    </w:p>
    <w:p w14:paraId="51E0B6D3">
      <w:pPr>
        <w:bidi w:val="0"/>
        <w:rPr>
          <w:rFonts w:hint="eastAsia"/>
          <w:highlight w:val="none"/>
          <w:lang w:val="en-US" w:eastAsia="zh-CN"/>
        </w:rPr>
      </w:pPr>
      <w:r>
        <w:rPr>
          <w:rFonts w:hint="eastAsia"/>
          <w:b/>
          <w:bCs/>
          <w:highlight w:val="none"/>
          <w:lang w:val="en-US" w:eastAsia="zh-CN"/>
        </w:rPr>
        <w:t>7</w:t>
      </w:r>
      <w:r>
        <w:rPr>
          <w:rFonts w:hint="default"/>
          <w:b/>
          <w:bCs/>
          <w:highlight w:val="none"/>
          <w:lang w:val="en-US" w:eastAsia="zh-CN"/>
        </w:rPr>
        <w:t>.4.</w:t>
      </w:r>
      <w:r>
        <w:rPr>
          <w:rFonts w:hint="eastAsia"/>
          <w:b/>
          <w:bCs/>
          <w:highlight w:val="none"/>
          <w:lang w:val="en-US" w:eastAsia="zh-CN"/>
        </w:rPr>
        <w:t xml:space="preserve">4 </w:t>
      </w:r>
      <w:r>
        <w:rPr>
          <w:rFonts w:hint="eastAsia"/>
          <w:highlight w:val="none"/>
          <w:lang w:val="en-US" w:eastAsia="zh-CN"/>
        </w:rPr>
        <w:t>监测数据应及时计算累计变化值、变化速率值，绘制变化曲线，并应结合施工工况、地质条件、环境条件以及相关监测项目分析监测数据的变化原因和变化规律。</w:t>
      </w:r>
    </w:p>
    <w:p w14:paraId="42B5931E">
      <w:pPr>
        <w:bidi w:val="0"/>
        <w:rPr>
          <w:rFonts w:hint="eastAsia"/>
          <w:highlight w:val="none"/>
          <w:lang w:val="en-US" w:eastAsia="zh-CN"/>
        </w:rPr>
      </w:pPr>
      <w:r>
        <w:rPr>
          <w:rFonts w:hint="eastAsia"/>
          <w:b/>
          <w:bCs/>
          <w:highlight w:val="none"/>
          <w:lang w:val="en-US" w:eastAsia="zh-CN"/>
        </w:rPr>
        <w:t>7</w:t>
      </w:r>
      <w:r>
        <w:rPr>
          <w:rFonts w:hint="default"/>
          <w:b/>
          <w:bCs/>
          <w:highlight w:val="none"/>
          <w:lang w:val="en-US" w:eastAsia="zh-CN"/>
        </w:rPr>
        <w:t>.4.</w:t>
      </w:r>
      <w:r>
        <w:rPr>
          <w:rFonts w:hint="eastAsia"/>
          <w:b/>
          <w:bCs/>
          <w:highlight w:val="none"/>
          <w:lang w:val="en-US" w:eastAsia="zh-CN"/>
        </w:rPr>
        <w:t>5</w:t>
      </w:r>
      <w:r>
        <w:rPr>
          <w:rFonts w:hint="eastAsia"/>
          <w:highlight w:val="none"/>
          <w:lang w:val="en-US" w:eastAsia="zh-CN"/>
        </w:rPr>
        <w:t xml:space="preserve"> 技术成果报告应包括日报表、阶段性报告和总结报告，技术成果报告提供的内容应真实、准确、完整，并宜用文字阐述与绘制变化曲线或图形相结合的形式表达。技术成果报告应按时报送。</w:t>
      </w:r>
    </w:p>
    <w:p w14:paraId="075E51DC">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default" w:ascii="Times New Roman" w:hAnsi="Times New Roman" w:eastAsia="宋体" w:cs="Times New Roman"/>
          <w:sz w:val="28"/>
          <w:szCs w:val="28"/>
          <w:highlight w:val="none"/>
        </w:rPr>
        <w:sectPr>
          <w:pgSz w:w="11906" w:h="16838"/>
          <w:pgMar w:top="2098" w:right="1474" w:bottom="1417" w:left="1587" w:header="851" w:footer="992" w:gutter="0"/>
          <w:cols w:space="720" w:num="1"/>
          <w:docGrid w:type="lines" w:linePitch="312" w:charSpace="0"/>
        </w:sectPr>
      </w:pPr>
      <w:r>
        <w:rPr>
          <w:rFonts w:hint="eastAsia"/>
          <w:b/>
          <w:bCs/>
          <w:highlight w:val="none"/>
          <w:lang w:val="en-US" w:eastAsia="zh-CN"/>
        </w:rPr>
        <w:t>7</w:t>
      </w:r>
      <w:r>
        <w:rPr>
          <w:rFonts w:hint="default"/>
          <w:b/>
          <w:bCs/>
          <w:highlight w:val="none"/>
          <w:lang w:val="en-US" w:eastAsia="zh-CN"/>
        </w:rPr>
        <w:t>.4.</w:t>
      </w:r>
      <w:r>
        <w:rPr>
          <w:rFonts w:hint="eastAsia"/>
          <w:b/>
          <w:bCs/>
          <w:highlight w:val="none"/>
          <w:lang w:val="en-US" w:eastAsia="zh-CN"/>
        </w:rPr>
        <w:t>6</w:t>
      </w:r>
      <w:r>
        <w:rPr>
          <w:rFonts w:hint="eastAsia"/>
          <w:highlight w:val="none"/>
          <w:lang w:val="en-US" w:eastAsia="zh-CN"/>
        </w:rPr>
        <w:t xml:space="preserve"> 采用自动化监测技术的监测系统，其功能和参数应符合现行国家、行业及四川省地方标准的有关规定，并宜具备数据采集、处理、分析、查询和管理一体化以及监测成果可视化的功能</w:t>
      </w:r>
      <w:r>
        <w:rPr>
          <w:rFonts w:hint="eastAsia" w:ascii="Times New Roman" w:hAnsi="Times New Roman" w:cs="Times New Roman"/>
          <w:szCs w:val="21"/>
          <w:highlight w:val="none"/>
          <w:lang w:val="en-US" w:eastAsia="zh-CN"/>
        </w:rPr>
        <w:t>。</w:t>
      </w:r>
    </w:p>
    <w:p w14:paraId="35C7A16E">
      <w:pPr>
        <w:pStyle w:val="2"/>
        <w:spacing w:before="156" w:beforeLines="50" w:after="156" w:afterLines="50"/>
        <w:rPr>
          <w:rFonts w:hint="default" w:ascii="Times New Roman" w:hAnsi="Times New Roman" w:cs="Times New Roman" w:eastAsiaTheme="minorEastAsia"/>
          <w:sz w:val="30"/>
          <w:szCs w:val="30"/>
          <w:lang w:val="en-US" w:eastAsia="zh-CN"/>
        </w:rPr>
      </w:pPr>
      <w:bookmarkStart w:id="117" w:name="_Toc24478"/>
      <w:bookmarkStart w:id="118" w:name="_Toc1023"/>
      <w:r>
        <w:rPr>
          <w:rFonts w:hint="default" w:ascii="Times New Roman" w:hAnsi="Times New Roman" w:cs="Times New Roman" w:eastAsiaTheme="minorEastAsia"/>
          <w:sz w:val="30"/>
          <w:szCs w:val="30"/>
          <w:lang w:val="en-US" w:eastAsia="zh-CN"/>
        </w:rPr>
        <w:t>8  检测与验收</w:t>
      </w:r>
      <w:bookmarkEnd w:id="117"/>
      <w:bookmarkEnd w:id="118"/>
    </w:p>
    <w:p w14:paraId="292C5656">
      <w:pPr>
        <w:pStyle w:val="3"/>
        <w:rPr>
          <w:rFonts w:hint="default" w:ascii="Times New Roman" w:hAnsi="Times New Roman" w:cs="Times New Roman" w:eastAsiaTheme="minorEastAsia"/>
          <w:sz w:val="28"/>
          <w:szCs w:val="28"/>
          <w:lang w:val="en-US" w:eastAsia="zh-CN"/>
        </w:rPr>
      </w:pPr>
      <w:bookmarkStart w:id="119" w:name="_Toc3257"/>
      <w:bookmarkStart w:id="120" w:name="_Toc29584"/>
      <w:r>
        <w:rPr>
          <w:rFonts w:hint="default" w:ascii="Times New Roman" w:hAnsi="Times New Roman" w:cs="Times New Roman" w:eastAsiaTheme="minorEastAsia"/>
          <w:sz w:val="28"/>
          <w:szCs w:val="28"/>
          <w:lang w:val="en-US" w:eastAsia="zh-CN"/>
        </w:rPr>
        <w:t>8.1一般规定</w:t>
      </w:r>
      <w:bookmarkEnd w:id="119"/>
      <w:bookmarkEnd w:id="120"/>
    </w:p>
    <w:p w14:paraId="57D008AA">
      <w:pPr>
        <w:pageBreakBefore w:val="0"/>
        <w:kinsoku/>
        <w:wordWrap/>
        <w:overflowPunct/>
        <w:topLinePunct w:val="0"/>
        <w:bidi w:val="0"/>
        <w:spacing w:line="360" w:lineRule="auto"/>
        <w:ind w:left="0" w:leftChars="0"/>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sz w:val="24"/>
          <w:szCs w:val="24"/>
          <w:lang w:val="en-US" w:eastAsia="zh-CN"/>
        </w:rPr>
        <w:t xml:space="preserve">8.1.2 </w:t>
      </w:r>
      <w:r>
        <w:rPr>
          <w:rFonts w:hint="default" w:ascii="Times New Roman" w:hAnsi="Times New Roman" w:eastAsia="宋体" w:cs="Times New Roman"/>
          <w:b w:val="0"/>
          <w:bCs/>
          <w:sz w:val="24"/>
          <w:szCs w:val="24"/>
          <w:lang w:val="en-US" w:eastAsia="zh-CN"/>
        </w:rPr>
        <w:t>基坑加固工程竣工后，应按设计要求和质量合格条件进行质量检验和验收。</w:t>
      </w:r>
    </w:p>
    <w:p w14:paraId="34F6A8E4">
      <w:pPr>
        <w:pageBreakBefore w:val="0"/>
        <w:kinsoku/>
        <w:wordWrap/>
        <w:overflowPunct/>
        <w:topLinePunct w:val="0"/>
        <w:bidi w:val="0"/>
        <w:spacing w:line="360" w:lineRule="auto"/>
        <w:ind w:left="0" w:leftChars="0"/>
        <w:rPr>
          <w:rFonts w:hint="default" w:ascii="Times New Roman" w:hAnsi="Times New Roman" w:eastAsia="宋体" w:cs="Times New Roman"/>
          <w:bCs w:val="0"/>
          <w:color w:val="000000"/>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8.1.3</w:t>
      </w:r>
      <w:r>
        <w:rPr>
          <w:rFonts w:hint="default" w:ascii="Times New Roman" w:hAnsi="Times New Roman" w:eastAsia="宋体" w:cs="Times New Roman"/>
          <w:bCs w:val="0"/>
          <w:color w:val="000000"/>
          <w:kern w:val="2"/>
          <w:sz w:val="24"/>
          <w:szCs w:val="24"/>
          <w:lang w:val="en-US" w:eastAsia="zh-CN" w:bidi="ar-SA"/>
        </w:rPr>
        <w:t xml:space="preserve"> 基坑加固工程检验批的质量检验，应根据现行国家标准《建筑工程施工质量验收统一标准》GB50300的抽样原则所规定的抽样方案执行。基坑加固工程原材料的质量检验应符合下列规定:</w:t>
      </w:r>
    </w:p>
    <w:p w14:paraId="6724144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Cs w:val="0"/>
          <w:color w:val="000000"/>
          <w:kern w:val="2"/>
          <w:sz w:val="24"/>
          <w:szCs w:val="24"/>
          <w:lang w:val="en-US" w:eastAsia="zh-CN" w:bidi="ar-SA"/>
        </w:rPr>
      </w:pPr>
      <w:r>
        <w:rPr>
          <w:rFonts w:hint="default" w:ascii="Times New Roman" w:hAnsi="Times New Roman" w:eastAsia="宋体" w:cs="Times New Roman"/>
          <w:bCs w:val="0"/>
          <w:color w:val="000000"/>
          <w:kern w:val="2"/>
          <w:sz w:val="24"/>
          <w:szCs w:val="24"/>
          <w:lang w:val="en-US" w:eastAsia="zh-CN" w:bidi="ar-SA"/>
        </w:rPr>
        <w:t xml:space="preserve">1 </w:t>
      </w:r>
      <w:r>
        <w:rPr>
          <w:rFonts w:hint="eastAsia" w:cs="Times New Roman"/>
          <w:bCs w:val="0"/>
          <w:color w:val="000000"/>
          <w:kern w:val="2"/>
          <w:sz w:val="24"/>
          <w:szCs w:val="24"/>
          <w:lang w:val="en-US" w:eastAsia="zh-CN" w:bidi="ar-SA"/>
        </w:rPr>
        <w:t xml:space="preserve"> </w:t>
      </w:r>
      <w:r>
        <w:rPr>
          <w:rFonts w:hint="default" w:ascii="Times New Roman" w:hAnsi="Times New Roman" w:eastAsia="宋体" w:cs="Times New Roman"/>
          <w:bCs w:val="0"/>
          <w:color w:val="000000"/>
          <w:kern w:val="2"/>
          <w:sz w:val="24"/>
          <w:szCs w:val="24"/>
          <w:lang w:val="en-US" w:eastAsia="zh-CN" w:bidi="ar-SA"/>
        </w:rPr>
        <w:t>钢筋、混凝土等原材料的质量检验应符合设计要求和现行国家标准《混凝土结构工程施工质量验收规范》GB50204的规定；</w:t>
      </w:r>
    </w:p>
    <w:p w14:paraId="6ACDCEE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Cs w:val="0"/>
          <w:color w:val="000000"/>
          <w:kern w:val="2"/>
          <w:sz w:val="24"/>
          <w:szCs w:val="24"/>
          <w:lang w:val="en-US" w:eastAsia="zh-CN" w:bidi="ar-SA"/>
        </w:rPr>
      </w:pPr>
      <w:r>
        <w:rPr>
          <w:rFonts w:hint="default" w:ascii="Times New Roman" w:hAnsi="Times New Roman" w:eastAsia="宋体" w:cs="Times New Roman"/>
          <w:bCs w:val="0"/>
          <w:color w:val="000000"/>
          <w:kern w:val="2"/>
          <w:sz w:val="24"/>
          <w:szCs w:val="24"/>
          <w:lang w:val="en-US" w:eastAsia="zh-CN" w:bidi="ar-SA"/>
        </w:rPr>
        <w:t xml:space="preserve">2 </w:t>
      </w:r>
      <w:r>
        <w:rPr>
          <w:rFonts w:hint="eastAsia" w:cs="Times New Roman"/>
          <w:bCs w:val="0"/>
          <w:color w:val="000000"/>
          <w:kern w:val="2"/>
          <w:sz w:val="24"/>
          <w:szCs w:val="24"/>
          <w:lang w:val="en-US" w:eastAsia="zh-CN" w:bidi="ar-SA"/>
        </w:rPr>
        <w:t xml:space="preserve"> </w:t>
      </w:r>
      <w:r>
        <w:rPr>
          <w:rFonts w:hint="default" w:ascii="Times New Roman" w:hAnsi="Times New Roman" w:eastAsia="宋体" w:cs="Times New Roman"/>
          <w:bCs w:val="0"/>
          <w:color w:val="000000"/>
          <w:kern w:val="2"/>
          <w:sz w:val="24"/>
          <w:szCs w:val="24"/>
          <w:lang w:val="en-US" w:eastAsia="zh-CN" w:bidi="ar-SA"/>
        </w:rPr>
        <w:t>钢材、焊接材料和连接件等原材料及成品的进场、焊接或连接检测应符合设计要求和现行国家标准《钢结构工程施工质量验收</w:t>
      </w:r>
      <w:r>
        <w:rPr>
          <w:rFonts w:hint="eastAsia" w:ascii="Times New Roman" w:hAnsi="Times New Roman" w:cs="Times New Roman"/>
          <w:bCs w:val="0"/>
          <w:color w:val="000000"/>
          <w:kern w:val="2"/>
          <w:sz w:val="24"/>
          <w:szCs w:val="24"/>
          <w:lang w:val="en-US" w:eastAsia="zh-CN" w:bidi="ar-SA"/>
        </w:rPr>
        <w:t>标准</w:t>
      </w:r>
      <w:r>
        <w:rPr>
          <w:rFonts w:hint="default" w:ascii="Times New Roman" w:hAnsi="Times New Roman" w:eastAsia="宋体" w:cs="Times New Roman"/>
          <w:bCs w:val="0"/>
          <w:color w:val="000000"/>
          <w:kern w:val="2"/>
          <w:sz w:val="24"/>
          <w:szCs w:val="24"/>
          <w:lang w:val="en-US" w:eastAsia="zh-CN" w:bidi="ar-SA"/>
        </w:rPr>
        <w:t>》GB50205的规定；</w:t>
      </w:r>
    </w:p>
    <w:p w14:paraId="53B52EF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Cs w:val="0"/>
          <w:color w:val="000000"/>
          <w:kern w:val="2"/>
          <w:sz w:val="24"/>
          <w:szCs w:val="24"/>
          <w:lang w:val="en-US" w:eastAsia="zh-CN" w:bidi="ar-SA"/>
        </w:rPr>
      </w:pPr>
      <w:r>
        <w:rPr>
          <w:rFonts w:hint="default" w:ascii="Times New Roman" w:hAnsi="Times New Roman" w:eastAsia="宋体" w:cs="Times New Roman"/>
          <w:bCs w:val="0"/>
          <w:color w:val="000000"/>
          <w:kern w:val="2"/>
          <w:sz w:val="24"/>
          <w:szCs w:val="24"/>
          <w:lang w:val="en-US" w:eastAsia="zh-CN" w:bidi="ar-SA"/>
        </w:rPr>
        <w:t xml:space="preserve">3 </w:t>
      </w:r>
      <w:r>
        <w:rPr>
          <w:rFonts w:hint="eastAsia" w:cs="Times New Roman"/>
          <w:bCs w:val="0"/>
          <w:color w:val="000000"/>
          <w:kern w:val="2"/>
          <w:sz w:val="24"/>
          <w:szCs w:val="24"/>
          <w:lang w:val="en-US" w:eastAsia="zh-CN" w:bidi="ar-SA"/>
        </w:rPr>
        <w:t xml:space="preserve"> </w:t>
      </w:r>
      <w:r>
        <w:rPr>
          <w:rFonts w:hint="default" w:ascii="Times New Roman" w:hAnsi="Times New Roman" w:eastAsia="宋体" w:cs="Times New Roman"/>
          <w:bCs w:val="0"/>
          <w:color w:val="000000"/>
          <w:kern w:val="2"/>
          <w:sz w:val="24"/>
          <w:szCs w:val="24"/>
          <w:lang w:val="en-US" w:eastAsia="zh-CN" w:bidi="ar-SA"/>
        </w:rPr>
        <w:t>对砂、石子、水泥、钢材等原材料的检验项目和检验方法,应符合国家现行有关标准的规定。</w:t>
      </w:r>
    </w:p>
    <w:p w14:paraId="6661EFC7">
      <w:pPr>
        <w:pStyle w:val="3"/>
        <w:rPr>
          <w:rFonts w:hint="default" w:ascii="Times New Roman" w:hAnsi="Times New Roman" w:cs="Times New Roman" w:eastAsiaTheme="minorEastAsia"/>
          <w:sz w:val="28"/>
          <w:szCs w:val="28"/>
          <w:lang w:val="en-US" w:eastAsia="zh-CN"/>
        </w:rPr>
      </w:pPr>
      <w:bookmarkStart w:id="121" w:name="_Toc14511"/>
      <w:bookmarkStart w:id="122" w:name="_Toc14028"/>
      <w:r>
        <w:rPr>
          <w:rFonts w:hint="default" w:ascii="Times New Roman" w:hAnsi="Times New Roman" w:cs="Times New Roman" w:eastAsiaTheme="minorEastAsia"/>
          <w:sz w:val="28"/>
          <w:szCs w:val="28"/>
          <w:lang w:val="en-US" w:eastAsia="zh-CN"/>
        </w:rPr>
        <w:t>8.2质量检测</w:t>
      </w:r>
      <w:bookmarkEnd w:id="121"/>
      <w:bookmarkEnd w:id="122"/>
    </w:p>
    <w:p w14:paraId="5D82C9F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Cs w:val="0"/>
          <w:color w:val="000000"/>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8.2.1</w:t>
      </w:r>
      <w:r>
        <w:rPr>
          <w:rFonts w:hint="default" w:ascii="Times New Roman" w:hAnsi="Times New Roman" w:eastAsia="宋体" w:cs="Times New Roman"/>
          <w:bCs w:val="0"/>
          <w:color w:val="000000"/>
          <w:kern w:val="2"/>
          <w:sz w:val="24"/>
          <w:szCs w:val="24"/>
          <w:lang w:val="en-US" w:eastAsia="zh-CN" w:bidi="ar-SA"/>
        </w:rPr>
        <w:t>基坑加固施工完成后应按照加固设计要求进行检测工作，检测要求应符合现行行业标准《建筑基坑支护技术规程》JGJ120、《建筑地基检测技术规范》JGJ340及加固措施所应遵照的有关标准的规定。</w:t>
      </w:r>
    </w:p>
    <w:p w14:paraId="3F17E5C5">
      <w:pPr>
        <w:spacing w:line="360" w:lineRule="auto"/>
        <w:rPr>
          <w:rFonts w:hint="default" w:ascii="Times New Roman" w:hAnsi="Times New Roman" w:eastAsia="楷体" w:cs="Times New Roman"/>
          <w:sz w:val="24"/>
          <w:u w:val="single"/>
          <w:lang w:val="en-US" w:eastAsia="zh-CN"/>
        </w:rPr>
      </w:pPr>
      <w:r>
        <w:rPr>
          <w:rFonts w:hint="default" w:ascii="Times New Roman" w:hAnsi="Times New Roman" w:eastAsia="楷体" w:cs="Times New Roman"/>
          <w:sz w:val="24"/>
          <w:u w:val="single"/>
          <w:lang w:val="zh-CN" w:eastAsia="zh-CN"/>
        </w:rPr>
        <w:t>【</w:t>
      </w:r>
      <w:r>
        <w:rPr>
          <w:rFonts w:hint="default" w:ascii="Times New Roman" w:hAnsi="Times New Roman" w:eastAsia="楷体" w:cs="Times New Roman"/>
          <w:sz w:val="24"/>
          <w:u w:val="single"/>
          <w:lang w:val="en-US" w:eastAsia="zh-CN"/>
        </w:rPr>
        <w:t>条文说明</w:t>
      </w:r>
      <w:r>
        <w:rPr>
          <w:rFonts w:hint="default" w:ascii="Times New Roman" w:hAnsi="Times New Roman" w:eastAsia="楷体" w:cs="Times New Roman"/>
          <w:sz w:val="24"/>
          <w:u w:val="single"/>
          <w:lang w:val="zh-CN" w:eastAsia="zh-CN"/>
        </w:rPr>
        <w:t>】</w:t>
      </w:r>
      <w:r>
        <w:rPr>
          <w:rFonts w:hint="default" w:ascii="Times New Roman" w:hAnsi="Times New Roman" w:eastAsia="楷体" w:cs="Times New Roman"/>
          <w:sz w:val="24"/>
          <w:u w:val="single"/>
          <w:lang w:val="en-US" w:eastAsia="zh-CN"/>
        </w:rPr>
        <w:t>检测需由第三方有资质单位实施，动态施工项目（如多阶段加固）需分阶段检测。</w:t>
      </w:r>
    </w:p>
    <w:p w14:paraId="6AE5897D">
      <w:pPr>
        <w:spacing w:line="360" w:lineRule="auto"/>
        <w:rPr>
          <w:rFonts w:hint="eastAsia" w:cs="Times New Roman"/>
          <w:bCs w:val="0"/>
          <w:color w:val="000000"/>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8.2.</w:t>
      </w:r>
      <w:r>
        <w:rPr>
          <w:rFonts w:hint="eastAsia" w:cs="Times New Roman"/>
          <w:b/>
          <w:bCs/>
          <w:kern w:val="2"/>
          <w:sz w:val="24"/>
          <w:szCs w:val="24"/>
          <w:lang w:val="en-US" w:eastAsia="zh-CN" w:bidi="ar-SA"/>
        </w:rPr>
        <w:t xml:space="preserve">2 </w:t>
      </w:r>
      <w:r>
        <w:rPr>
          <w:rFonts w:ascii="Times New Roman" w:hAnsi="Times New Roman" w:cs="Times New Roman" w:eastAsiaTheme="minorEastAsia"/>
          <w:bCs/>
          <w:sz w:val="24"/>
        </w:rPr>
        <w:t>采用新增支护结构或构件与原支护结构或构件形成组合支护结构加固</w:t>
      </w:r>
      <w:r>
        <w:rPr>
          <w:rFonts w:hint="eastAsia" w:cs="Times New Roman" w:eastAsiaTheme="minorEastAsia"/>
          <w:bCs/>
          <w:sz w:val="24"/>
          <w:lang w:val="en-US" w:eastAsia="zh-CN"/>
        </w:rPr>
        <w:t>基坑</w:t>
      </w:r>
      <w:r>
        <w:rPr>
          <w:rFonts w:hint="eastAsia" w:cs="Times New Roman" w:eastAsiaTheme="minorEastAsia"/>
          <w:bCs/>
          <w:sz w:val="24"/>
          <w:lang w:eastAsia="zh-CN"/>
        </w:rPr>
        <w:t>，</w:t>
      </w:r>
      <w:r>
        <w:rPr>
          <w:rFonts w:hint="eastAsia" w:ascii="Times New Roman" w:hAnsi="Times New Roman" w:eastAsia="宋体" w:cs="Times New Roman"/>
          <w:bCs w:val="0"/>
          <w:color w:val="000000"/>
          <w:kern w:val="2"/>
          <w:sz w:val="24"/>
          <w:szCs w:val="24"/>
          <w:lang w:val="en-US" w:eastAsia="zh-CN" w:bidi="ar-SA"/>
        </w:rPr>
        <w:t>应对新、旧结构连接构件进行</w:t>
      </w:r>
      <w:r>
        <w:rPr>
          <w:rFonts w:hint="eastAsia" w:cs="Times New Roman"/>
          <w:bCs w:val="0"/>
          <w:color w:val="000000"/>
          <w:kern w:val="2"/>
          <w:sz w:val="24"/>
          <w:szCs w:val="24"/>
          <w:lang w:val="en-US" w:eastAsia="zh-CN" w:bidi="ar-SA"/>
        </w:rPr>
        <w:t>检测。</w:t>
      </w:r>
    </w:p>
    <w:p w14:paraId="15F3D21E">
      <w:pPr>
        <w:spacing w:line="360" w:lineRule="auto"/>
        <w:rPr>
          <w:rFonts w:hint="default" w:ascii="Times New Roman" w:hAnsi="Times New Roman" w:eastAsia="楷体" w:cs="Times New Roman"/>
          <w:sz w:val="24"/>
          <w:u w:val="single"/>
          <w:lang w:val="en-US" w:eastAsia="zh-CN"/>
        </w:rPr>
      </w:pPr>
      <w:r>
        <w:rPr>
          <w:rFonts w:hint="default" w:ascii="Times New Roman" w:hAnsi="Times New Roman" w:eastAsia="楷体" w:cs="Times New Roman"/>
          <w:sz w:val="24"/>
          <w:u w:val="single"/>
          <w:lang w:val="zh-CN" w:eastAsia="zh-CN"/>
        </w:rPr>
        <w:t>【</w:t>
      </w:r>
      <w:r>
        <w:rPr>
          <w:rFonts w:hint="default" w:ascii="Times New Roman" w:hAnsi="Times New Roman" w:eastAsia="楷体" w:cs="Times New Roman"/>
          <w:sz w:val="24"/>
          <w:u w:val="single"/>
          <w:lang w:val="en-US" w:eastAsia="zh-CN"/>
        </w:rPr>
        <w:t>条文说明</w:t>
      </w:r>
      <w:r>
        <w:rPr>
          <w:rFonts w:hint="default" w:ascii="Times New Roman" w:hAnsi="Times New Roman" w:eastAsia="楷体" w:cs="Times New Roman"/>
          <w:sz w:val="24"/>
          <w:u w:val="single"/>
          <w:lang w:val="zh-CN" w:eastAsia="zh-CN"/>
        </w:rPr>
        <w:t>】</w:t>
      </w:r>
      <w:r>
        <w:rPr>
          <w:rFonts w:hint="default" w:ascii="Times New Roman" w:hAnsi="Times New Roman" w:eastAsia="楷体" w:cs="Times New Roman"/>
          <w:sz w:val="24"/>
          <w:u w:val="single"/>
          <w:lang w:val="en-US" w:eastAsia="zh-CN"/>
        </w:rPr>
        <w:t>检测</w:t>
      </w:r>
      <w:r>
        <w:rPr>
          <w:rFonts w:hint="eastAsia" w:eastAsia="楷体" w:cs="Times New Roman"/>
          <w:sz w:val="24"/>
          <w:u w:val="single"/>
          <w:lang w:val="en-US" w:eastAsia="zh-CN"/>
        </w:rPr>
        <w:t>应</w:t>
      </w:r>
      <w:r>
        <w:rPr>
          <w:rFonts w:hint="default" w:ascii="Times New Roman" w:hAnsi="Times New Roman" w:eastAsia="楷体" w:cs="Times New Roman"/>
          <w:sz w:val="24"/>
          <w:u w:val="single"/>
          <w:lang w:val="en-US" w:eastAsia="zh-CN"/>
        </w:rPr>
        <w:t>重点关注加固区与未加固区的交接部位。</w:t>
      </w:r>
    </w:p>
    <w:p w14:paraId="692C9732">
      <w:pPr>
        <w:pStyle w:val="3"/>
        <w:rPr>
          <w:rFonts w:hint="default" w:ascii="Times New Roman" w:hAnsi="Times New Roman" w:cs="Times New Roman" w:eastAsiaTheme="minorEastAsia"/>
          <w:sz w:val="28"/>
          <w:szCs w:val="28"/>
          <w:lang w:val="en-US" w:eastAsia="zh-CN"/>
        </w:rPr>
      </w:pPr>
      <w:bookmarkStart w:id="123" w:name="_Toc23806"/>
      <w:bookmarkStart w:id="124" w:name="_Toc15081"/>
      <w:r>
        <w:rPr>
          <w:rFonts w:hint="default" w:ascii="Times New Roman" w:hAnsi="Times New Roman" w:cs="Times New Roman" w:eastAsiaTheme="minorEastAsia"/>
          <w:sz w:val="28"/>
          <w:szCs w:val="28"/>
          <w:lang w:val="en-US" w:eastAsia="zh-CN"/>
        </w:rPr>
        <w:t>8.3成果验收</w:t>
      </w:r>
      <w:bookmarkEnd w:id="123"/>
      <w:bookmarkEnd w:id="124"/>
    </w:p>
    <w:p w14:paraId="3AAFBB92">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Cs w:val="0"/>
          <w:color w:val="000000"/>
          <w:kern w:val="2"/>
          <w:sz w:val="24"/>
          <w:szCs w:val="24"/>
          <w:lang w:val="en-US" w:eastAsia="zh-CN" w:bidi="ar-SA"/>
        </w:rPr>
      </w:pPr>
      <w:r>
        <w:rPr>
          <w:rFonts w:hint="default" w:ascii="Times New Roman" w:hAnsi="Times New Roman" w:eastAsia="宋体" w:cs="Times New Roman"/>
          <w:b/>
          <w:bCs/>
          <w:color w:val="000000"/>
          <w:kern w:val="2"/>
          <w:sz w:val="24"/>
          <w:szCs w:val="24"/>
          <w:lang w:val="en-US" w:eastAsia="zh-CN" w:bidi="ar-SA"/>
        </w:rPr>
        <w:t>8.3.1</w:t>
      </w:r>
      <w:r>
        <w:rPr>
          <w:rFonts w:hint="default" w:ascii="Times New Roman" w:hAnsi="Times New Roman" w:eastAsia="宋体" w:cs="Times New Roman"/>
          <w:bCs w:val="0"/>
          <w:color w:val="000000"/>
          <w:kern w:val="2"/>
          <w:sz w:val="24"/>
          <w:szCs w:val="24"/>
          <w:lang w:val="en-US" w:eastAsia="zh-CN" w:bidi="ar-SA"/>
        </w:rPr>
        <w:t>基坑加固工程施工质量验收应取得下列资料：</w:t>
      </w:r>
    </w:p>
    <w:p w14:paraId="63CCB7C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Cs w:val="0"/>
          <w:color w:val="000000"/>
          <w:kern w:val="2"/>
          <w:sz w:val="24"/>
          <w:szCs w:val="24"/>
          <w:lang w:val="en-US" w:eastAsia="zh-CN" w:bidi="ar-SA"/>
        </w:rPr>
      </w:pPr>
      <w:r>
        <w:rPr>
          <w:rFonts w:hint="default" w:ascii="Times New Roman" w:hAnsi="Times New Roman" w:eastAsia="宋体" w:cs="Times New Roman"/>
          <w:bCs w:val="0"/>
          <w:color w:val="000000"/>
          <w:kern w:val="2"/>
          <w:sz w:val="24"/>
          <w:szCs w:val="24"/>
          <w:lang w:val="en-US" w:eastAsia="zh-CN" w:bidi="ar-SA"/>
        </w:rPr>
        <w:t>1</w:t>
      </w:r>
      <w:r>
        <w:rPr>
          <w:rFonts w:hint="eastAsia" w:cs="Times New Roman"/>
          <w:bCs w:val="0"/>
          <w:color w:val="000000"/>
          <w:kern w:val="2"/>
          <w:sz w:val="24"/>
          <w:szCs w:val="24"/>
          <w:lang w:val="en-US" w:eastAsia="zh-CN" w:bidi="ar-SA"/>
        </w:rPr>
        <w:t xml:space="preserve"> </w:t>
      </w:r>
      <w:r>
        <w:rPr>
          <w:rFonts w:hint="default" w:ascii="Times New Roman" w:hAnsi="Times New Roman" w:eastAsia="宋体" w:cs="Times New Roman"/>
          <w:bCs w:val="0"/>
          <w:color w:val="000000"/>
          <w:kern w:val="2"/>
          <w:sz w:val="24"/>
          <w:szCs w:val="24"/>
          <w:lang w:val="en-US" w:eastAsia="zh-CN" w:bidi="ar-SA"/>
        </w:rPr>
        <w:t xml:space="preserve"> 基坑加固工程的设计文件、基坑加固工程勘察报告和鉴定报告；</w:t>
      </w:r>
    </w:p>
    <w:p w14:paraId="757D93D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Cs w:val="0"/>
          <w:color w:val="000000"/>
          <w:kern w:val="2"/>
          <w:sz w:val="24"/>
          <w:szCs w:val="24"/>
          <w:lang w:val="en-US" w:eastAsia="zh-CN" w:bidi="ar-SA"/>
        </w:rPr>
      </w:pPr>
      <w:r>
        <w:rPr>
          <w:rFonts w:hint="default" w:ascii="Times New Roman" w:hAnsi="Times New Roman" w:eastAsia="宋体" w:cs="Times New Roman"/>
          <w:bCs w:val="0"/>
          <w:color w:val="000000"/>
          <w:kern w:val="2"/>
          <w:sz w:val="24"/>
          <w:szCs w:val="24"/>
          <w:lang w:val="en-US" w:eastAsia="zh-CN" w:bidi="ar-SA"/>
        </w:rPr>
        <w:t xml:space="preserve">2 </w:t>
      </w:r>
      <w:r>
        <w:rPr>
          <w:rFonts w:hint="eastAsia" w:cs="Times New Roman"/>
          <w:bCs w:val="0"/>
          <w:color w:val="000000"/>
          <w:kern w:val="2"/>
          <w:sz w:val="24"/>
          <w:szCs w:val="24"/>
          <w:lang w:val="en-US" w:eastAsia="zh-CN" w:bidi="ar-SA"/>
        </w:rPr>
        <w:t xml:space="preserve"> </w:t>
      </w:r>
      <w:r>
        <w:rPr>
          <w:rFonts w:hint="default" w:ascii="Times New Roman" w:hAnsi="Times New Roman" w:eastAsia="宋体" w:cs="Times New Roman"/>
          <w:bCs w:val="0"/>
          <w:color w:val="000000"/>
          <w:kern w:val="2"/>
          <w:sz w:val="24"/>
          <w:szCs w:val="24"/>
          <w:lang w:val="en-US" w:eastAsia="zh-CN" w:bidi="ar-SA"/>
        </w:rPr>
        <w:t>原材料出厂合格证、进场材料复检报告或委托检验报告；</w:t>
      </w:r>
    </w:p>
    <w:p w14:paraId="6D91209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Cs w:val="0"/>
          <w:color w:val="000000"/>
          <w:kern w:val="2"/>
          <w:sz w:val="24"/>
          <w:szCs w:val="24"/>
          <w:lang w:val="en-US" w:eastAsia="zh-CN" w:bidi="ar-SA"/>
        </w:rPr>
      </w:pPr>
      <w:r>
        <w:rPr>
          <w:rFonts w:hint="default" w:ascii="Times New Roman" w:hAnsi="Times New Roman" w:eastAsia="宋体" w:cs="Times New Roman"/>
          <w:bCs w:val="0"/>
          <w:color w:val="000000"/>
          <w:kern w:val="2"/>
          <w:sz w:val="24"/>
          <w:szCs w:val="24"/>
          <w:lang w:val="en-US" w:eastAsia="zh-CN" w:bidi="ar-SA"/>
        </w:rPr>
        <w:t xml:space="preserve">3 </w:t>
      </w:r>
      <w:r>
        <w:rPr>
          <w:rFonts w:hint="eastAsia" w:cs="Times New Roman"/>
          <w:bCs w:val="0"/>
          <w:color w:val="000000"/>
          <w:kern w:val="2"/>
          <w:sz w:val="24"/>
          <w:szCs w:val="24"/>
          <w:lang w:val="en-US" w:eastAsia="zh-CN" w:bidi="ar-SA"/>
        </w:rPr>
        <w:t xml:space="preserve"> </w:t>
      </w:r>
      <w:r>
        <w:rPr>
          <w:rFonts w:hint="default" w:ascii="Times New Roman" w:hAnsi="Times New Roman" w:eastAsia="宋体" w:cs="Times New Roman"/>
          <w:bCs w:val="0"/>
          <w:color w:val="000000"/>
          <w:kern w:val="2"/>
          <w:sz w:val="24"/>
          <w:szCs w:val="24"/>
          <w:lang w:val="en-US" w:eastAsia="zh-CN" w:bidi="ar-SA"/>
        </w:rPr>
        <w:t>混凝土、砂浆强度检验报告；</w:t>
      </w:r>
    </w:p>
    <w:p w14:paraId="3A7A412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Cs w:val="0"/>
          <w:color w:val="000000"/>
          <w:kern w:val="2"/>
          <w:sz w:val="24"/>
          <w:szCs w:val="24"/>
          <w:lang w:val="en-US" w:eastAsia="zh-CN" w:bidi="ar-SA"/>
        </w:rPr>
      </w:pPr>
      <w:r>
        <w:rPr>
          <w:rFonts w:hint="default" w:ascii="Times New Roman" w:hAnsi="Times New Roman" w:eastAsia="宋体" w:cs="Times New Roman"/>
          <w:bCs w:val="0"/>
          <w:color w:val="000000"/>
          <w:kern w:val="2"/>
          <w:sz w:val="24"/>
          <w:szCs w:val="24"/>
          <w:lang w:val="en-US" w:eastAsia="zh-CN" w:bidi="ar-SA"/>
        </w:rPr>
        <w:t xml:space="preserve">4 </w:t>
      </w:r>
      <w:r>
        <w:rPr>
          <w:rFonts w:hint="eastAsia" w:cs="Times New Roman"/>
          <w:bCs w:val="0"/>
          <w:color w:val="000000"/>
          <w:kern w:val="2"/>
          <w:sz w:val="24"/>
          <w:szCs w:val="24"/>
          <w:lang w:val="en-US" w:eastAsia="zh-CN" w:bidi="ar-SA"/>
        </w:rPr>
        <w:t xml:space="preserve"> </w:t>
      </w:r>
      <w:r>
        <w:rPr>
          <w:rFonts w:hint="default" w:ascii="Times New Roman" w:hAnsi="Times New Roman" w:eastAsia="宋体" w:cs="Times New Roman"/>
          <w:bCs w:val="0"/>
          <w:color w:val="000000"/>
          <w:kern w:val="2"/>
          <w:sz w:val="24"/>
          <w:szCs w:val="24"/>
          <w:lang w:val="en-US" w:eastAsia="zh-CN" w:bidi="ar-SA"/>
        </w:rPr>
        <w:t>支护结构或构件的有关检验报告；</w:t>
      </w:r>
    </w:p>
    <w:p w14:paraId="56AE9F4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Cs w:val="0"/>
          <w:color w:val="000000"/>
          <w:kern w:val="2"/>
          <w:sz w:val="24"/>
          <w:szCs w:val="24"/>
          <w:lang w:val="en-US" w:eastAsia="zh-CN" w:bidi="ar-SA"/>
        </w:rPr>
      </w:pPr>
      <w:r>
        <w:rPr>
          <w:rFonts w:hint="default" w:ascii="Times New Roman" w:hAnsi="Times New Roman" w:eastAsia="宋体" w:cs="Times New Roman"/>
          <w:bCs w:val="0"/>
          <w:color w:val="000000"/>
          <w:kern w:val="2"/>
          <w:sz w:val="24"/>
          <w:szCs w:val="24"/>
          <w:lang w:val="en-US" w:eastAsia="zh-CN" w:bidi="ar-SA"/>
        </w:rPr>
        <w:t xml:space="preserve">5 </w:t>
      </w:r>
      <w:r>
        <w:rPr>
          <w:rFonts w:hint="eastAsia" w:cs="Times New Roman"/>
          <w:bCs w:val="0"/>
          <w:color w:val="000000"/>
          <w:kern w:val="2"/>
          <w:sz w:val="24"/>
          <w:szCs w:val="24"/>
          <w:lang w:val="en-US" w:eastAsia="zh-CN" w:bidi="ar-SA"/>
        </w:rPr>
        <w:t xml:space="preserve"> </w:t>
      </w:r>
      <w:r>
        <w:rPr>
          <w:rFonts w:hint="default" w:ascii="Times New Roman" w:hAnsi="Times New Roman" w:eastAsia="宋体" w:cs="Times New Roman"/>
          <w:bCs w:val="0"/>
          <w:color w:val="000000"/>
          <w:kern w:val="2"/>
          <w:sz w:val="24"/>
          <w:szCs w:val="24"/>
          <w:lang w:val="en-US" w:eastAsia="zh-CN" w:bidi="ar-SA"/>
        </w:rPr>
        <w:t>隐蔽工程验收记录；</w:t>
      </w:r>
    </w:p>
    <w:p w14:paraId="4023E43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Cs w:val="0"/>
          <w:color w:val="000000"/>
          <w:kern w:val="2"/>
          <w:sz w:val="24"/>
          <w:szCs w:val="24"/>
          <w:lang w:val="en-US" w:eastAsia="zh-CN" w:bidi="ar-SA"/>
        </w:rPr>
      </w:pPr>
      <w:r>
        <w:rPr>
          <w:rFonts w:hint="default" w:ascii="Times New Roman" w:hAnsi="Times New Roman" w:eastAsia="宋体" w:cs="Times New Roman"/>
          <w:bCs w:val="0"/>
          <w:color w:val="000000"/>
          <w:kern w:val="2"/>
          <w:sz w:val="24"/>
          <w:szCs w:val="24"/>
          <w:lang w:val="en-US" w:eastAsia="zh-CN" w:bidi="ar-SA"/>
        </w:rPr>
        <w:t xml:space="preserve">6 </w:t>
      </w:r>
      <w:r>
        <w:rPr>
          <w:rFonts w:hint="eastAsia" w:cs="Times New Roman"/>
          <w:bCs w:val="0"/>
          <w:color w:val="000000"/>
          <w:kern w:val="2"/>
          <w:sz w:val="24"/>
          <w:szCs w:val="24"/>
          <w:lang w:val="en-US" w:eastAsia="zh-CN" w:bidi="ar-SA"/>
        </w:rPr>
        <w:t xml:space="preserve"> </w:t>
      </w:r>
      <w:r>
        <w:rPr>
          <w:rFonts w:hint="default" w:ascii="Times New Roman" w:hAnsi="Times New Roman" w:eastAsia="宋体" w:cs="Times New Roman"/>
          <w:bCs w:val="0"/>
          <w:color w:val="000000"/>
          <w:kern w:val="2"/>
          <w:sz w:val="24"/>
          <w:szCs w:val="24"/>
          <w:lang w:val="en-US" w:eastAsia="zh-CN" w:bidi="ar-SA"/>
        </w:rPr>
        <w:t>基坑加固工程、周围建筑物和道路地表监测报告；</w:t>
      </w:r>
    </w:p>
    <w:p w14:paraId="5274C35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Cs w:val="0"/>
          <w:color w:val="000000"/>
          <w:kern w:val="2"/>
          <w:sz w:val="24"/>
          <w:szCs w:val="24"/>
          <w:lang w:val="en-US" w:eastAsia="zh-CN" w:bidi="ar-SA"/>
        </w:rPr>
      </w:pPr>
      <w:r>
        <w:rPr>
          <w:rFonts w:hint="default" w:ascii="Times New Roman" w:hAnsi="Times New Roman" w:eastAsia="宋体" w:cs="Times New Roman"/>
          <w:bCs w:val="0"/>
          <w:color w:val="000000"/>
          <w:kern w:val="2"/>
          <w:sz w:val="24"/>
          <w:szCs w:val="24"/>
          <w:lang w:val="en-US" w:eastAsia="zh-CN" w:bidi="ar-SA"/>
        </w:rPr>
        <w:t xml:space="preserve">7 </w:t>
      </w:r>
      <w:r>
        <w:rPr>
          <w:rFonts w:hint="eastAsia" w:cs="Times New Roman"/>
          <w:bCs w:val="0"/>
          <w:color w:val="000000"/>
          <w:kern w:val="2"/>
          <w:sz w:val="24"/>
          <w:szCs w:val="24"/>
          <w:lang w:val="en-US" w:eastAsia="zh-CN" w:bidi="ar-SA"/>
        </w:rPr>
        <w:t xml:space="preserve"> </w:t>
      </w:r>
      <w:r>
        <w:rPr>
          <w:rFonts w:hint="default" w:ascii="Times New Roman" w:hAnsi="Times New Roman" w:eastAsia="宋体" w:cs="Times New Roman"/>
          <w:bCs w:val="0"/>
          <w:color w:val="000000"/>
          <w:kern w:val="2"/>
          <w:sz w:val="24"/>
          <w:szCs w:val="24"/>
          <w:lang w:val="en-US" w:eastAsia="zh-CN" w:bidi="ar-SA"/>
        </w:rPr>
        <w:t>设计变更通知、重大问题处理文件和技术洽商记录；</w:t>
      </w:r>
    </w:p>
    <w:p w14:paraId="1CD0E25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Cs w:val="0"/>
          <w:color w:val="000000"/>
          <w:kern w:val="2"/>
          <w:sz w:val="24"/>
          <w:szCs w:val="24"/>
          <w:lang w:val="en-US" w:eastAsia="zh-CN" w:bidi="ar-SA"/>
        </w:rPr>
      </w:pPr>
      <w:r>
        <w:rPr>
          <w:rFonts w:hint="default" w:ascii="Times New Roman" w:hAnsi="Times New Roman" w:eastAsia="宋体" w:cs="Times New Roman"/>
          <w:bCs w:val="0"/>
          <w:color w:val="000000"/>
          <w:kern w:val="2"/>
          <w:sz w:val="24"/>
          <w:szCs w:val="24"/>
          <w:lang w:val="en-US" w:eastAsia="zh-CN" w:bidi="ar-SA"/>
        </w:rPr>
        <w:t xml:space="preserve">8 </w:t>
      </w:r>
      <w:r>
        <w:rPr>
          <w:rFonts w:hint="eastAsia" w:cs="Times New Roman"/>
          <w:bCs w:val="0"/>
          <w:color w:val="000000"/>
          <w:kern w:val="2"/>
          <w:sz w:val="24"/>
          <w:szCs w:val="24"/>
          <w:lang w:val="en-US" w:eastAsia="zh-CN" w:bidi="ar-SA"/>
        </w:rPr>
        <w:t xml:space="preserve"> </w:t>
      </w:r>
      <w:r>
        <w:rPr>
          <w:rFonts w:hint="default" w:ascii="Times New Roman" w:hAnsi="Times New Roman" w:eastAsia="宋体" w:cs="Times New Roman"/>
          <w:bCs w:val="0"/>
          <w:color w:val="000000"/>
          <w:kern w:val="2"/>
          <w:sz w:val="24"/>
          <w:szCs w:val="24"/>
          <w:lang w:val="en-US" w:eastAsia="zh-CN" w:bidi="ar-SA"/>
        </w:rPr>
        <w:t>施工记录和竣工图。</w:t>
      </w:r>
    </w:p>
    <w:p w14:paraId="1D17811A">
      <w:pPr>
        <w:pageBreakBefore w:val="0"/>
        <w:widowControl w:val="0"/>
        <w:kinsoku/>
        <w:wordWrap/>
        <w:overflowPunct/>
        <w:topLinePunct w:val="0"/>
        <w:autoSpaceDE/>
        <w:autoSpaceDN/>
        <w:bidi w:val="0"/>
        <w:adjustRightInd/>
        <w:snapToGrid w:val="0"/>
        <w:spacing w:line="360" w:lineRule="auto"/>
        <w:ind w:left="0" w:leftChars="0"/>
        <w:textAlignment w:val="auto"/>
        <w:rPr>
          <w:rFonts w:hint="default" w:ascii="Times New Roman" w:hAnsi="Times New Roman" w:eastAsia="宋体" w:cs="Times New Roman"/>
          <w:bCs w:val="0"/>
          <w:color w:val="000000"/>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8.3.2</w:t>
      </w:r>
      <w:r>
        <w:rPr>
          <w:rFonts w:hint="default" w:ascii="Times New Roman" w:hAnsi="Times New Roman" w:eastAsia="宋体" w:cs="Times New Roman"/>
          <w:bCs w:val="0"/>
          <w:color w:val="000000"/>
          <w:kern w:val="2"/>
          <w:sz w:val="24"/>
          <w:szCs w:val="24"/>
          <w:lang w:val="en-US" w:eastAsia="zh-CN" w:bidi="ar-SA"/>
        </w:rPr>
        <w:t>基坑加固工程验收除应符合现行国家标准《建筑工程施工质量验收统一标准》GB 50300、《建筑地基基础工程施工质量验收标准》GB 50202的有关规定外，尚应符合下列规定：</w:t>
      </w:r>
    </w:p>
    <w:p w14:paraId="31114BC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Cs w:val="0"/>
          <w:color w:val="000000"/>
          <w:kern w:val="2"/>
          <w:sz w:val="24"/>
          <w:szCs w:val="24"/>
          <w:lang w:val="en-US" w:eastAsia="zh-CN" w:bidi="ar-SA"/>
        </w:rPr>
      </w:pPr>
      <w:r>
        <w:rPr>
          <w:rFonts w:hint="default" w:ascii="Times New Roman" w:hAnsi="Times New Roman" w:eastAsia="宋体" w:cs="Times New Roman"/>
          <w:bCs w:val="0"/>
          <w:color w:val="000000"/>
          <w:kern w:val="2"/>
          <w:sz w:val="24"/>
          <w:szCs w:val="24"/>
          <w:lang w:val="en-US" w:eastAsia="zh-CN" w:bidi="ar-SA"/>
        </w:rPr>
        <w:t xml:space="preserve">1 </w:t>
      </w:r>
      <w:r>
        <w:rPr>
          <w:rFonts w:hint="eastAsia" w:cs="Times New Roman"/>
          <w:bCs w:val="0"/>
          <w:color w:val="000000"/>
          <w:kern w:val="2"/>
          <w:sz w:val="24"/>
          <w:szCs w:val="24"/>
          <w:lang w:val="en-US" w:eastAsia="zh-CN" w:bidi="ar-SA"/>
        </w:rPr>
        <w:t xml:space="preserve"> </w:t>
      </w:r>
      <w:r>
        <w:rPr>
          <w:rFonts w:hint="default" w:ascii="Times New Roman" w:hAnsi="Times New Roman" w:eastAsia="宋体" w:cs="Times New Roman"/>
          <w:bCs w:val="0"/>
          <w:color w:val="000000"/>
          <w:kern w:val="2"/>
          <w:sz w:val="24"/>
          <w:szCs w:val="24"/>
          <w:lang w:val="en-US" w:eastAsia="zh-CN" w:bidi="ar-SA"/>
        </w:rPr>
        <w:t>检验批工程的质量验收应分别按主控项目和一般项目进行；</w:t>
      </w:r>
    </w:p>
    <w:p w14:paraId="4418DE7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Cs w:val="0"/>
          <w:color w:val="000000"/>
          <w:kern w:val="2"/>
          <w:sz w:val="24"/>
          <w:szCs w:val="24"/>
          <w:lang w:val="en-US" w:eastAsia="zh-CN" w:bidi="ar-SA"/>
        </w:rPr>
      </w:pPr>
      <w:r>
        <w:rPr>
          <w:rFonts w:hint="default" w:ascii="Times New Roman" w:hAnsi="Times New Roman" w:eastAsia="宋体" w:cs="Times New Roman"/>
          <w:bCs w:val="0"/>
          <w:color w:val="000000"/>
          <w:kern w:val="2"/>
          <w:sz w:val="24"/>
          <w:szCs w:val="24"/>
          <w:lang w:val="en-US" w:eastAsia="zh-CN" w:bidi="ar-SA"/>
        </w:rPr>
        <w:t xml:space="preserve">2 </w:t>
      </w:r>
      <w:r>
        <w:rPr>
          <w:rFonts w:hint="eastAsia" w:cs="Times New Roman"/>
          <w:bCs w:val="0"/>
          <w:color w:val="000000"/>
          <w:kern w:val="2"/>
          <w:sz w:val="24"/>
          <w:szCs w:val="24"/>
          <w:lang w:val="en-US" w:eastAsia="zh-CN" w:bidi="ar-SA"/>
        </w:rPr>
        <w:t xml:space="preserve"> </w:t>
      </w:r>
      <w:r>
        <w:rPr>
          <w:rFonts w:hint="default" w:ascii="Times New Roman" w:hAnsi="Times New Roman" w:eastAsia="宋体" w:cs="Times New Roman"/>
          <w:bCs w:val="0"/>
          <w:color w:val="000000"/>
          <w:kern w:val="2"/>
          <w:sz w:val="24"/>
          <w:szCs w:val="24"/>
          <w:lang w:val="en-US" w:eastAsia="zh-CN" w:bidi="ar-SA"/>
        </w:rPr>
        <w:t>隐蔽工程应在施工单位自检合格后，于隐蔽前通知有关人员检查验收，并形成中间验收文件；</w:t>
      </w:r>
    </w:p>
    <w:p w14:paraId="5808E31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Cs w:val="0"/>
          <w:color w:val="000000"/>
          <w:kern w:val="2"/>
          <w:sz w:val="24"/>
          <w:szCs w:val="24"/>
          <w:lang w:val="en-US" w:eastAsia="zh-CN" w:bidi="ar-SA"/>
        </w:rPr>
      </w:pPr>
      <w:r>
        <w:rPr>
          <w:rFonts w:hint="default" w:ascii="Times New Roman" w:hAnsi="Times New Roman" w:eastAsia="宋体" w:cs="Times New Roman"/>
          <w:bCs w:val="0"/>
          <w:color w:val="000000"/>
          <w:kern w:val="2"/>
          <w:sz w:val="24"/>
          <w:szCs w:val="24"/>
          <w:lang w:val="en-US" w:eastAsia="zh-CN" w:bidi="ar-SA"/>
        </w:rPr>
        <w:t xml:space="preserve">3 </w:t>
      </w:r>
      <w:r>
        <w:rPr>
          <w:rFonts w:hint="eastAsia" w:cs="Times New Roman"/>
          <w:bCs w:val="0"/>
          <w:color w:val="000000"/>
          <w:kern w:val="2"/>
          <w:sz w:val="24"/>
          <w:szCs w:val="24"/>
          <w:lang w:val="en-US" w:eastAsia="zh-CN" w:bidi="ar-SA"/>
        </w:rPr>
        <w:t xml:space="preserve"> </w:t>
      </w:r>
      <w:r>
        <w:rPr>
          <w:rFonts w:hint="default" w:ascii="Times New Roman" w:hAnsi="Times New Roman" w:eastAsia="宋体" w:cs="Times New Roman"/>
          <w:bCs w:val="0"/>
          <w:color w:val="000000"/>
          <w:kern w:val="2"/>
          <w:sz w:val="24"/>
          <w:szCs w:val="24"/>
          <w:lang w:val="en-US" w:eastAsia="zh-CN" w:bidi="ar-SA"/>
        </w:rPr>
        <w:t>分部或子分部工程的验收，应在分项工程通过验收的基础上，对必要的部位进行见证检验验收；</w:t>
      </w:r>
    </w:p>
    <w:p w14:paraId="0A0A9B7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Cs w:val="0"/>
          <w:color w:val="000000"/>
          <w:kern w:val="2"/>
          <w:sz w:val="24"/>
          <w:szCs w:val="24"/>
          <w:lang w:val="en-US" w:eastAsia="zh-CN" w:bidi="ar-SA"/>
        </w:rPr>
      </w:pPr>
      <w:r>
        <w:rPr>
          <w:rFonts w:hint="default" w:ascii="Times New Roman" w:hAnsi="Times New Roman" w:eastAsia="宋体" w:cs="Times New Roman"/>
          <w:bCs w:val="0"/>
          <w:color w:val="000000"/>
          <w:kern w:val="2"/>
          <w:sz w:val="24"/>
          <w:szCs w:val="24"/>
          <w:lang w:val="en-US" w:eastAsia="zh-CN" w:bidi="ar-SA"/>
        </w:rPr>
        <w:t xml:space="preserve">4 </w:t>
      </w:r>
      <w:r>
        <w:rPr>
          <w:rFonts w:hint="eastAsia" w:cs="Times New Roman"/>
          <w:bCs w:val="0"/>
          <w:color w:val="000000"/>
          <w:kern w:val="2"/>
          <w:sz w:val="24"/>
          <w:szCs w:val="24"/>
          <w:lang w:val="en-US" w:eastAsia="zh-CN" w:bidi="ar-SA"/>
        </w:rPr>
        <w:t xml:space="preserve"> </w:t>
      </w:r>
      <w:r>
        <w:rPr>
          <w:rFonts w:hint="default" w:ascii="Times New Roman" w:hAnsi="Times New Roman" w:eastAsia="宋体" w:cs="Times New Roman"/>
          <w:bCs w:val="0"/>
          <w:color w:val="000000"/>
          <w:kern w:val="2"/>
          <w:sz w:val="24"/>
          <w:szCs w:val="24"/>
          <w:lang w:val="en-US" w:eastAsia="zh-CN" w:bidi="ar-SA"/>
        </w:rPr>
        <w:t>基坑加固工程完工后，施工单位自行组织有关人员进行检查评定，并向建设单位提交工程验收报告。</w:t>
      </w:r>
    </w:p>
    <w:p w14:paraId="26909674">
      <w:pPr>
        <w:spacing w:line="360" w:lineRule="auto"/>
        <w:rPr>
          <w:rFonts w:ascii="Times New Roman" w:hAnsi="Times New Roman" w:eastAsia="楷体" w:cs="Times New Roman"/>
          <w:color w:val="000000"/>
          <w:sz w:val="22"/>
          <w:szCs w:val="22"/>
          <w:u w:val="single"/>
        </w:rPr>
      </w:pPr>
      <w:r>
        <w:rPr>
          <w:rFonts w:hint="default" w:ascii="Times New Roman" w:hAnsi="Times New Roman" w:eastAsia="宋体" w:cs="Times New Roman"/>
          <w:b/>
          <w:bCs/>
          <w:kern w:val="2"/>
          <w:sz w:val="24"/>
          <w:szCs w:val="24"/>
          <w:lang w:val="en-US" w:eastAsia="zh-CN" w:bidi="ar-SA"/>
        </w:rPr>
        <w:t>8.3.3</w:t>
      </w:r>
      <w:r>
        <w:rPr>
          <w:rFonts w:hint="default" w:ascii="Times New Roman" w:hAnsi="Times New Roman" w:eastAsia="宋体" w:cs="Times New Roman"/>
          <w:bCs w:val="0"/>
          <w:color w:val="000000"/>
          <w:kern w:val="2"/>
          <w:sz w:val="24"/>
          <w:szCs w:val="24"/>
          <w:lang w:val="en-US" w:eastAsia="zh-CN" w:bidi="ar-SA"/>
        </w:rPr>
        <w:t>建设单位收到基坑加固工程验收报告后，应由建设单位组织施工、勘察、设计及监理等单位进行基坑加固工程验收。</w:t>
      </w:r>
    </w:p>
    <w:p w14:paraId="444174BE"/>
    <w:p w14:paraId="0C75BBEE">
      <w:pPr>
        <w:spacing w:line="360" w:lineRule="auto"/>
        <w:rPr>
          <w:rFonts w:ascii="Times New Roman" w:hAnsi="Times New Roman" w:eastAsia="楷体" w:cs="Times New Roman"/>
          <w:color w:val="000000"/>
          <w:sz w:val="22"/>
          <w:szCs w:val="22"/>
          <w:highlight w:val="none"/>
          <w:u w:val="single"/>
        </w:rPr>
      </w:pPr>
    </w:p>
    <w:p w14:paraId="78E6201C">
      <w:pPr>
        <w:pStyle w:val="6"/>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Times New Roman" w:hAnsi="Times New Roman" w:eastAsia="Times New Roman" w:cs="Times New Roman"/>
          <w:b/>
          <w:bCs/>
          <w:color w:val="auto"/>
          <w:spacing w:val="-1"/>
          <w:sz w:val="24"/>
          <w:szCs w:val="24"/>
          <w:lang w:val="en-US" w:eastAsia="zh-CN"/>
        </w:rPr>
      </w:pPr>
    </w:p>
    <w:bookmarkEnd w:id="101"/>
    <w:p w14:paraId="1F6508F5">
      <w:pPr>
        <w:keepNext w:val="0"/>
        <w:keepLines w:val="0"/>
        <w:pageBreakBefore w:val="0"/>
        <w:widowControl w:val="0"/>
        <w:kinsoku/>
        <w:wordWrap/>
        <w:overflowPunct/>
        <w:topLinePunct w:val="0"/>
        <w:autoSpaceDE w:val="0"/>
        <w:autoSpaceDN w:val="0"/>
        <w:bidi w:val="0"/>
        <w:adjustRightInd w:val="0"/>
        <w:snapToGrid w:val="0"/>
        <w:spacing w:line="350" w:lineRule="atLeast"/>
        <w:textAlignment w:val="auto"/>
        <w:rPr>
          <w:rFonts w:hint="eastAsia" w:ascii="Times New Roman" w:hAnsi="Times New Roman" w:eastAsia="宋体" w:cs="Times New Roman"/>
          <w:b w:val="0"/>
          <w:bCs w:val="0"/>
          <w:color w:val="auto"/>
          <w:kern w:val="2"/>
          <w:sz w:val="21"/>
          <w:szCs w:val="21"/>
          <w:highlight w:val="none"/>
          <w:lang w:val="en-US" w:eastAsia="zh-CN" w:bidi="ar-SA"/>
        </w:rPr>
      </w:pPr>
    </w:p>
    <w:p w14:paraId="4AABFE28">
      <w:pPr>
        <w:rPr>
          <w:color w:val="auto"/>
          <w:highlight w:val="none"/>
        </w:rPr>
      </w:pPr>
    </w:p>
    <w:p w14:paraId="597DA120">
      <w:pPr>
        <w:widowControl/>
        <w:jc w:val="left"/>
        <w:rPr>
          <w:rFonts w:eastAsia="楷体" w:cs="Times New Roman"/>
          <w:color w:val="000000"/>
          <w:sz w:val="22"/>
          <w:szCs w:val="22"/>
          <w:u w:val="single"/>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48B94A7E-D2C2-4BDE-B252-E885F9093F09}"/>
  </w:font>
  <w:font w:name="黑体">
    <w:panose1 w:val="02010600030101010101"/>
    <w:charset w:val="86"/>
    <w:family w:val="auto"/>
    <w:pitch w:val="default"/>
    <w:sig w:usb0="800002BF" w:usb1="38CF7CFA" w:usb2="00000016" w:usb3="00000000" w:csb0="00040001" w:csb1="00000000"/>
    <w:embedRegular r:id="rId2" w:fontKey="{7EEDE381-0B0D-4097-9D47-6487487113D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69940375-A8B3-4F64-9215-F6161C85FAEB}"/>
  </w:font>
  <w:font w:name="楷体">
    <w:panose1 w:val="02010609060101010101"/>
    <w:charset w:val="86"/>
    <w:family w:val="modern"/>
    <w:pitch w:val="default"/>
    <w:sig w:usb0="800002BF" w:usb1="38CF7CFA" w:usb2="00000016" w:usb3="00000000" w:csb0="00040001" w:csb1="00000000"/>
    <w:embedRegular r:id="rId4" w:fontKey="{277E80D0-95F9-41F0-B0CB-6A53028C4BC2}"/>
  </w:font>
  <w:font w:name="仿宋">
    <w:panose1 w:val="02010609060101010101"/>
    <w:charset w:val="86"/>
    <w:family w:val="modern"/>
    <w:pitch w:val="default"/>
    <w:sig w:usb0="800002BF" w:usb1="38CF7CFA" w:usb2="00000016" w:usb3="00000000" w:csb0="00040001" w:csb1="00000000"/>
    <w:embedRegular r:id="rId5" w:fontKey="{C7708B38-1520-4ED1-9A08-D37E99189EA9}"/>
  </w:font>
  <w:font w:name="Cambria Math">
    <w:panose1 w:val="02040503050406030204"/>
    <w:charset w:val="00"/>
    <w:family w:val="roman"/>
    <w:pitch w:val="default"/>
    <w:sig w:usb0="E00002FF" w:usb1="420024FF" w:usb2="00000000" w:usb3="00000000" w:csb0="2000019F" w:csb1="00000000"/>
    <w:embedRegular r:id="rId6" w:fontKey="{46FE762D-13FD-409B-85A4-BDEE510490BB}"/>
  </w:font>
  <w:font w:name="Segoe UI">
    <w:panose1 w:val="020B0502040204020203"/>
    <w:charset w:val="00"/>
    <w:family w:val="auto"/>
    <w:pitch w:val="default"/>
    <w:sig w:usb0="E10022FF" w:usb1="C000E47F" w:usb2="00000029" w:usb3="00000000" w:csb0="200001DF" w:csb1="20000000"/>
    <w:embedRegular r:id="rId7" w:fontKey="{F22213AB-F161-4C00-97F5-76D69AE7BC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5CEEC">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49B3E0">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49B3E0">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B058393"/>
    <w:multiLevelType w:val="singleLevel"/>
    <w:tmpl w:val="4B058393"/>
    <w:lvl w:ilvl="0" w:tentative="0">
      <w:start w:val="1"/>
      <w:numFmt w:val="decimal"/>
      <w:suff w:val="space"/>
      <w:lvlText w:val="%1)"/>
      <w:lvlJc w:val="left"/>
    </w:lvl>
  </w:abstractNum>
  <w:abstractNum w:abstractNumId="1">
    <w:nsid w:val="578A0676"/>
    <w:multiLevelType w:val="multilevel"/>
    <w:tmpl w:val="578A0676"/>
    <w:lvl w:ilvl="0" w:tentative="0">
      <w:start w:val="1"/>
      <w:numFmt w:val="ideographDigital"/>
      <w:pStyle w:val="34"/>
      <w:suff w:val="nothing"/>
      <w:lvlText w:val="第%1章"/>
      <w:lvlJc w:val="left"/>
      <w:pPr>
        <w:ind w:left="0" w:firstLine="0"/>
      </w:pPr>
      <w:rPr>
        <w:rFonts w:hint="default" w:ascii="Times New Roman" w:hAnsi="Times New Roman" w:eastAsia="黑体"/>
        <w:b/>
        <w:i w:val="0"/>
        <w:sz w:val="21"/>
        <w:szCs w:val="21"/>
      </w:rPr>
    </w:lvl>
    <w:lvl w:ilvl="1" w:tentative="0">
      <w:start w:val="1"/>
      <w:numFmt w:val="ideographDigital"/>
      <w:suff w:val="nothing"/>
      <w:lvlText w:val="%1第%2章　"/>
      <w:lvlJc w:val="center"/>
      <w:pPr>
        <w:ind w:left="284" w:firstLine="4"/>
      </w:pPr>
      <w:rPr>
        <w:rFonts w:hint="eastAsia" w:ascii="黑体" w:hAnsi="Times New Roman" w:eastAsia="黑体"/>
        <w:b w:val="0"/>
        <w:i w:val="0"/>
        <w:sz w:val="21"/>
        <w:szCs w:val="21"/>
      </w:rPr>
    </w:lvl>
    <w:lvl w:ilvl="2" w:tentative="0">
      <w:start w:val="1"/>
      <w:numFmt w:val="decimal"/>
      <w:suff w:val="nothing"/>
      <w:lvlText w:val="%1第2.0.%3条　"/>
      <w:lvlJc w:val="left"/>
      <w:pPr>
        <w:ind w:left="510" w:hanging="510"/>
      </w:pPr>
      <w:rPr>
        <w:rFonts w:hint="eastAsia" w:ascii="宋体" w:hAnsi="Times New Roman" w:eastAsia="宋体"/>
        <w:b w:val="0"/>
        <w:i w:val="0"/>
        <w:sz w:val="21"/>
        <w:szCs w:val="21"/>
      </w:rPr>
    </w:lvl>
    <w:lvl w:ilvl="3" w:tentative="0">
      <w:start w:val="1"/>
      <w:numFmt w:val="decimal"/>
      <w:suff w:val="nothing"/>
      <w:lvlText w:val="%1%4."/>
      <w:lvlJc w:val="left"/>
      <w:pPr>
        <w:ind w:left="700" w:hanging="340"/>
      </w:pPr>
      <w:rPr>
        <w:rFonts w:hint="eastAsia" w:ascii="宋体" w:hAnsi="Times New Roman" w:eastAsia="宋体"/>
        <w:b w:val="0"/>
        <w:i w:val="0"/>
        <w:sz w:val="21"/>
        <w:szCs w:val="21"/>
      </w:rPr>
    </w:lvl>
    <w:lvl w:ilvl="4" w:tentative="0">
      <w:start w:val="1"/>
      <w:numFmt w:val="lowerLetter"/>
      <w:suff w:val="nothing"/>
      <w:lvlText w:val="%1%5）　"/>
      <w:lvlJc w:val="left"/>
      <w:pPr>
        <w:ind w:left="1701" w:hanging="567"/>
      </w:pPr>
      <w:rPr>
        <w:rFonts w:hint="eastAsia" w:ascii="黑体" w:hAnsi="Times New Roman" w:eastAsia="黑体"/>
        <w:b w:val="0"/>
        <w:i w:val="0"/>
        <w:sz w:val="21"/>
      </w:rPr>
    </w:lvl>
    <w:lvl w:ilvl="5" w:tentative="0">
      <w:start w:val="1"/>
      <w:numFmt w:val="bullet"/>
      <w:suff w:val="nothing"/>
      <w:lvlText w:val=""/>
      <w:lvlJc w:val="left"/>
      <w:pPr>
        <w:ind w:left="0" w:firstLine="1418"/>
      </w:pPr>
      <w:rPr>
        <w:rFonts w:hint="default" w:ascii="Symbol" w:hAnsi="Symbol"/>
        <w:b w:val="0"/>
        <w:i w:val="0"/>
        <w:color w:val="auto"/>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embedTrueTypeFonts/>
  <w:saveSubset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089"/>
    <w:rsid w:val="000038E5"/>
    <w:rsid w:val="00003A14"/>
    <w:rsid w:val="00005338"/>
    <w:rsid w:val="0001333D"/>
    <w:rsid w:val="00013A60"/>
    <w:rsid w:val="00016656"/>
    <w:rsid w:val="000200C4"/>
    <w:rsid w:val="0002029E"/>
    <w:rsid w:val="00020E32"/>
    <w:rsid w:val="000212C1"/>
    <w:rsid w:val="00022DE7"/>
    <w:rsid w:val="00024361"/>
    <w:rsid w:val="00024440"/>
    <w:rsid w:val="000244BD"/>
    <w:rsid w:val="000251D0"/>
    <w:rsid w:val="000255C1"/>
    <w:rsid w:val="000268F8"/>
    <w:rsid w:val="0002748E"/>
    <w:rsid w:val="00027A0F"/>
    <w:rsid w:val="00027A32"/>
    <w:rsid w:val="00031A4F"/>
    <w:rsid w:val="00036206"/>
    <w:rsid w:val="00036DA4"/>
    <w:rsid w:val="000406B7"/>
    <w:rsid w:val="00043BC0"/>
    <w:rsid w:val="000440AD"/>
    <w:rsid w:val="000455DB"/>
    <w:rsid w:val="00046E6A"/>
    <w:rsid w:val="00047598"/>
    <w:rsid w:val="00050030"/>
    <w:rsid w:val="00053155"/>
    <w:rsid w:val="00053225"/>
    <w:rsid w:val="0005357D"/>
    <w:rsid w:val="00053973"/>
    <w:rsid w:val="0005509F"/>
    <w:rsid w:val="00055F1A"/>
    <w:rsid w:val="00057870"/>
    <w:rsid w:val="00060B62"/>
    <w:rsid w:val="00064280"/>
    <w:rsid w:val="0006520A"/>
    <w:rsid w:val="00066FDB"/>
    <w:rsid w:val="00067067"/>
    <w:rsid w:val="00070088"/>
    <w:rsid w:val="00070BAB"/>
    <w:rsid w:val="00073768"/>
    <w:rsid w:val="00074210"/>
    <w:rsid w:val="00074481"/>
    <w:rsid w:val="00074493"/>
    <w:rsid w:val="000767BE"/>
    <w:rsid w:val="00077423"/>
    <w:rsid w:val="0008194F"/>
    <w:rsid w:val="00086194"/>
    <w:rsid w:val="00087346"/>
    <w:rsid w:val="000919E5"/>
    <w:rsid w:val="00091DFD"/>
    <w:rsid w:val="0009333B"/>
    <w:rsid w:val="00093B1E"/>
    <w:rsid w:val="00096363"/>
    <w:rsid w:val="0009674C"/>
    <w:rsid w:val="000972BC"/>
    <w:rsid w:val="0009790A"/>
    <w:rsid w:val="00097F1C"/>
    <w:rsid w:val="00097FF2"/>
    <w:rsid w:val="000A00E5"/>
    <w:rsid w:val="000A2FF2"/>
    <w:rsid w:val="000A5682"/>
    <w:rsid w:val="000A6402"/>
    <w:rsid w:val="000B0088"/>
    <w:rsid w:val="000B092A"/>
    <w:rsid w:val="000B315A"/>
    <w:rsid w:val="000B5D6A"/>
    <w:rsid w:val="000B7550"/>
    <w:rsid w:val="000B7A90"/>
    <w:rsid w:val="000C07BC"/>
    <w:rsid w:val="000C25D9"/>
    <w:rsid w:val="000C56B1"/>
    <w:rsid w:val="000C625F"/>
    <w:rsid w:val="000C71F4"/>
    <w:rsid w:val="000C765C"/>
    <w:rsid w:val="000D150E"/>
    <w:rsid w:val="000D18D3"/>
    <w:rsid w:val="000D38D5"/>
    <w:rsid w:val="000D3E53"/>
    <w:rsid w:val="000D412F"/>
    <w:rsid w:val="000D4B27"/>
    <w:rsid w:val="000D58BA"/>
    <w:rsid w:val="000D7C3F"/>
    <w:rsid w:val="000E0065"/>
    <w:rsid w:val="000E4B99"/>
    <w:rsid w:val="000E5C04"/>
    <w:rsid w:val="000E5F83"/>
    <w:rsid w:val="000E608F"/>
    <w:rsid w:val="000E6DA4"/>
    <w:rsid w:val="000E7D47"/>
    <w:rsid w:val="000F21D1"/>
    <w:rsid w:val="000F7579"/>
    <w:rsid w:val="00100718"/>
    <w:rsid w:val="001018DA"/>
    <w:rsid w:val="00101E67"/>
    <w:rsid w:val="001027A0"/>
    <w:rsid w:val="001046B0"/>
    <w:rsid w:val="00107FDB"/>
    <w:rsid w:val="001127FD"/>
    <w:rsid w:val="00112D64"/>
    <w:rsid w:val="00114016"/>
    <w:rsid w:val="00114A0C"/>
    <w:rsid w:val="001164E8"/>
    <w:rsid w:val="0011766E"/>
    <w:rsid w:val="0011778A"/>
    <w:rsid w:val="00120D82"/>
    <w:rsid w:val="001217A3"/>
    <w:rsid w:val="00130ACE"/>
    <w:rsid w:val="00130B86"/>
    <w:rsid w:val="00131C72"/>
    <w:rsid w:val="001322DF"/>
    <w:rsid w:val="001333E9"/>
    <w:rsid w:val="00136C32"/>
    <w:rsid w:val="001378A3"/>
    <w:rsid w:val="001410B4"/>
    <w:rsid w:val="00141184"/>
    <w:rsid w:val="00141CBC"/>
    <w:rsid w:val="00142389"/>
    <w:rsid w:val="00145FC4"/>
    <w:rsid w:val="00147B84"/>
    <w:rsid w:val="001507BB"/>
    <w:rsid w:val="00150F63"/>
    <w:rsid w:val="001529C7"/>
    <w:rsid w:val="001538BF"/>
    <w:rsid w:val="001539D3"/>
    <w:rsid w:val="00153BBB"/>
    <w:rsid w:val="00153CE1"/>
    <w:rsid w:val="00154A8D"/>
    <w:rsid w:val="00157604"/>
    <w:rsid w:val="00157A9C"/>
    <w:rsid w:val="00160CBC"/>
    <w:rsid w:val="001622A0"/>
    <w:rsid w:val="0016281D"/>
    <w:rsid w:val="00163D0C"/>
    <w:rsid w:val="00166ACB"/>
    <w:rsid w:val="00167579"/>
    <w:rsid w:val="00176339"/>
    <w:rsid w:val="001772D9"/>
    <w:rsid w:val="001800FE"/>
    <w:rsid w:val="00182BB2"/>
    <w:rsid w:val="00183ADE"/>
    <w:rsid w:val="001875E9"/>
    <w:rsid w:val="00190BB0"/>
    <w:rsid w:val="0019513E"/>
    <w:rsid w:val="0019641A"/>
    <w:rsid w:val="0019748F"/>
    <w:rsid w:val="001A22E1"/>
    <w:rsid w:val="001A34AD"/>
    <w:rsid w:val="001A467F"/>
    <w:rsid w:val="001A52F1"/>
    <w:rsid w:val="001A61D2"/>
    <w:rsid w:val="001A6BAB"/>
    <w:rsid w:val="001B0F01"/>
    <w:rsid w:val="001B44B7"/>
    <w:rsid w:val="001B5A19"/>
    <w:rsid w:val="001B5D93"/>
    <w:rsid w:val="001B730B"/>
    <w:rsid w:val="001B76F1"/>
    <w:rsid w:val="001C5DF7"/>
    <w:rsid w:val="001C600C"/>
    <w:rsid w:val="001D5496"/>
    <w:rsid w:val="001D65B3"/>
    <w:rsid w:val="001E00D7"/>
    <w:rsid w:val="001E0901"/>
    <w:rsid w:val="001E2363"/>
    <w:rsid w:val="001E3440"/>
    <w:rsid w:val="001E4519"/>
    <w:rsid w:val="001E5EB1"/>
    <w:rsid w:val="001E6519"/>
    <w:rsid w:val="001E7268"/>
    <w:rsid w:val="001F0883"/>
    <w:rsid w:val="001F2E87"/>
    <w:rsid w:val="001F3FF1"/>
    <w:rsid w:val="001F77E8"/>
    <w:rsid w:val="002021B6"/>
    <w:rsid w:val="00202B54"/>
    <w:rsid w:val="00204AA8"/>
    <w:rsid w:val="00204DFE"/>
    <w:rsid w:val="00206F64"/>
    <w:rsid w:val="00206FB9"/>
    <w:rsid w:val="00207DAB"/>
    <w:rsid w:val="002153F5"/>
    <w:rsid w:val="0021564F"/>
    <w:rsid w:val="00215BBB"/>
    <w:rsid w:val="00217338"/>
    <w:rsid w:val="00217F94"/>
    <w:rsid w:val="00220474"/>
    <w:rsid w:val="0022312F"/>
    <w:rsid w:val="0022339D"/>
    <w:rsid w:val="002246B9"/>
    <w:rsid w:val="0022507B"/>
    <w:rsid w:val="00226920"/>
    <w:rsid w:val="00233C00"/>
    <w:rsid w:val="00234D5B"/>
    <w:rsid w:val="00234E87"/>
    <w:rsid w:val="002351BA"/>
    <w:rsid w:val="00240448"/>
    <w:rsid w:val="0024133A"/>
    <w:rsid w:val="002414DF"/>
    <w:rsid w:val="00242794"/>
    <w:rsid w:val="00243077"/>
    <w:rsid w:val="00246381"/>
    <w:rsid w:val="00246DC2"/>
    <w:rsid w:val="00250C6B"/>
    <w:rsid w:val="00252334"/>
    <w:rsid w:val="00253A87"/>
    <w:rsid w:val="00257CB2"/>
    <w:rsid w:val="00261356"/>
    <w:rsid w:val="002619A8"/>
    <w:rsid w:val="00263276"/>
    <w:rsid w:val="00264EBF"/>
    <w:rsid w:val="00265094"/>
    <w:rsid w:val="00265B36"/>
    <w:rsid w:val="00265D70"/>
    <w:rsid w:val="00267B69"/>
    <w:rsid w:val="002702E5"/>
    <w:rsid w:val="002706D0"/>
    <w:rsid w:val="00271CAB"/>
    <w:rsid w:val="00275260"/>
    <w:rsid w:val="00280B01"/>
    <w:rsid w:val="00283DA6"/>
    <w:rsid w:val="00284400"/>
    <w:rsid w:val="00284F18"/>
    <w:rsid w:val="0028648E"/>
    <w:rsid w:val="00287FFC"/>
    <w:rsid w:val="0029100E"/>
    <w:rsid w:val="00295B57"/>
    <w:rsid w:val="002A144B"/>
    <w:rsid w:val="002A1C0E"/>
    <w:rsid w:val="002A3157"/>
    <w:rsid w:val="002A5B70"/>
    <w:rsid w:val="002A5BFC"/>
    <w:rsid w:val="002A7668"/>
    <w:rsid w:val="002B0511"/>
    <w:rsid w:val="002B0A08"/>
    <w:rsid w:val="002B1564"/>
    <w:rsid w:val="002B1C16"/>
    <w:rsid w:val="002B2C17"/>
    <w:rsid w:val="002B2E03"/>
    <w:rsid w:val="002B409A"/>
    <w:rsid w:val="002B43FA"/>
    <w:rsid w:val="002B4AAF"/>
    <w:rsid w:val="002B58B9"/>
    <w:rsid w:val="002B7886"/>
    <w:rsid w:val="002B7D95"/>
    <w:rsid w:val="002C0CEC"/>
    <w:rsid w:val="002C0E65"/>
    <w:rsid w:val="002C352B"/>
    <w:rsid w:val="002C3DD8"/>
    <w:rsid w:val="002C3FA7"/>
    <w:rsid w:val="002C56FA"/>
    <w:rsid w:val="002C7A41"/>
    <w:rsid w:val="002D06EC"/>
    <w:rsid w:val="002D3475"/>
    <w:rsid w:val="002D6E8A"/>
    <w:rsid w:val="002E11CA"/>
    <w:rsid w:val="002E2127"/>
    <w:rsid w:val="002E3457"/>
    <w:rsid w:val="002E3577"/>
    <w:rsid w:val="002E41D5"/>
    <w:rsid w:val="002E43B9"/>
    <w:rsid w:val="002E5D0A"/>
    <w:rsid w:val="002E7A9B"/>
    <w:rsid w:val="002F3F03"/>
    <w:rsid w:val="002F4334"/>
    <w:rsid w:val="002F459A"/>
    <w:rsid w:val="002F6462"/>
    <w:rsid w:val="00300536"/>
    <w:rsid w:val="00301397"/>
    <w:rsid w:val="00301805"/>
    <w:rsid w:val="0030324A"/>
    <w:rsid w:val="0030565D"/>
    <w:rsid w:val="003142B3"/>
    <w:rsid w:val="003202DD"/>
    <w:rsid w:val="0032133B"/>
    <w:rsid w:val="00322F39"/>
    <w:rsid w:val="00325663"/>
    <w:rsid w:val="0032575C"/>
    <w:rsid w:val="0032639E"/>
    <w:rsid w:val="0033385E"/>
    <w:rsid w:val="00333A2A"/>
    <w:rsid w:val="0033484B"/>
    <w:rsid w:val="00334BAE"/>
    <w:rsid w:val="00336993"/>
    <w:rsid w:val="00341E81"/>
    <w:rsid w:val="00342A9B"/>
    <w:rsid w:val="00344877"/>
    <w:rsid w:val="003473A2"/>
    <w:rsid w:val="003525B0"/>
    <w:rsid w:val="00352CA4"/>
    <w:rsid w:val="00353E7C"/>
    <w:rsid w:val="00354429"/>
    <w:rsid w:val="00357967"/>
    <w:rsid w:val="00360CA5"/>
    <w:rsid w:val="00360FA5"/>
    <w:rsid w:val="003640D8"/>
    <w:rsid w:val="0036738A"/>
    <w:rsid w:val="00367800"/>
    <w:rsid w:val="003733AA"/>
    <w:rsid w:val="00374B75"/>
    <w:rsid w:val="00374E1C"/>
    <w:rsid w:val="0037576A"/>
    <w:rsid w:val="00376A57"/>
    <w:rsid w:val="00376E39"/>
    <w:rsid w:val="00385EE4"/>
    <w:rsid w:val="00386E59"/>
    <w:rsid w:val="00387054"/>
    <w:rsid w:val="00391784"/>
    <w:rsid w:val="00394F9F"/>
    <w:rsid w:val="00394FBB"/>
    <w:rsid w:val="00397867"/>
    <w:rsid w:val="003A1B65"/>
    <w:rsid w:val="003A2D12"/>
    <w:rsid w:val="003A2F9A"/>
    <w:rsid w:val="003A39E2"/>
    <w:rsid w:val="003A42DC"/>
    <w:rsid w:val="003A4730"/>
    <w:rsid w:val="003A51DF"/>
    <w:rsid w:val="003A75B4"/>
    <w:rsid w:val="003A7C76"/>
    <w:rsid w:val="003B0AB5"/>
    <w:rsid w:val="003B2719"/>
    <w:rsid w:val="003B6203"/>
    <w:rsid w:val="003B7978"/>
    <w:rsid w:val="003C056B"/>
    <w:rsid w:val="003C0C82"/>
    <w:rsid w:val="003C11F5"/>
    <w:rsid w:val="003C2886"/>
    <w:rsid w:val="003C73BE"/>
    <w:rsid w:val="003D1DA9"/>
    <w:rsid w:val="003D21A1"/>
    <w:rsid w:val="003D375C"/>
    <w:rsid w:val="003D44A3"/>
    <w:rsid w:val="003D4EDC"/>
    <w:rsid w:val="003D744C"/>
    <w:rsid w:val="003E01A8"/>
    <w:rsid w:val="003E0206"/>
    <w:rsid w:val="003E1488"/>
    <w:rsid w:val="003E5A03"/>
    <w:rsid w:val="003F1172"/>
    <w:rsid w:val="003F17D3"/>
    <w:rsid w:val="003F32B4"/>
    <w:rsid w:val="004025D8"/>
    <w:rsid w:val="00403D51"/>
    <w:rsid w:val="00404F9D"/>
    <w:rsid w:val="00406D2A"/>
    <w:rsid w:val="004128C7"/>
    <w:rsid w:val="00413331"/>
    <w:rsid w:val="00417291"/>
    <w:rsid w:val="00420B57"/>
    <w:rsid w:val="00422135"/>
    <w:rsid w:val="00425052"/>
    <w:rsid w:val="00427082"/>
    <w:rsid w:val="0043375F"/>
    <w:rsid w:val="004347E5"/>
    <w:rsid w:val="004355F8"/>
    <w:rsid w:val="0043601F"/>
    <w:rsid w:val="00437CAA"/>
    <w:rsid w:val="004414D3"/>
    <w:rsid w:val="0044334E"/>
    <w:rsid w:val="00444E44"/>
    <w:rsid w:val="00445BAB"/>
    <w:rsid w:val="004469D9"/>
    <w:rsid w:val="00446BD8"/>
    <w:rsid w:val="004518B4"/>
    <w:rsid w:val="00451A31"/>
    <w:rsid w:val="00452F7A"/>
    <w:rsid w:val="004554C9"/>
    <w:rsid w:val="00455E89"/>
    <w:rsid w:val="00457360"/>
    <w:rsid w:val="00457466"/>
    <w:rsid w:val="0046143E"/>
    <w:rsid w:val="00461AEB"/>
    <w:rsid w:val="00462C07"/>
    <w:rsid w:val="00463E57"/>
    <w:rsid w:val="00465882"/>
    <w:rsid w:val="00467498"/>
    <w:rsid w:val="004676FC"/>
    <w:rsid w:val="00470AE4"/>
    <w:rsid w:val="00472209"/>
    <w:rsid w:val="00474221"/>
    <w:rsid w:val="004744D1"/>
    <w:rsid w:val="0047775A"/>
    <w:rsid w:val="00482602"/>
    <w:rsid w:val="004839A2"/>
    <w:rsid w:val="004844A4"/>
    <w:rsid w:val="004863E8"/>
    <w:rsid w:val="004912B8"/>
    <w:rsid w:val="00491D07"/>
    <w:rsid w:val="0049214D"/>
    <w:rsid w:val="00493594"/>
    <w:rsid w:val="00494BDC"/>
    <w:rsid w:val="004966FC"/>
    <w:rsid w:val="00497CB0"/>
    <w:rsid w:val="004A1040"/>
    <w:rsid w:val="004A13D7"/>
    <w:rsid w:val="004A27F1"/>
    <w:rsid w:val="004A2C09"/>
    <w:rsid w:val="004A33E2"/>
    <w:rsid w:val="004A55D7"/>
    <w:rsid w:val="004A5EA2"/>
    <w:rsid w:val="004A5EC2"/>
    <w:rsid w:val="004B0512"/>
    <w:rsid w:val="004B1EC1"/>
    <w:rsid w:val="004B3E41"/>
    <w:rsid w:val="004B502D"/>
    <w:rsid w:val="004B5C36"/>
    <w:rsid w:val="004C02A2"/>
    <w:rsid w:val="004C1CEE"/>
    <w:rsid w:val="004C4629"/>
    <w:rsid w:val="004C5AFA"/>
    <w:rsid w:val="004D1D3C"/>
    <w:rsid w:val="004D2DBD"/>
    <w:rsid w:val="004D300D"/>
    <w:rsid w:val="004D3203"/>
    <w:rsid w:val="004D3838"/>
    <w:rsid w:val="004D456A"/>
    <w:rsid w:val="004D5C9B"/>
    <w:rsid w:val="004D6160"/>
    <w:rsid w:val="004D71FE"/>
    <w:rsid w:val="004E03FD"/>
    <w:rsid w:val="004E0A30"/>
    <w:rsid w:val="004E214C"/>
    <w:rsid w:val="004E2310"/>
    <w:rsid w:val="004E2EA6"/>
    <w:rsid w:val="004E2F5A"/>
    <w:rsid w:val="004E36BD"/>
    <w:rsid w:val="004E3783"/>
    <w:rsid w:val="004E694E"/>
    <w:rsid w:val="004E760F"/>
    <w:rsid w:val="004E7B8B"/>
    <w:rsid w:val="004F2ECA"/>
    <w:rsid w:val="004F2FA2"/>
    <w:rsid w:val="004F3CDA"/>
    <w:rsid w:val="004F705A"/>
    <w:rsid w:val="0050117F"/>
    <w:rsid w:val="00502693"/>
    <w:rsid w:val="0050283D"/>
    <w:rsid w:val="00503F62"/>
    <w:rsid w:val="0050533B"/>
    <w:rsid w:val="0050608E"/>
    <w:rsid w:val="00511632"/>
    <w:rsid w:val="0051220F"/>
    <w:rsid w:val="0051224F"/>
    <w:rsid w:val="005134F0"/>
    <w:rsid w:val="0051390C"/>
    <w:rsid w:val="00513A90"/>
    <w:rsid w:val="00515411"/>
    <w:rsid w:val="00515D8D"/>
    <w:rsid w:val="00516890"/>
    <w:rsid w:val="0052531F"/>
    <w:rsid w:val="00526FE8"/>
    <w:rsid w:val="00530D37"/>
    <w:rsid w:val="00531357"/>
    <w:rsid w:val="00531B71"/>
    <w:rsid w:val="00532F42"/>
    <w:rsid w:val="0053307C"/>
    <w:rsid w:val="0053570E"/>
    <w:rsid w:val="00535847"/>
    <w:rsid w:val="00535B42"/>
    <w:rsid w:val="00536C65"/>
    <w:rsid w:val="0054137B"/>
    <w:rsid w:val="0054294A"/>
    <w:rsid w:val="00542E61"/>
    <w:rsid w:val="00543682"/>
    <w:rsid w:val="0054390B"/>
    <w:rsid w:val="00545966"/>
    <w:rsid w:val="00552267"/>
    <w:rsid w:val="005538AC"/>
    <w:rsid w:val="00554295"/>
    <w:rsid w:val="00556609"/>
    <w:rsid w:val="00556A42"/>
    <w:rsid w:val="00560253"/>
    <w:rsid w:val="00562CBE"/>
    <w:rsid w:val="0056316B"/>
    <w:rsid w:val="00564AFA"/>
    <w:rsid w:val="00565A2C"/>
    <w:rsid w:val="0057005C"/>
    <w:rsid w:val="0057068F"/>
    <w:rsid w:val="00572687"/>
    <w:rsid w:val="00572AAE"/>
    <w:rsid w:val="00573B0F"/>
    <w:rsid w:val="00574AC2"/>
    <w:rsid w:val="0057531D"/>
    <w:rsid w:val="00575533"/>
    <w:rsid w:val="005755F7"/>
    <w:rsid w:val="005771F7"/>
    <w:rsid w:val="0057731E"/>
    <w:rsid w:val="00584603"/>
    <w:rsid w:val="005857A0"/>
    <w:rsid w:val="00591BDC"/>
    <w:rsid w:val="005926DC"/>
    <w:rsid w:val="00593B3A"/>
    <w:rsid w:val="00594905"/>
    <w:rsid w:val="00596D5B"/>
    <w:rsid w:val="00597D1D"/>
    <w:rsid w:val="005A358A"/>
    <w:rsid w:val="005A3946"/>
    <w:rsid w:val="005A6D62"/>
    <w:rsid w:val="005A75CC"/>
    <w:rsid w:val="005B4247"/>
    <w:rsid w:val="005B449B"/>
    <w:rsid w:val="005B784A"/>
    <w:rsid w:val="005B7CED"/>
    <w:rsid w:val="005C0AEB"/>
    <w:rsid w:val="005C1335"/>
    <w:rsid w:val="005C1D83"/>
    <w:rsid w:val="005C348F"/>
    <w:rsid w:val="005C415B"/>
    <w:rsid w:val="005C44EC"/>
    <w:rsid w:val="005C66D2"/>
    <w:rsid w:val="005D08D1"/>
    <w:rsid w:val="005D2993"/>
    <w:rsid w:val="005D2FC0"/>
    <w:rsid w:val="005E064D"/>
    <w:rsid w:val="005E16D3"/>
    <w:rsid w:val="005E3BF0"/>
    <w:rsid w:val="005E5C4A"/>
    <w:rsid w:val="005E5EB2"/>
    <w:rsid w:val="005E7AF9"/>
    <w:rsid w:val="005F080D"/>
    <w:rsid w:val="005F1A51"/>
    <w:rsid w:val="005F1F9F"/>
    <w:rsid w:val="005F3955"/>
    <w:rsid w:val="005F488F"/>
    <w:rsid w:val="005F7C60"/>
    <w:rsid w:val="006010BF"/>
    <w:rsid w:val="0060151F"/>
    <w:rsid w:val="00603A53"/>
    <w:rsid w:val="006055D1"/>
    <w:rsid w:val="00605B8E"/>
    <w:rsid w:val="00605D94"/>
    <w:rsid w:val="00610479"/>
    <w:rsid w:val="006128E6"/>
    <w:rsid w:val="006134AE"/>
    <w:rsid w:val="00613EFA"/>
    <w:rsid w:val="0061482C"/>
    <w:rsid w:val="00615213"/>
    <w:rsid w:val="00621237"/>
    <w:rsid w:val="00621FA7"/>
    <w:rsid w:val="00624F9E"/>
    <w:rsid w:val="00625681"/>
    <w:rsid w:val="00626CED"/>
    <w:rsid w:val="00631F6D"/>
    <w:rsid w:val="00632BE0"/>
    <w:rsid w:val="006355A8"/>
    <w:rsid w:val="006356D1"/>
    <w:rsid w:val="006379D1"/>
    <w:rsid w:val="00640949"/>
    <w:rsid w:val="00642458"/>
    <w:rsid w:val="00646A4C"/>
    <w:rsid w:val="00646C8A"/>
    <w:rsid w:val="0064759C"/>
    <w:rsid w:val="00647EC7"/>
    <w:rsid w:val="00647F35"/>
    <w:rsid w:val="00651402"/>
    <w:rsid w:val="00651CC2"/>
    <w:rsid w:val="0065286D"/>
    <w:rsid w:val="00652C18"/>
    <w:rsid w:val="00652F89"/>
    <w:rsid w:val="0065487D"/>
    <w:rsid w:val="006566E2"/>
    <w:rsid w:val="00657D08"/>
    <w:rsid w:val="006669F1"/>
    <w:rsid w:val="00675362"/>
    <w:rsid w:val="00675B2E"/>
    <w:rsid w:val="00676289"/>
    <w:rsid w:val="00680CBA"/>
    <w:rsid w:val="00683354"/>
    <w:rsid w:val="00683A2C"/>
    <w:rsid w:val="0068694F"/>
    <w:rsid w:val="006869D9"/>
    <w:rsid w:val="00690189"/>
    <w:rsid w:val="00691013"/>
    <w:rsid w:val="006968D2"/>
    <w:rsid w:val="006969F2"/>
    <w:rsid w:val="00696D58"/>
    <w:rsid w:val="006A1955"/>
    <w:rsid w:val="006A2F82"/>
    <w:rsid w:val="006A3402"/>
    <w:rsid w:val="006A3880"/>
    <w:rsid w:val="006B166D"/>
    <w:rsid w:val="006B578E"/>
    <w:rsid w:val="006B60E8"/>
    <w:rsid w:val="006B758F"/>
    <w:rsid w:val="006B7E53"/>
    <w:rsid w:val="006C00CC"/>
    <w:rsid w:val="006C03E0"/>
    <w:rsid w:val="006C11C8"/>
    <w:rsid w:val="006C3C46"/>
    <w:rsid w:val="006C400F"/>
    <w:rsid w:val="006C5E93"/>
    <w:rsid w:val="006C6901"/>
    <w:rsid w:val="006C6F91"/>
    <w:rsid w:val="006C7386"/>
    <w:rsid w:val="006D3E5C"/>
    <w:rsid w:val="006D58D1"/>
    <w:rsid w:val="006D6DD2"/>
    <w:rsid w:val="006D7773"/>
    <w:rsid w:val="006E08E6"/>
    <w:rsid w:val="006E2A4E"/>
    <w:rsid w:val="006E2F26"/>
    <w:rsid w:val="006E4DD3"/>
    <w:rsid w:val="006E5B22"/>
    <w:rsid w:val="006E741C"/>
    <w:rsid w:val="006E78D2"/>
    <w:rsid w:val="006F0770"/>
    <w:rsid w:val="006F0B3B"/>
    <w:rsid w:val="006F1187"/>
    <w:rsid w:val="006F1F88"/>
    <w:rsid w:val="006F2E7A"/>
    <w:rsid w:val="006F4166"/>
    <w:rsid w:val="006F60EE"/>
    <w:rsid w:val="006F7250"/>
    <w:rsid w:val="00700D12"/>
    <w:rsid w:val="00702255"/>
    <w:rsid w:val="0070510B"/>
    <w:rsid w:val="00705567"/>
    <w:rsid w:val="00705E04"/>
    <w:rsid w:val="00706FE2"/>
    <w:rsid w:val="00710738"/>
    <w:rsid w:val="0071147A"/>
    <w:rsid w:val="007171D5"/>
    <w:rsid w:val="00720A86"/>
    <w:rsid w:val="007239E2"/>
    <w:rsid w:val="00723AE9"/>
    <w:rsid w:val="00723CED"/>
    <w:rsid w:val="007301FA"/>
    <w:rsid w:val="007318EB"/>
    <w:rsid w:val="0073466D"/>
    <w:rsid w:val="00734D97"/>
    <w:rsid w:val="00737154"/>
    <w:rsid w:val="00737CFA"/>
    <w:rsid w:val="007437AF"/>
    <w:rsid w:val="00746C56"/>
    <w:rsid w:val="007471A2"/>
    <w:rsid w:val="00747F51"/>
    <w:rsid w:val="00747FE9"/>
    <w:rsid w:val="00750A2B"/>
    <w:rsid w:val="00752476"/>
    <w:rsid w:val="00753490"/>
    <w:rsid w:val="00754533"/>
    <w:rsid w:val="00755096"/>
    <w:rsid w:val="00763CBB"/>
    <w:rsid w:val="00765A42"/>
    <w:rsid w:val="00766A34"/>
    <w:rsid w:val="00766B91"/>
    <w:rsid w:val="00766E37"/>
    <w:rsid w:val="00767F5E"/>
    <w:rsid w:val="00770BA8"/>
    <w:rsid w:val="0077267C"/>
    <w:rsid w:val="00772D1C"/>
    <w:rsid w:val="00774A8A"/>
    <w:rsid w:val="0078061D"/>
    <w:rsid w:val="00783D54"/>
    <w:rsid w:val="0078402D"/>
    <w:rsid w:val="00784DC6"/>
    <w:rsid w:val="00785911"/>
    <w:rsid w:val="00786725"/>
    <w:rsid w:val="00787569"/>
    <w:rsid w:val="007900A4"/>
    <w:rsid w:val="007901EE"/>
    <w:rsid w:val="00790488"/>
    <w:rsid w:val="00794065"/>
    <w:rsid w:val="007961DB"/>
    <w:rsid w:val="007A445B"/>
    <w:rsid w:val="007A549C"/>
    <w:rsid w:val="007B098A"/>
    <w:rsid w:val="007B31BE"/>
    <w:rsid w:val="007B3D47"/>
    <w:rsid w:val="007B6BE0"/>
    <w:rsid w:val="007B792C"/>
    <w:rsid w:val="007B7C6A"/>
    <w:rsid w:val="007C16DB"/>
    <w:rsid w:val="007C2AE4"/>
    <w:rsid w:val="007C32BF"/>
    <w:rsid w:val="007C467A"/>
    <w:rsid w:val="007C4E9F"/>
    <w:rsid w:val="007C6084"/>
    <w:rsid w:val="007C6B50"/>
    <w:rsid w:val="007C6C81"/>
    <w:rsid w:val="007D0106"/>
    <w:rsid w:val="007D245A"/>
    <w:rsid w:val="007D364A"/>
    <w:rsid w:val="007D4509"/>
    <w:rsid w:val="007D4AA1"/>
    <w:rsid w:val="007D66D1"/>
    <w:rsid w:val="007D6A9A"/>
    <w:rsid w:val="007E0FBC"/>
    <w:rsid w:val="007E3025"/>
    <w:rsid w:val="007E6721"/>
    <w:rsid w:val="007E7335"/>
    <w:rsid w:val="007F1B88"/>
    <w:rsid w:val="007F27DE"/>
    <w:rsid w:val="007F6D6E"/>
    <w:rsid w:val="0080049A"/>
    <w:rsid w:val="0080132F"/>
    <w:rsid w:val="0080328C"/>
    <w:rsid w:val="00803E4F"/>
    <w:rsid w:val="00804370"/>
    <w:rsid w:val="008045B9"/>
    <w:rsid w:val="0080653B"/>
    <w:rsid w:val="00806DC0"/>
    <w:rsid w:val="00811D43"/>
    <w:rsid w:val="008120A4"/>
    <w:rsid w:val="008143D5"/>
    <w:rsid w:val="00814ED6"/>
    <w:rsid w:val="00817051"/>
    <w:rsid w:val="00817F35"/>
    <w:rsid w:val="00820380"/>
    <w:rsid w:val="00820685"/>
    <w:rsid w:val="008236D3"/>
    <w:rsid w:val="0082392D"/>
    <w:rsid w:val="008243C3"/>
    <w:rsid w:val="00825692"/>
    <w:rsid w:val="00826011"/>
    <w:rsid w:val="00827894"/>
    <w:rsid w:val="00830543"/>
    <w:rsid w:val="00831268"/>
    <w:rsid w:val="008344EB"/>
    <w:rsid w:val="0083540C"/>
    <w:rsid w:val="00835A22"/>
    <w:rsid w:val="00837D6E"/>
    <w:rsid w:val="00843039"/>
    <w:rsid w:val="00844BF6"/>
    <w:rsid w:val="008454F5"/>
    <w:rsid w:val="0084660D"/>
    <w:rsid w:val="00846D08"/>
    <w:rsid w:val="008471F2"/>
    <w:rsid w:val="0085309D"/>
    <w:rsid w:val="00853788"/>
    <w:rsid w:val="00853A14"/>
    <w:rsid w:val="008612D0"/>
    <w:rsid w:val="00861EC2"/>
    <w:rsid w:val="00861FA6"/>
    <w:rsid w:val="00862694"/>
    <w:rsid w:val="00863DE8"/>
    <w:rsid w:val="00864715"/>
    <w:rsid w:val="00864B39"/>
    <w:rsid w:val="00870F44"/>
    <w:rsid w:val="00875330"/>
    <w:rsid w:val="0087534E"/>
    <w:rsid w:val="00880962"/>
    <w:rsid w:val="00880D3C"/>
    <w:rsid w:val="00883344"/>
    <w:rsid w:val="008833FB"/>
    <w:rsid w:val="00884354"/>
    <w:rsid w:val="00885360"/>
    <w:rsid w:val="00892086"/>
    <w:rsid w:val="008920BE"/>
    <w:rsid w:val="00892604"/>
    <w:rsid w:val="00893F84"/>
    <w:rsid w:val="00894099"/>
    <w:rsid w:val="00895AC5"/>
    <w:rsid w:val="00897026"/>
    <w:rsid w:val="008A02D1"/>
    <w:rsid w:val="008A061B"/>
    <w:rsid w:val="008A1465"/>
    <w:rsid w:val="008A2307"/>
    <w:rsid w:val="008A322F"/>
    <w:rsid w:val="008A7C98"/>
    <w:rsid w:val="008B01BC"/>
    <w:rsid w:val="008B45AB"/>
    <w:rsid w:val="008B4B4A"/>
    <w:rsid w:val="008B55D0"/>
    <w:rsid w:val="008C055F"/>
    <w:rsid w:val="008C13AD"/>
    <w:rsid w:val="008C16C2"/>
    <w:rsid w:val="008C2182"/>
    <w:rsid w:val="008C3982"/>
    <w:rsid w:val="008C3F1D"/>
    <w:rsid w:val="008C482A"/>
    <w:rsid w:val="008C6B82"/>
    <w:rsid w:val="008D015C"/>
    <w:rsid w:val="008D05B8"/>
    <w:rsid w:val="008D290A"/>
    <w:rsid w:val="008D2A77"/>
    <w:rsid w:val="008D346F"/>
    <w:rsid w:val="008D6366"/>
    <w:rsid w:val="008E1C71"/>
    <w:rsid w:val="008E2C16"/>
    <w:rsid w:val="008E2F2C"/>
    <w:rsid w:val="008E3A6A"/>
    <w:rsid w:val="008E4182"/>
    <w:rsid w:val="008E49F0"/>
    <w:rsid w:val="008E620A"/>
    <w:rsid w:val="008E7659"/>
    <w:rsid w:val="008F1000"/>
    <w:rsid w:val="008F1EF3"/>
    <w:rsid w:val="008F220E"/>
    <w:rsid w:val="008F24E3"/>
    <w:rsid w:val="008F485C"/>
    <w:rsid w:val="008F4EA9"/>
    <w:rsid w:val="008F7CA8"/>
    <w:rsid w:val="00901F5D"/>
    <w:rsid w:val="009035FE"/>
    <w:rsid w:val="009038DD"/>
    <w:rsid w:val="009103FC"/>
    <w:rsid w:val="00910796"/>
    <w:rsid w:val="00911F69"/>
    <w:rsid w:val="00912783"/>
    <w:rsid w:val="0091554D"/>
    <w:rsid w:val="00916F31"/>
    <w:rsid w:val="0092295C"/>
    <w:rsid w:val="00923AE0"/>
    <w:rsid w:val="00924AB1"/>
    <w:rsid w:val="009344D0"/>
    <w:rsid w:val="00935BC3"/>
    <w:rsid w:val="00940DE2"/>
    <w:rsid w:val="009420CF"/>
    <w:rsid w:val="009429D5"/>
    <w:rsid w:val="00942FBF"/>
    <w:rsid w:val="00944902"/>
    <w:rsid w:val="0095050F"/>
    <w:rsid w:val="00952484"/>
    <w:rsid w:val="00954374"/>
    <w:rsid w:val="00955244"/>
    <w:rsid w:val="009562AB"/>
    <w:rsid w:val="00962400"/>
    <w:rsid w:val="009653DD"/>
    <w:rsid w:val="00965FA3"/>
    <w:rsid w:val="00966050"/>
    <w:rsid w:val="00966E2F"/>
    <w:rsid w:val="00971022"/>
    <w:rsid w:val="00976C79"/>
    <w:rsid w:val="0097743A"/>
    <w:rsid w:val="00980116"/>
    <w:rsid w:val="00986429"/>
    <w:rsid w:val="00987366"/>
    <w:rsid w:val="00987B37"/>
    <w:rsid w:val="00987DC9"/>
    <w:rsid w:val="00987FC1"/>
    <w:rsid w:val="009917B6"/>
    <w:rsid w:val="0099339E"/>
    <w:rsid w:val="009945AE"/>
    <w:rsid w:val="009947FC"/>
    <w:rsid w:val="0099543C"/>
    <w:rsid w:val="00997E72"/>
    <w:rsid w:val="009A1491"/>
    <w:rsid w:val="009A1AED"/>
    <w:rsid w:val="009B3057"/>
    <w:rsid w:val="009B61A0"/>
    <w:rsid w:val="009C04BB"/>
    <w:rsid w:val="009C05A1"/>
    <w:rsid w:val="009C0903"/>
    <w:rsid w:val="009C0C2E"/>
    <w:rsid w:val="009C522F"/>
    <w:rsid w:val="009C63F9"/>
    <w:rsid w:val="009C6BB3"/>
    <w:rsid w:val="009C6FD2"/>
    <w:rsid w:val="009C73B1"/>
    <w:rsid w:val="009C7969"/>
    <w:rsid w:val="009C7A40"/>
    <w:rsid w:val="009D008E"/>
    <w:rsid w:val="009D018F"/>
    <w:rsid w:val="009D1594"/>
    <w:rsid w:val="009D3EC9"/>
    <w:rsid w:val="009D3F5A"/>
    <w:rsid w:val="009D405A"/>
    <w:rsid w:val="009D4797"/>
    <w:rsid w:val="009D5203"/>
    <w:rsid w:val="009D5433"/>
    <w:rsid w:val="009E1355"/>
    <w:rsid w:val="009E193D"/>
    <w:rsid w:val="009E6FF0"/>
    <w:rsid w:val="009F05B2"/>
    <w:rsid w:val="009F13B0"/>
    <w:rsid w:val="009F1CB4"/>
    <w:rsid w:val="009F2515"/>
    <w:rsid w:val="009F252C"/>
    <w:rsid w:val="009F3902"/>
    <w:rsid w:val="009F3E8A"/>
    <w:rsid w:val="009F650C"/>
    <w:rsid w:val="00A007D9"/>
    <w:rsid w:val="00A0097E"/>
    <w:rsid w:val="00A0275F"/>
    <w:rsid w:val="00A027E5"/>
    <w:rsid w:val="00A04067"/>
    <w:rsid w:val="00A06258"/>
    <w:rsid w:val="00A1053B"/>
    <w:rsid w:val="00A10E2E"/>
    <w:rsid w:val="00A11105"/>
    <w:rsid w:val="00A14C9C"/>
    <w:rsid w:val="00A15526"/>
    <w:rsid w:val="00A16BE0"/>
    <w:rsid w:val="00A20ACE"/>
    <w:rsid w:val="00A210B9"/>
    <w:rsid w:val="00A2427C"/>
    <w:rsid w:val="00A253F0"/>
    <w:rsid w:val="00A25F77"/>
    <w:rsid w:val="00A268B3"/>
    <w:rsid w:val="00A304BE"/>
    <w:rsid w:val="00A3252F"/>
    <w:rsid w:val="00A32C66"/>
    <w:rsid w:val="00A34494"/>
    <w:rsid w:val="00A36808"/>
    <w:rsid w:val="00A37263"/>
    <w:rsid w:val="00A37B7F"/>
    <w:rsid w:val="00A400B5"/>
    <w:rsid w:val="00A446A4"/>
    <w:rsid w:val="00A462BB"/>
    <w:rsid w:val="00A50845"/>
    <w:rsid w:val="00A50AC5"/>
    <w:rsid w:val="00A50B7B"/>
    <w:rsid w:val="00A5357A"/>
    <w:rsid w:val="00A54B71"/>
    <w:rsid w:val="00A559E0"/>
    <w:rsid w:val="00A56381"/>
    <w:rsid w:val="00A5648F"/>
    <w:rsid w:val="00A56A9E"/>
    <w:rsid w:val="00A630D6"/>
    <w:rsid w:val="00A633A6"/>
    <w:rsid w:val="00A63EEA"/>
    <w:rsid w:val="00A6560A"/>
    <w:rsid w:val="00A66607"/>
    <w:rsid w:val="00A67484"/>
    <w:rsid w:val="00A7010F"/>
    <w:rsid w:val="00A70D65"/>
    <w:rsid w:val="00A71090"/>
    <w:rsid w:val="00A71DD3"/>
    <w:rsid w:val="00A72168"/>
    <w:rsid w:val="00A73034"/>
    <w:rsid w:val="00A748DF"/>
    <w:rsid w:val="00A75072"/>
    <w:rsid w:val="00A773A1"/>
    <w:rsid w:val="00A85EBC"/>
    <w:rsid w:val="00A903D1"/>
    <w:rsid w:val="00A90475"/>
    <w:rsid w:val="00A912C9"/>
    <w:rsid w:val="00A91F91"/>
    <w:rsid w:val="00A93182"/>
    <w:rsid w:val="00A96AFF"/>
    <w:rsid w:val="00A971A9"/>
    <w:rsid w:val="00A97513"/>
    <w:rsid w:val="00AA0072"/>
    <w:rsid w:val="00AA32FD"/>
    <w:rsid w:val="00AA4F24"/>
    <w:rsid w:val="00AA53ED"/>
    <w:rsid w:val="00AA5E49"/>
    <w:rsid w:val="00AA6A15"/>
    <w:rsid w:val="00AA6A5B"/>
    <w:rsid w:val="00AA7CAA"/>
    <w:rsid w:val="00AB0582"/>
    <w:rsid w:val="00AB07EB"/>
    <w:rsid w:val="00AB18CB"/>
    <w:rsid w:val="00AB2982"/>
    <w:rsid w:val="00AB3A8D"/>
    <w:rsid w:val="00AB519B"/>
    <w:rsid w:val="00AC0313"/>
    <w:rsid w:val="00AC22D8"/>
    <w:rsid w:val="00AC3345"/>
    <w:rsid w:val="00AC62D9"/>
    <w:rsid w:val="00AC73FC"/>
    <w:rsid w:val="00AD0727"/>
    <w:rsid w:val="00AD2C46"/>
    <w:rsid w:val="00AD36C3"/>
    <w:rsid w:val="00AD5B21"/>
    <w:rsid w:val="00AD5C37"/>
    <w:rsid w:val="00AD7125"/>
    <w:rsid w:val="00AD7D8A"/>
    <w:rsid w:val="00AE4ED2"/>
    <w:rsid w:val="00AE6F5B"/>
    <w:rsid w:val="00AF2684"/>
    <w:rsid w:val="00AF2E2C"/>
    <w:rsid w:val="00AF4B2B"/>
    <w:rsid w:val="00AF656F"/>
    <w:rsid w:val="00AF6A9B"/>
    <w:rsid w:val="00B02657"/>
    <w:rsid w:val="00B02AB6"/>
    <w:rsid w:val="00B053DF"/>
    <w:rsid w:val="00B0563A"/>
    <w:rsid w:val="00B11278"/>
    <w:rsid w:val="00B1136F"/>
    <w:rsid w:val="00B1291C"/>
    <w:rsid w:val="00B1339D"/>
    <w:rsid w:val="00B15A91"/>
    <w:rsid w:val="00B21BEF"/>
    <w:rsid w:val="00B23713"/>
    <w:rsid w:val="00B2590C"/>
    <w:rsid w:val="00B3007E"/>
    <w:rsid w:val="00B333B9"/>
    <w:rsid w:val="00B3426B"/>
    <w:rsid w:val="00B357FF"/>
    <w:rsid w:val="00B37DD4"/>
    <w:rsid w:val="00B41760"/>
    <w:rsid w:val="00B42443"/>
    <w:rsid w:val="00B4252A"/>
    <w:rsid w:val="00B42653"/>
    <w:rsid w:val="00B439C6"/>
    <w:rsid w:val="00B43AE8"/>
    <w:rsid w:val="00B46764"/>
    <w:rsid w:val="00B5106A"/>
    <w:rsid w:val="00B510F1"/>
    <w:rsid w:val="00B514DA"/>
    <w:rsid w:val="00B51C98"/>
    <w:rsid w:val="00B522C1"/>
    <w:rsid w:val="00B52DBF"/>
    <w:rsid w:val="00B53BE8"/>
    <w:rsid w:val="00B54771"/>
    <w:rsid w:val="00B560BD"/>
    <w:rsid w:val="00B5725E"/>
    <w:rsid w:val="00B57B25"/>
    <w:rsid w:val="00B57B26"/>
    <w:rsid w:val="00B60720"/>
    <w:rsid w:val="00B620FA"/>
    <w:rsid w:val="00B63B12"/>
    <w:rsid w:val="00B640CB"/>
    <w:rsid w:val="00B642C2"/>
    <w:rsid w:val="00B6640E"/>
    <w:rsid w:val="00B66CE2"/>
    <w:rsid w:val="00B70498"/>
    <w:rsid w:val="00B71062"/>
    <w:rsid w:val="00B71A39"/>
    <w:rsid w:val="00B777E7"/>
    <w:rsid w:val="00B834A6"/>
    <w:rsid w:val="00B84DFB"/>
    <w:rsid w:val="00B85AF1"/>
    <w:rsid w:val="00B87AEB"/>
    <w:rsid w:val="00B93EBD"/>
    <w:rsid w:val="00B9450C"/>
    <w:rsid w:val="00B956D5"/>
    <w:rsid w:val="00B97210"/>
    <w:rsid w:val="00B978F0"/>
    <w:rsid w:val="00BA0093"/>
    <w:rsid w:val="00BA1DC2"/>
    <w:rsid w:val="00BA323C"/>
    <w:rsid w:val="00BA41EE"/>
    <w:rsid w:val="00BA5B2A"/>
    <w:rsid w:val="00BA630A"/>
    <w:rsid w:val="00BA7C3D"/>
    <w:rsid w:val="00BB0C75"/>
    <w:rsid w:val="00BB2013"/>
    <w:rsid w:val="00BB35A0"/>
    <w:rsid w:val="00BB3B31"/>
    <w:rsid w:val="00BB402B"/>
    <w:rsid w:val="00BB550E"/>
    <w:rsid w:val="00BB5BE3"/>
    <w:rsid w:val="00BC196C"/>
    <w:rsid w:val="00BC25A5"/>
    <w:rsid w:val="00BC2CB4"/>
    <w:rsid w:val="00BC2D4F"/>
    <w:rsid w:val="00BC3108"/>
    <w:rsid w:val="00BC3667"/>
    <w:rsid w:val="00BC7A4C"/>
    <w:rsid w:val="00BD3830"/>
    <w:rsid w:val="00BD40BB"/>
    <w:rsid w:val="00BD57B4"/>
    <w:rsid w:val="00BE08EA"/>
    <w:rsid w:val="00BE218E"/>
    <w:rsid w:val="00BE2FD8"/>
    <w:rsid w:val="00BE4FDB"/>
    <w:rsid w:val="00BF4D81"/>
    <w:rsid w:val="00BF50F8"/>
    <w:rsid w:val="00BF5FF0"/>
    <w:rsid w:val="00C1052C"/>
    <w:rsid w:val="00C1119D"/>
    <w:rsid w:val="00C112AA"/>
    <w:rsid w:val="00C11709"/>
    <w:rsid w:val="00C15546"/>
    <w:rsid w:val="00C17DC0"/>
    <w:rsid w:val="00C2130E"/>
    <w:rsid w:val="00C22F8F"/>
    <w:rsid w:val="00C2582D"/>
    <w:rsid w:val="00C26B5C"/>
    <w:rsid w:val="00C3261F"/>
    <w:rsid w:val="00C32A99"/>
    <w:rsid w:val="00C34A67"/>
    <w:rsid w:val="00C34B74"/>
    <w:rsid w:val="00C37ACE"/>
    <w:rsid w:val="00C408CB"/>
    <w:rsid w:val="00C42144"/>
    <w:rsid w:val="00C42774"/>
    <w:rsid w:val="00C42D7A"/>
    <w:rsid w:val="00C42E2F"/>
    <w:rsid w:val="00C44C87"/>
    <w:rsid w:val="00C45782"/>
    <w:rsid w:val="00C4761F"/>
    <w:rsid w:val="00C479B7"/>
    <w:rsid w:val="00C51CE7"/>
    <w:rsid w:val="00C5271B"/>
    <w:rsid w:val="00C52AED"/>
    <w:rsid w:val="00C52E08"/>
    <w:rsid w:val="00C5388E"/>
    <w:rsid w:val="00C54A06"/>
    <w:rsid w:val="00C554AB"/>
    <w:rsid w:val="00C55CAD"/>
    <w:rsid w:val="00C56D76"/>
    <w:rsid w:val="00C578A7"/>
    <w:rsid w:val="00C57D99"/>
    <w:rsid w:val="00C57E1B"/>
    <w:rsid w:val="00C60566"/>
    <w:rsid w:val="00C6483F"/>
    <w:rsid w:val="00C71E27"/>
    <w:rsid w:val="00C806A9"/>
    <w:rsid w:val="00C82639"/>
    <w:rsid w:val="00C82D93"/>
    <w:rsid w:val="00C83945"/>
    <w:rsid w:val="00C83969"/>
    <w:rsid w:val="00C86298"/>
    <w:rsid w:val="00C871A4"/>
    <w:rsid w:val="00C871F7"/>
    <w:rsid w:val="00C90B71"/>
    <w:rsid w:val="00C91089"/>
    <w:rsid w:val="00C9211D"/>
    <w:rsid w:val="00C925DC"/>
    <w:rsid w:val="00C92CCE"/>
    <w:rsid w:val="00C92F38"/>
    <w:rsid w:val="00C9348A"/>
    <w:rsid w:val="00C941AE"/>
    <w:rsid w:val="00C9554F"/>
    <w:rsid w:val="00C9586E"/>
    <w:rsid w:val="00C972BA"/>
    <w:rsid w:val="00CA1191"/>
    <w:rsid w:val="00CA2E1F"/>
    <w:rsid w:val="00CA33BE"/>
    <w:rsid w:val="00CA4291"/>
    <w:rsid w:val="00CA4723"/>
    <w:rsid w:val="00CA64DC"/>
    <w:rsid w:val="00CA6E0F"/>
    <w:rsid w:val="00CA7002"/>
    <w:rsid w:val="00CA7981"/>
    <w:rsid w:val="00CB0EA0"/>
    <w:rsid w:val="00CB3E36"/>
    <w:rsid w:val="00CB4A41"/>
    <w:rsid w:val="00CB5B91"/>
    <w:rsid w:val="00CB67C7"/>
    <w:rsid w:val="00CB7147"/>
    <w:rsid w:val="00CB7F22"/>
    <w:rsid w:val="00CC326F"/>
    <w:rsid w:val="00CC6CBD"/>
    <w:rsid w:val="00CD21CF"/>
    <w:rsid w:val="00CD25E7"/>
    <w:rsid w:val="00CD34A5"/>
    <w:rsid w:val="00CD6396"/>
    <w:rsid w:val="00CE0519"/>
    <w:rsid w:val="00CE2FD4"/>
    <w:rsid w:val="00CE3254"/>
    <w:rsid w:val="00CE6A54"/>
    <w:rsid w:val="00CE72AE"/>
    <w:rsid w:val="00CF1969"/>
    <w:rsid w:val="00CF3E10"/>
    <w:rsid w:val="00CF421A"/>
    <w:rsid w:val="00CF5140"/>
    <w:rsid w:val="00D012F8"/>
    <w:rsid w:val="00D017A1"/>
    <w:rsid w:val="00D02D22"/>
    <w:rsid w:val="00D043B5"/>
    <w:rsid w:val="00D0442D"/>
    <w:rsid w:val="00D05061"/>
    <w:rsid w:val="00D145D4"/>
    <w:rsid w:val="00D14C0B"/>
    <w:rsid w:val="00D16593"/>
    <w:rsid w:val="00D20942"/>
    <w:rsid w:val="00D20BE2"/>
    <w:rsid w:val="00D22B0C"/>
    <w:rsid w:val="00D22F23"/>
    <w:rsid w:val="00D22F66"/>
    <w:rsid w:val="00D30CC6"/>
    <w:rsid w:val="00D31C77"/>
    <w:rsid w:val="00D3289C"/>
    <w:rsid w:val="00D368E8"/>
    <w:rsid w:val="00D36D33"/>
    <w:rsid w:val="00D409DC"/>
    <w:rsid w:val="00D40E2B"/>
    <w:rsid w:val="00D42D83"/>
    <w:rsid w:val="00D45913"/>
    <w:rsid w:val="00D45AB5"/>
    <w:rsid w:val="00D476D2"/>
    <w:rsid w:val="00D52F96"/>
    <w:rsid w:val="00D5442A"/>
    <w:rsid w:val="00D55ADA"/>
    <w:rsid w:val="00D55BE3"/>
    <w:rsid w:val="00D56196"/>
    <w:rsid w:val="00D565A2"/>
    <w:rsid w:val="00D56B14"/>
    <w:rsid w:val="00D572A6"/>
    <w:rsid w:val="00D6196C"/>
    <w:rsid w:val="00D61A1A"/>
    <w:rsid w:val="00D62101"/>
    <w:rsid w:val="00D62C34"/>
    <w:rsid w:val="00D64291"/>
    <w:rsid w:val="00D65732"/>
    <w:rsid w:val="00D66929"/>
    <w:rsid w:val="00D66954"/>
    <w:rsid w:val="00D72FBC"/>
    <w:rsid w:val="00D834EC"/>
    <w:rsid w:val="00D85678"/>
    <w:rsid w:val="00D906CD"/>
    <w:rsid w:val="00D939F2"/>
    <w:rsid w:val="00D93A23"/>
    <w:rsid w:val="00D95C7B"/>
    <w:rsid w:val="00D966A0"/>
    <w:rsid w:val="00D97484"/>
    <w:rsid w:val="00D975A4"/>
    <w:rsid w:val="00DA05B2"/>
    <w:rsid w:val="00DA07F4"/>
    <w:rsid w:val="00DA1187"/>
    <w:rsid w:val="00DA16D2"/>
    <w:rsid w:val="00DA27F5"/>
    <w:rsid w:val="00DA3492"/>
    <w:rsid w:val="00DA351B"/>
    <w:rsid w:val="00DA6C17"/>
    <w:rsid w:val="00DA7E92"/>
    <w:rsid w:val="00DB066E"/>
    <w:rsid w:val="00DB4032"/>
    <w:rsid w:val="00DB5BFD"/>
    <w:rsid w:val="00DC082F"/>
    <w:rsid w:val="00DC1095"/>
    <w:rsid w:val="00DC19C0"/>
    <w:rsid w:val="00DC60E5"/>
    <w:rsid w:val="00DC7698"/>
    <w:rsid w:val="00DC7FD1"/>
    <w:rsid w:val="00DD0E88"/>
    <w:rsid w:val="00DD2309"/>
    <w:rsid w:val="00DD37D4"/>
    <w:rsid w:val="00DD3E10"/>
    <w:rsid w:val="00DD4ECC"/>
    <w:rsid w:val="00DD56D7"/>
    <w:rsid w:val="00DE0227"/>
    <w:rsid w:val="00DE662E"/>
    <w:rsid w:val="00DF2CA6"/>
    <w:rsid w:val="00DF463F"/>
    <w:rsid w:val="00DF59B0"/>
    <w:rsid w:val="00DF59E9"/>
    <w:rsid w:val="00DF698F"/>
    <w:rsid w:val="00DF7FC2"/>
    <w:rsid w:val="00E00648"/>
    <w:rsid w:val="00E00D2E"/>
    <w:rsid w:val="00E00E2A"/>
    <w:rsid w:val="00E03BFF"/>
    <w:rsid w:val="00E03E68"/>
    <w:rsid w:val="00E06F60"/>
    <w:rsid w:val="00E1108E"/>
    <w:rsid w:val="00E1266F"/>
    <w:rsid w:val="00E128C3"/>
    <w:rsid w:val="00E13A12"/>
    <w:rsid w:val="00E13F17"/>
    <w:rsid w:val="00E14220"/>
    <w:rsid w:val="00E14FB2"/>
    <w:rsid w:val="00E15176"/>
    <w:rsid w:val="00E15C20"/>
    <w:rsid w:val="00E202FF"/>
    <w:rsid w:val="00E25730"/>
    <w:rsid w:val="00E2779D"/>
    <w:rsid w:val="00E304BC"/>
    <w:rsid w:val="00E30CA4"/>
    <w:rsid w:val="00E3170B"/>
    <w:rsid w:val="00E31B02"/>
    <w:rsid w:val="00E31F9C"/>
    <w:rsid w:val="00E33DC9"/>
    <w:rsid w:val="00E34492"/>
    <w:rsid w:val="00E35471"/>
    <w:rsid w:val="00E40437"/>
    <w:rsid w:val="00E40CCC"/>
    <w:rsid w:val="00E43F6E"/>
    <w:rsid w:val="00E5365B"/>
    <w:rsid w:val="00E547F6"/>
    <w:rsid w:val="00E54812"/>
    <w:rsid w:val="00E5676E"/>
    <w:rsid w:val="00E64FB7"/>
    <w:rsid w:val="00E656F8"/>
    <w:rsid w:val="00E65966"/>
    <w:rsid w:val="00E65D50"/>
    <w:rsid w:val="00E65F8A"/>
    <w:rsid w:val="00E66C64"/>
    <w:rsid w:val="00E709F9"/>
    <w:rsid w:val="00E711AD"/>
    <w:rsid w:val="00E734F2"/>
    <w:rsid w:val="00E73564"/>
    <w:rsid w:val="00E74D34"/>
    <w:rsid w:val="00E76388"/>
    <w:rsid w:val="00E8045D"/>
    <w:rsid w:val="00E812F3"/>
    <w:rsid w:val="00E8380A"/>
    <w:rsid w:val="00E84246"/>
    <w:rsid w:val="00E848D8"/>
    <w:rsid w:val="00E84EEB"/>
    <w:rsid w:val="00E858C9"/>
    <w:rsid w:val="00E85D62"/>
    <w:rsid w:val="00E86275"/>
    <w:rsid w:val="00E91999"/>
    <w:rsid w:val="00E924F9"/>
    <w:rsid w:val="00E9269F"/>
    <w:rsid w:val="00E93854"/>
    <w:rsid w:val="00E97126"/>
    <w:rsid w:val="00E97228"/>
    <w:rsid w:val="00E974E8"/>
    <w:rsid w:val="00EA0193"/>
    <w:rsid w:val="00EA1EBF"/>
    <w:rsid w:val="00EA2C02"/>
    <w:rsid w:val="00EA32DE"/>
    <w:rsid w:val="00EA34E9"/>
    <w:rsid w:val="00EA389E"/>
    <w:rsid w:val="00EA403E"/>
    <w:rsid w:val="00EA7AED"/>
    <w:rsid w:val="00EB01EE"/>
    <w:rsid w:val="00EB1174"/>
    <w:rsid w:val="00EB1C4C"/>
    <w:rsid w:val="00EB2974"/>
    <w:rsid w:val="00EB35CD"/>
    <w:rsid w:val="00EB3D2B"/>
    <w:rsid w:val="00EB45D4"/>
    <w:rsid w:val="00EB5D36"/>
    <w:rsid w:val="00EC2B6A"/>
    <w:rsid w:val="00EC65E6"/>
    <w:rsid w:val="00ED0A20"/>
    <w:rsid w:val="00ED2C65"/>
    <w:rsid w:val="00ED472A"/>
    <w:rsid w:val="00ED4ACB"/>
    <w:rsid w:val="00ED733E"/>
    <w:rsid w:val="00ED7D28"/>
    <w:rsid w:val="00EE064D"/>
    <w:rsid w:val="00EE1D22"/>
    <w:rsid w:val="00EE5703"/>
    <w:rsid w:val="00EE5AD6"/>
    <w:rsid w:val="00EE7747"/>
    <w:rsid w:val="00EF08D3"/>
    <w:rsid w:val="00EF62B8"/>
    <w:rsid w:val="00EF6BE0"/>
    <w:rsid w:val="00F01256"/>
    <w:rsid w:val="00F01784"/>
    <w:rsid w:val="00F0180D"/>
    <w:rsid w:val="00F04943"/>
    <w:rsid w:val="00F05305"/>
    <w:rsid w:val="00F0700B"/>
    <w:rsid w:val="00F0724B"/>
    <w:rsid w:val="00F11C4E"/>
    <w:rsid w:val="00F12DA2"/>
    <w:rsid w:val="00F15718"/>
    <w:rsid w:val="00F162A4"/>
    <w:rsid w:val="00F20A50"/>
    <w:rsid w:val="00F24482"/>
    <w:rsid w:val="00F250B1"/>
    <w:rsid w:val="00F26D32"/>
    <w:rsid w:val="00F26F34"/>
    <w:rsid w:val="00F30B69"/>
    <w:rsid w:val="00F35002"/>
    <w:rsid w:val="00F37F8C"/>
    <w:rsid w:val="00F407C2"/>
    <w:rsid w:val="00F41840"/>
    <w:rsid w:val="00F561DE"/>
    <w:rsid w:val="00F57073"/>
    <w:rsid w:val="00F5755D"/>
    <w:rsid w:val="00F57E35"/>
    <w:rsid w:val="00F6158D"/>
    <w:rsid w:val="00F65D51"/>
    <w:rsid w:val="00F670E1"/>
    <w:rsid w:val="00F675A0"/>
    <w:rsid w:val="00F703D2"/>
    <w:rsid w:val="00F70FC1"/>
    <w:rsid w:val="00F71161"/>
    <w:rsid w:val="00F746EF"/>
    <w:rsid w:val="00F76F5F"/>
    <w:rsid w:val="00F800A0"/>
    <w:rsid w:val="00F813CB"/>
    <w:rsid w:val="00F82DA8"/>
    <w:rsid w:val="00F85B5E"/>
    <w:rsid w:val="00F86D38"/>
    <w:rsid w:val="00F876F9"/>
    <w:rsid w:val="00F91BB8"/>
    <w:rsid w:val="00F92408"/>
    <w:rsid w:val="00F92A92"/>
    <w:rsid w:val="00F9615A"/>
    <w:rsid w:val="00F96A05"/>
    <w:rsid w:val="00F97655"/>
    <w:rsid w:val="00FA0B44"/>
    <w:rsid w:val="00FA2EBC"/>
    <w:rsid w:val="00FA3B3A"/>
    <w:rsid w:val="00FA556C"/>
    <w:rsid w:val="00FA674C"/>
    <w:rsid w:val="00FB085D"/>
    <w:rsid w:val="00FB6E5C"/>
    <w:rsid w:val="00FB765A"/>
    <w:rsid w:val="00FC4BD0"/>
    <w:rsid w:val="00FC6AF3"/>
    <w:rsid w:val="00FC7ECC"/>
    <w:rsid w:val="00FD17ED"/>
    <w:rsid w:val="00FD5D00"/>
    <w:rsid w:val="00FD5FE0"/>
    <w:rsid w:val="00FD60C8"/>
    <w:rsid w:val="00FD7473"/>
    <w:rsid w:val="00FE0A84"/>
    <w:rsid w:val="00FE7F72"/>
    <w:rsid w:val="00FF0A9A"/>
    <w:rsid w:val="00FF15F6"/>
    <w:rsid w:val="00FF697C"/>
    <w:rsid w:val="00FF6C09"/>
    <w:rsid w:val="00FF6EBF"/>
    <w:rsid w:val="00FF763B"/>
    <w:rsid w:val="0136557F"/>
    <w:rsid w:val="02306473"/>
    <w:rsid w:val="02A12ECC"/>
    <w:rsid w:val="02FF06B1"/>
    <w:rsid w:val="03451A01"/>
    <w:rsid w:val="03D177E1"/>
    <w:rsid w:val="03D55230"/>
    <w:rsid w:val="03E07A24"/>
    <w:rsid w:val="045C0B52"/>
    <w:rsid w:val="04D244C6"/>
    <w:rsid w:val="05720B50"/>
    <w:rsid w:val="059D3E1F"/>
    <w:rsid w:val="05AE23F9"/>
    <w:rsid w:val="065E0489"/>
    <w:rsid w:val="06976AC0"/>
    <w:rsid w:val="06D01FD2"/>
    <w:rsid w:val="07092259"/>
    <w:rsid w:val="074D717F"/>
    <w:rsid w:val="076444C8"/>
    <w:rsid w:val="079C3C62"/>
    <w:rsid w:val="08A90D2D"/>
    <w:rsid w:val="090329D8"/>
    <w:rsid w:val="09280E44"/>
    <w:rsid w:val="09A520CE"/>
    <w:rsid w:val="0A516E0D"/>
    <w:rsid w:val="0A883D7E"/>
    <w:rsid w:val="0B4D0405"/>
    <w:rsid w:val="0B7F3DC2"/>
    <w:rsid w:val="0BCE2DB1"/>
    <w:rsid w:val="0C447AF2"/>
    <w:rsid w:val="0C5F3B93"/>
    <w:rsid w:val="0CD55773"/>
    <w:rsid w:val="0DFA5B87"/>
    <w:rsid w:val="0E3D5E73"/>
    <w:rsid w:val="0E470BD3"/>
    <w:rsid w:val="0EF32D02"/>
    <w:rsid w:val="0F3B40DA"/>
    <w:rsid w:val="0F8035BA"/>
    <w:rsid w:val="0FFB70D4"/>
    <w:rsid w:val="10001BC8"/>
    <w:rsid w:val="10B91588"/>
    <w:rsid w:val="120D6845"/>
    <w:rsid w:val="1235488C"/>
    <w:rsid w:val="127076E1"/>
    <w:rsid w:val="12EE0188"/>
    <w:rsid w:val="13477DD1"/>
    <w:rsid w:val="134D3CC1"/>
    <w:rsid w:val="139454CA"/>
    <w:rsid w:val="13C540FC"/>
    <w:rsid w:val="14553B17"/>
    <w:rsid w:val="14631B6F"/>
    <w:rsid w:val="149F1820"/>
    <w:rsid w:val="14E42C01"/>
    <w:rsid w:val="14E64775"/>
    <w:rsid w:val="14F03A2E"/>
    <w:rsid w:val="15404E6C"/>
    <w:rsid w:val="15BD5EB5"/>
    <w:rsid w:val="15CD536B"/>
    <w:rsid w:val="15CF33DC"/>
    <w:rsid w:val="160672C8"/>
    <w:rsid w:val="172F45D6"/>
    <w:rsid w:val="17EF6030"/>
    <w:rsid w:val="17FD7965"/>
    <w:rsid w:val="188B79E0"/>
    <w:rsid w:val="191535AC"/>
    <w:rsid w:val="19522092"/>
    <w:rsid w:val="19663BAF"/>
    <w:rsid w:val="1AEE2FA0"/>
    <w:rsid w:val="1C02139E"/>
    <w:rsid w:val="1C3B5CE8"/>
    <w:rsid w:val="1C7F593B"/>
    <w:rsid w:val="1CCE21D2"/>
    <w:rsid w:val="1CDB3C83"/>
    <w:rsid w:val="1D7E7C3A"/>
    <w:rsid w:val="1DC52258"/>
    <w:rsid w:val="1E2E6166"/>
    <w:rsid w:val="1E3B0933"/>
    <w:rsid w:val="1E471A90"/>
    <w:rsid w:val="1E8A269B"/>
    <w:rsid w:val="1F32168E"/>
    <w:rsid w:val="1F6F0F9B"/>
    <w:rsid w:val="1FE3468A"/>
    <w:rsid w:val="20EE50D7"/>
    <w:rsid w:val="212C5413"/>
    <w:rsid w:val="221E0957"/>
    <w:rsid w:val="234E00AF"/>
    <w:rsid w:val="23C14D25"/>
    <w:rsid w:val="23C864C0"/>
    <w:rsid w:val="24547947"/>
    <w:rsid w:val="246F29D3"/>
    <w:rsid w:val="24750609"/>
    <w:rsid w:val="249D611B"/>
    <w:rsid w:val="256D2263"/>
    <w:rsid w:val="25915452"/>
    <w:rsid w:val="25E7472F"/>
    <w:rsid w:val="25EC44BE"/>
    <w:rsid w:val="2668096B"/>
    <w:rsid w:val="26E2748C"/>
    <w:rsid w:val="27BE0609"/>
    <w:rsid w:val="28321D4D"/>
    <w:rsid w:val="289C7B0E"/>
    <w:rsid w:val="2903193C"/>
    <w:rsid w:val="29943785"/>
    <w:rsid w:val="29A51005"/>
    <w:rsid w:val="29D2451E"/>
    <w:rsid w:val="2A3D798F"/>
    <w:rsid w:val="2AC5334C"/>
    <w:rsid w:val="2B966894"/>
    <w:rsid w:val="2BD86A15"/>
    <w:rsid w:val="2C944D44"/>
    <w:rsid w:val="2D55028C"/>
    <w:rsid w:val="2DDA19B8"/>
    <w:rsid w:val="2DF9756E"/>
    <w:rsid w:val="2ED32111"/>
    <w:rsid w:val="2EE272C5"/>
    <w:rsid w:val="2F2B1BEC"/>
    <w:rsid w:val="30074DD0"/>
    <w:rsid w:val="30810BEF"/>
    <w:rsid w:val="309D6A61"/>
    <w:rsid w:val="30A06FF5"/>
    <w:rsid w:val="30BD4333"/>
    <w:rsid w:val="326E1E38"/>
    <w:rsid w:val="32D26421"/>
    <w:rsid w:val="33A73E16"/>
    <w:rsid w:val="356B2085"/>
    <w:rsid w:val="35E27B3F"/>
    <w:rsid w:val="363B4EB3"/>
    <w:rsid w:val="3644480A"/>
    <w:rsid w:val="36DD3EF3"/>
    <w:rsid w:val="381C5CB2"/>
    <w:rsid w:val="38AE3634"/>
    <w:rsid w:val="38D24014"/>
    <w:rsid w:val="38DA162E"/>
    <w:rsid w:val="38FF2E61"/>
    <w:rsid w:val="39EF6CE7"/>
    <w:rsid w:val="3A492C5F"/>
    <w:rsid w:val="3A59760D"/>
    <w:rsid w:val="3A79380C"/>
    <w:rsid w:val="3BCE7478"/>
    <w:rsid w:val="3BD24EED"/>
    <w:rsid w:val="3C3A4491"/>
    <w:rsid w:val="3C6B1A78"/>
    <w:rsid w:val="3C7E3609"/>
    <w:rsid w:val="3C8A0B58"/>
    <w:rsid w:val="3DAB63D2"/>
    <w:rsid w:val="3DC3562A"/>
    <w:rsid w:val="3EFA2A5A"/>
    <w:rsid w:val="3F2028E8"/>
    <w:rsid w:val="3F2E23BE"/>
    <w:rsid w:val="3FDD4CE2"/>
    <w:rsid w:val="4046613D"/>
    <w:rsid w:val="40B557B9"/>
    <w:rsid w:val="41306BEE"/>
    <w:rsid w:val="41980EEA"/>
    <w:rsid w:val="41A425C2"/>
    <w:rsid w:val="426A2C4A"/>
    <w:rsid w:val="42D54830"/>
    <w:rsid w:val="447A4604"/>
    <w:rsid w:val="45C81AEB"/>
    <w:rsid w:val="46130FB8"/>
    <w:rsid w:val="46AB11F1"/>
    <w:rsid w:val="46C91614"/>
    <w:rsid w:val="46CE5C8F"/>
    <w:rsid w:val="4AE106E6"/>
    <w:rsid w:val="4B7B771D"/>
    <w:rsid w:val="4D3A42FD"/>
    <w:rsid w:val="4D7560B4"/>
    <w:rsid w:val="4DF96CE5"/>
    <w:rsid w:val="4E0E2E65"/>
    <w:rsid w:val="4EAC082F"/>
    <w:rsid w:val="4F785FA6"/>
    <w:rsid w:val="4F94767E"/>
    <w:rsid w:val="50041972"/>
    <w:rsid w:val="50852A56"/>
    <w:rsid w:val="50EA1F36"/>
    <w:rsid w:val="51030064"/>
    <w:rsid w:val="510A2FB8"/>
    <w:rsid w:val="519D3E2C"/>
    <w:rsid w:val="51B7485D"/>
    <w:rsid w:val="51D06C51"/>
    <w:rsid w:val="51D353CD"/>
    <w:rsid w:val="52196104"/>
    <w:rsid w:val="531D3476"/>
    <w:rsid w:val="53447CAE"/>
    <w:rsid w:val="53530C46"/>
    <w:rsid w:val="54685C27"/>
    <w:rsid w:val="556667EC"/>
    <w:rsid w:val="56035BF6"/>
    <w:rsid w:val="56C66328"/>
    <w:rsid w:val="5704721A"/>
    <w:rsid w:val="575F582F"/>
    <w:rsid w:val="5842734C"/>
    <w:rsid w:val="585711D8"/>
    <w:rsid w:val="58AA3909"/>
    <w:rsid w:val="58BF189C"/>
    <w:rsid w:val="59DA3CE5"/>
    <w:rsid w:val="59F35703"/>
    <w:rsid w:val="5AAB1367"/>
    <w:rsid w:val="5B6A1479"/>
    <w:rsid w:val="5B926D8C"/>
    <w:rsid w:val="5BC759CE"/>
    <w:rsid w:val="5D017965"/>
    <w:rsid w:val="5D753EAF"/>
    <w:rsid w:val="5DFE20F6"/>
    <w:rsid w:val="5E372EC4"/>
    <w:rsid w:val="5EBF3EA5"/>
    <w:rsid w:val="60464D6E"/>
    <w:rsid w:val="60FB195F"/>
    <w:rsid w:val="61073070"/>
    <w:rsid w:val="61077514"/>
    <w:rsid w:val="623711E3"/>
    <w:rsid w:val="63490B3B"/>
    <w:rsid w:val="64406E43"/>
    <w:rsid w:val="65013B6F"/>
    <w:rsid w:val="6600457F"/>
    <w:rsid w:val="66DC3B46"/>
    <w:rsid w:val="675D70E2"/>
    <w:rsid w:val="6796339F"/>
    <w:rsid w:val="679A4C3E"/>
    <w:rsid w:val="684B0AD9"/>
    <w:rsid w:val="685766C6"/>
    <w:rsid w:val="686D5EAE"/>
    <w:rsid w:val="689A4440"/>
    <w:rsid w:val="68B6208E"/>
    <w:rsid w:val="68B62B8B"/>
    <w:rsid w:val="68F465CF"/>
    <w:rsid w:val="68FE34BA"/>
    <w:rsid w:val="69531548"/>
    <w:rsid w:val="69A47766"/>
    <w:rsid w:val="69BD3497"/>
    <w:rsid w:val="6A1D1E0A"/>
    <w:rsid w:val="6A34330F"/>
    <w:rsid w:val="6B6A2B79"/>
    <w:rsid w:val="6B8F25DF"/>
    <w:rsid w:val="6B966935"/>
    <w:rsid w:val="6B9B310B"/>
    <w:rsid w:val="6BB54943"/>
    <w:rsid w:val="6BF559D1"/>
    <w:rsid w:val="6C431072"/>
    <w:rsid w:val="6CFD1C58"/>
    <w:rsid w:val="6D1325C1"/>
    <w:rsid w:val="6D390F4A"/>
    <w:rsid w:val="6E103BDA"/>
    <w:rsid w:val="6E3B25AB"/>
    <w:rsid w:val="6E5B4F35"/>
    <w:rsid w:val="6F1A4C1A"/>
    <w:rsid w:val="6F9920B9"/>
    <w:rsid w:val="6FEC1DAE"/>
    <w:rsid w:val="70E55BF7"/>
    <w:rsid w:val="71C65D6C"/>
    <w:rsid w:val="71D9543A"/>
    <w:rsid w:val="7270316B"/>
    <w:rsid w:val="729606F7"/>
    <w:rsid w:val="72CB03A1"/>
    <w:rsid w:val="739A5FC5"/>
    <w:rsid w:val="739E7864"/>
    <w:rsid w:val="741648D8"/>
    <w:rsid w:val="7516740F"/>
    <w:rsid w:val="752B57D9"/>
    <w:rsid w:val="75577A04"/>
    <w:rsid w:val="757A7DCB"/>
    <w:rsid w:val="75BC2223"/>
    <w:rsid w:val="75CF5085"/>
    <w:rsid w:val="76432944"/>
    <w:rsid w:val="76872831"/>
    <w:rsid w:val="769E5250"/>
    <w:rsid w:val="77091498"/>
    <w:rsid w:val="771509B1"/>
    <w:rsid w:val="77163BB5"/>
    <w:rsid w:val="77B43AFA"/>
    <w:rsid w:val="7818524D"/>
    <w:rsid w:val="783558EC"/>
    <w:rsid w:val="79102FB2"/>
    <w:rsid w:val="79533BB7"/>
    <w:rsid w:val="797A6237"/>
    <w:rsid w:val="79CD0380"/>
    <w:rsid w:val="79F1109C"/>
    <w:rsid w:val="7A165032"/>
    <w:rsid w:val="7A577EF6"/>
    <w:rsid w:val="7A85352B"/>
    <w:rsid w:val="7AB92F5A"/>
    <w:rsid w:val="7AC02266"/>
    <w:rsid w:val="7AC66B84"/>
    <w:rsid w:val="7B6F1AE6"/>
    <w:rsid w:val="7BAE0860"/>
    <w:rsid w:val="7C261585"/>
    <w:rsid w:val="7C8C3585"/>
    <w:rsid w:val="7CB4358E"/>
    <w:rsid w:val="7E3253AB"/>
    <w:rsid w:val="7E655B4E"/>
    <w:rsid w:val="7F852F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heme="minorBidi"/>
      <w:kern w:val="2"/>
      <w:sz w:val="24"/>
      <w:szCs w:val="24"/>
      <w:lang w:val="en-US" w:eastAsia="zh-CN" w:bidi="ar-SA"/>
    </w:rPr>
  </w:style>
  <w:style w:type="paragraph" w:styleId="2">
    <w:name w:val="heading 1"/>
    <w:basedOn w:val="1"/>
    <w:next w:val="1"/>
    <w:link w:val="17"/>
    <w:qFormat/>
    <w:uiPriority w:val="9"/>
    <w:pPr>
      <w:keepNext/>
      <w:keepLines/>
      <w:jc w:val="center"/>
      <w:outlineLvl w:val="0"/>
    </w:pPr>
    <w:rPr>
      <w:rFonts w:eastAsia="黑体"/>
      <w:b/>
      <w:kern w:val="44"/>
    </w:rPr>
  </w:style>
  <w:style w:type="paragraph" w:styleId="3">
    <w:name w:val="heading 2"/>
    <w:basedOn w:val="1"/>
    <w:next w:val="1"/>
    <w:link w:val="18"/>
    <w:unhideWhenUsed/>
    <w:qFormat/>
    <w:uiPriority w:val="9"/>
    <w:pPr>
      <w:keepNext/>
      <w:keepLines/>
      <w:jc w:val="center"/>
      <w:outlineLvl w:val="1"/>
    </w:pPr>
    <w:rPr>
      <w:rFonts w:ascii="Arial" w:hAnsi="Arial"/>
      <w:b/>
    </w:rPr>
  </w:style>
  <w:style w:type="paragraph" w:styleId="4">
    <w:name w:val="heading 3"/>
    <w:basedOn w:val="1"/>
    <w:next w:val="1"/>
    <w:link w:val="30"/>
    <w:semiHidden/>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4"/>
    <w:unhideWhenUsed/>
    <w:qFormat/>
    <w:uiPriority w:val="0"/>
    <w:pPr>
      <w:jc w:val="left"/>
    </w:pPr>
  </w:style>
  <w:style w:type="paragraph" w:styleId="6">
    <w:name w:val="Body Text"/>
    <w:basedOn w:val="1"/>
    <w:next w:val="1"/>
    <w:semiHidden/>
    <w:qFormat/>
    <w:uiPriority w:val="0"/>
    <w:rPr>
      <w:rFonts w:ascii="宋体" w:hAnsi="宋体" w:eastAsia="宋体" w:cs="宋体"/>
      <w:sz w:val="28"/>
      <w:szCs w:val="28"/>
      <w:lang w:val="en-US" w:eastAsia="en-US" w:bidi="ar-SA"/>
    </w:rPr>
  </w:style>
  <w:style w:type="paragraph" w:styleId="7">
    <w:name w:val="Date"/>
    <w:basedOn w:val="1"/>
    <w:next w:val="1"/>
    <w:link w:val="26"/>
    <w:semiHidden/>
    <w:unhideWhenUsed/>
    <w:qFormat/>
    <w:uiPriority w:val="99"/>
    <w:pPr>
      <w:ind w:left="100" w:leftChars="2500"/>
    </w:pPr>
  </w:style>
  <w:style w:type="paragraph" w:styleId="8">
    <w:name w:val="footer"/>
    <w:basedOn w:val="1"/>
    <w:link w:val="22"/>
    <w:unhideWhenUsed/>
    <w:qFormat/>
    <w:uiPriority w:val="99"/>
    <w:pPr>
      <w:tabs>
        <w:tab w:val="center" w:pos="4153"/>
        <w:tab w:val="right" w:pos="8306"/>
      </w:tabs>
      <w:snapToGrid w:val="0"/>
      <w:jc w:val="left"/>
    </w:pPr>
    <w:rPr>
      <w:sz w:val="18"/>
      <w:szCs w:val="18"/>
    </w:rPr>
  </w:style>
  <w:style w:type="paragraph" w:styleId="9">
    <w:name w:val="header"/>
    <w:basedOn w:val="1"/>
    <w:link w:val="21"/>
    <w:unhideWhenUsed/>
    <w:qFormat/>
    <w:uiPriority w:val="99"/>
    <w:pPr>
      <w:tabs>
        <w:tab w:val="center" w:pos="4153"/>
        <w:tab w:val="right" w:pos="8306"/>
      </w:tabs>
      <w:snapToGrid w:val="0"/>
      <w:jc w:val="center"/>
    </w:pPr>
    <w:rPr>
      <w:sz w:val="18"/>
      <w:szCs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annotation subject"/>
    <w:basedOn w:val="5"/>
    <w:next w:val="5"/>
    <w:link w:val="25"/>
    <w:semiHidden/>
    <w:unhideWhenUsed/>
    <w:qFormat/>
    <w:uiPriority w:val="99"/>
    <w:rPr>
      <w:b/>
      <w:bCs/>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annotation reference"/>
    <w:basedOn w:val="15"/>
    <w:semiHidden/>
    <w:unhideWhenUsed/>
    <w:qFormat/>
    <w:uiPriority w:val="99"/>
    <w:rPr>
      <w:sz w:val="21"/>
      <w:szCs w:val="21"/>
    </w:rPr>
  </w:style>
  <w:style w:type="character" w:customStyle="1" w:styleId="17">
    <w:name w:val="标题 1 字符"/>
    <w:basedOn w:val="15"/>
    <w:link w:val="2"/>
    <w:qFormat/>
    <w:uiPriority w:val="9"/>
    <w:rPr>
      <w:rFonts w:eastAsia="黑体"/>
      <w:b/>
      <w:kern w:val="44"/>
      <w:sz w:val="24"/>
      <w:szCs w:val="24"/>
    </w:rPr>
  </w:style>
  <w:style w:type="character" w:customStyle="1" w:styleId="18">
    <w:name w:val="标题 2 字符"/>
    <w:basedOn w:val="15"/>
    <w:link w:val="3"/>
    <w:qFormat/>
    <w:uiPriority w:val="9"/>
    <w:rPr>
      <w:rFonts w:ascii="Arial" w:hAnsi="Arial" w:eastAsia="宋体"/>
      <w:b/>
      <w:szCs w:val="24"/>
    </w:rPr>
  </w:style>
  <w:style w:type="character" w:styleId="19">
    <w:name w:val="Placeholder Text"/>
    <w:basedOn w:val="15"/>
    <w:semiHidden/>
    <w:qFormat/>
    <w:uiPriority w:val="99"/>
    <w:rPr>
      <w:color w:val="666666"/>
    </w:rPr>
  </w:style>
  <w:style w:type="paragraph" w:customStyle="1" w:styleId="20">
    <w:name w:val="paragraph"/>
    <w:basedOn w:val="1"/>
    <w:qFormat/>
    <w:uiPriority w:val="0"/>
    <w:pPr>
      <w:widowControl/>
      <w:spacing w:before="100" w:beforeAutospacing="1" w:after="100" w:afterAutospacing="1"/>
      <w:jc w:val="left"/>
    </w:pPr>
    <w:rPr>
      <w:rFonts w:ascii="宋体" w:hAnsi="宋体" w:cs="宋体"/>
      <w:kern w:val="0"/>
    </w:rPr>
  </w:style>
  <w:style w:type="character" w:customStyle="1" w:styleId="21">
    <w:name w:val="页眉 字符"/>
    <w:basedOn w:val="15"/>
    <w:link w:val="9"/>
    <w:qFormat/>
    <w:uiPriority w:val="99"/>
    <w:rPr>
      <w:rFonts w:eastAsia="宋体"/>
      <w:sz w:val="18"/>
      <w:szCs w:val="18"/>
    </w:rPr>
  </w:style>
  <w:style w:type="character" w:customStyle="1" w:styleId="22">
    <w:name w:val="页脚 字符"/>
    <w:basedOn w:val="15"/>
    <w:link w:val="8"/>
    <w:qFormat/>
    <w:uiPriority w:val="99"/>
    <w:rPr>
      <w:rFonts w:eastAsia="宋体"/>
      <w:sz w:val="18"/>
      <w:szCs w:val="18"/>
    </w:rPr>
  </w:style>
  <w:style w:type="paragraph" w:customStyle="1" w:styleId="23">
    <w:name w:val="修订1"/>
    <w:hidden/>
    <w:semiHidden/>
    <w:qFormat/>
    <w:uiPriority w:val="99"/>
    <w:rPr>
      <w:rFonts w:eastAsia="宋体" w:asciiTheme="minorHAnsi" w:hAnsiTheme="minorHAnsi" w:cstheme="minorBidi"/>
      <w:kern w:val="2"/>
      <w:sz w:val="21"/>
      <w:szCs w:val="24"/>
      <w:lang w:val="en-US" w:eastAsia="zh-CN" w:bidi="ar-SA"/>
    </w:rPr>
  </w:style>
  <w:style w:type="character" w:customStyle="1" w:styleId="24">
    <w:name w:val="批注文字 字符"/>
    <w:basedOn w:val="15"/>
    <w:link w:val="5"/>
    <w:qFormat/>
    <w:uiPriority w:val="0"/>
    <w:rPr>
      <w:rFonts w:eastAsia="宋体"/>
      <w:szCs w:val="24"/>
    </w:rPr>
  </w:style>
  <w:style w:type="character" w:customStyle="1" w:styleId="25">
    <w:name w:val="批注主题 字符"/>
    <w:basedOn w:val="24"/>
    <w:link w:val="12"/>
    <w:semiHidden/>
    <w:qFormat/>
    <w:uiPriority w:val="99"/>
    <w:rPr>
      <w:rFonts w:eastAsia="宋体"/>
      <w:b/>
      <w:bCs/>
      <w:szCs w:val="24"/>
    </w:rPr>
  </w:style>
  <w:style w:type="character" w:customStyle="1" w:styleId="26">
    <w:name w:val="日期 字符"/>
    <w:basedOn w:val="15"/>
    <w:link w:val="7"/>
    <w:semiHidden/>
    <w:qFormat/>
    <w:uiPriority w:val="99"/>
    <w:rPr>
      <w:rFonts w:eastAsia="宋体"/>
      <w:szCs w:val="24"/>
    </w:rPr>
  </w:style>
  <w:style w:type="paragraph" w:styleId="27">
    <w:name w:val="List Paragraph"/>
    <w:basedOn w:val="1"/>
    <w:qFormat/>
    <w:uiPriority w:val="34"/>
    <w:pPr>
      <w:ind w:firstLine="420" w:firstLineChars="200"/>
    </w:pPr>
  </w:style>
  <w:style w:type="paragraph" w:customStyle="1" w:styleId="28">
    <w:name w:val="列出段落2"/>
    <w:basedOn w:val="1"/>
    <w:qFormat/>
    <w:uiPriority w:val="99"/>
    <w:pPr>
      <w:ind w:firstLine="420" w:firstLineChars="200"/>
    </w:pPr>
    <w:rPr>
      <w:rFonts w:cs="Times New Roman"/>
      <w:szCs w:val="20"/>
    </w:rPr>
  </w:style>
  <w:style w:type="paragraph" w:customStyle="1" w:styleId="29">
    <w:name w:val="修订2"/>
    <w:hidden/>
    <w:unhideWhenUsed/>
    <w:qFormat/>
    <w:uiPriority w:val="99"/>
    <w:rPr>
      <w:rFonts w:eastAsia="宋体" w:asciiTheme="minorHAnsi" w:hAnsiTheme="minorHAnsi" w:cstheme="minorBidi"/>
      <w:kern w:val="2"/>
      <w:sz w:val="21"/>
      <w:szCs w:val="24"/>
      <w:lang w:val="en-US" w:eastAsia="zh-CN" w:bidi="ar-SA"/>
    </w:rPr>
  </w:style>
  <w:style w:type="character" w:customStyle="1" w:styleId="30">
    <w:name w:val="标题 3 字符"/>
    <w:basedOn w:val="15"/>
    <w:link w:val="4"/>
    <w:semiHidden/>
    <w:qFormat/>
    <w:uiPriority w:val="9"/>
    <w:rPr>
      <w:rFonts w:eastAsia="宋体"/>
      <w:b/>
      <w:bCs/>
      <w:kern w:val="2"/>
      <w:sz w:val="32"/>
      <w:szCs w:val="32"/>
    </w:rPr>
  </w:style>
  <w:style w:type="paragraph" w:customStyle="1" w:styleId="31">
    <w:name w:val="Table Text"/>
    <w:basedOn w:val="1"/>
    <w:semiHidden/>
    <w:qFormat/>
    <w:uiPriority w:val="0"/>
    <w:rPr>
      <w:rFonts w:ascii="宋体" w:hAnsi="宋体" w:cs="宋体"/>
      <w:sz w:val="38"/>
      <w:szCs w:val="38"/>
      <w:lang w:eastAsia="en-US"/>
    </w:rPr>
  </w:style>
  <w:style w:type="table" w:customStyle="1" w:styleId="32">
    <w:name w:val="Table Normal"/>
    <w:unhideWhenUsed/>
    <w:qFormat/>
    <w:uiPriority w:val="0"/>
    <w:tblPr>
      <w:tblCellMar>
        <w:top w:w="0" w:type="dxa"/>
        <w:left w:w="0" w:type="dxa"/>
        <w:bottom w:w="0" w:type="dxa"/>
        <w:right w:w="0" w:type="dxa"/>
      </w:tblCellMar>
    </w:tblPr>
  </w:style>
  <w:style w:type="paragraph" w:customStyle="1" w:styleId="33">
    <w:name w:val="Revision"/>
    <w:hidden/>
    <w:unhideWhenUsed/>
    <w:qFormat/>
    <w:uiPriority w:val="99"/>
    <w:rPr>
      <w:rFonts w:ascii="Times New Roman" w:hAnsi="Times New Roman" w:eastAsia="宋体" w:cstheme="minorBidi"/>
      <w:kern w:val="2"/>
      <w:sz w:val="24"/>
      <w:szCs w:val="24"/>
      <w:lang w:val="en-US" w:eastAsia="zh-CN" w:bidi="ar-SA"/>
    </w:rPr>
  </w:style>
  <w:style w:type="paragraph" w:customStyle="1" w:styleId="34">
    <w:name w:val="前言、引言标题"/>
    <w:basedOn w:val="1"/>
    <w:qFormat/>
    <w:uiPriority w:val="0"/>
    <w:pPr>
      <w:numPr>
        <w:ilvl w:val="0"/>
        <w:numId w:val="1"/>
      </w:numPr>
    </w:pPr>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0.wmf"/><Relationship Id="rId36" Type="http://schemas.openxmlformats.org/officeDocument/2006/relationships/oleObject" Target="embeddings/oleObject1.bin"/><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F03807-E3ED-4497-AA1C-AD35B1F91664}">
  <ds:schemaRefs/>
</ds:datastoreItem>
</file>

<file path=docProps/app.xml><?xml version="1.0" encoding="utf-8"?>
<Properties xmlns="http://schemas.openxmlformats.org/officeDocument/2006/extended-properties" xmlns:vt="http://schemas.openxmlformats.org/officeDocument/2006/docPropsVTypes">
  <Template>Normal</Template>
  <Pages>93</Pages>
  <Words>2204</Words>
  <Characters>2731</Characters>
  <Lines>507</Lines>
  <Paragraphs>142</Paragraphs>
  <TotalTime>1</TotalTime>
  <ScaleCrop>false</ScaleCrop>
  <LinksUpToDate>false</LinksUpToDate>
  <CharactersWithSpaces>2987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2025-09-29T06:04:00Z</dcterms:created>
  <dc:creator>JC 彭</dc:creator>
  <cp:lastModifiedBy>⌒寻⌒</cp:lastModifiedBy>
  <cp:lastPrinted>2025-08-01T01:08:00Z</cp:lastPrinted>
  <dcterms:modified xsi:type="dcterms:W3CDTF">2025-11-25T07:57:53Z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eyJoZGlkIjoiNjI4OTY5MmJlMjRjZjVjNDcwNjVkZGE0MjYzNGY3YTAiLCJ1c2VySWQiOiI0OTA0ODM2MjMifQ==</vt:lpwstr>
  </property>
  <property fmtid="{D5CDD505-2E9C-101B-9397-08002B2CF9AE}" pid="3" name="KSOProductBuildVer">
    <vt:lpwstr>2052-12.1.0.23542</vt:lpwstr>
  </property>
  <property fmtid="{D5CDD505-2E9C-101B-9397-08002B2CF9AE}" pid="4" name="ICV">
    <vt:lpwstr>7B3E0A931F114177A0CAFCABCB80DFCB_13</vt:lpwstr>
  </property>
</Properties>
</file>