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D819D" w14:textId="77777777" w:rsidR="00E92A42" w:rsidRDefault="00000000">
      <w:pPr>
        <w:pStyle w:val="a7"/>
        <w:rPr>
          <w:rFonts w:ascii="Times New Roman" w:eastAsia="黑体" w:hAnsi="Times New Roman"/>
          <w:kern w:val="2"/>
          <w:sz w:val="32"/>
        </w:rPr>
      </w:pPr>
      <w:r>
        <w:rPr>
          <w:rFonts w:ascii="Times New Roman" w:eastAsia="黑体" w:hAnsi="Times New Roman" w:hint="eastAsia"/>
          <w:kern w:val="2"/>
          <w:sz w:val="32"/>
        </w:rPr>
        <w:t>附件</w:t>
      </w:r>
    </w:p>
    <w:p w14:paraId="6D526908" w14:textId="77777777" w:rsidR="00E92A42" w:rsidRDefault="00000000">
      <w:pPr>
        <w:snapToGrid w:val="0"/>
        <w:jc w:val="center"/>
        <w:rPr>
          <w:rFonts w:ascii="Times New Roman" w:eastAsia="方正小标宋简体" w:hAnsi="Times New Roman"/>
          <w:sz w:val="44"/>
          <w:szCs w:val="44"/>
        </w:rPr>
      </w:pPr>
      <w:r>
        <w:rPr>
          <w:rFonts w:ascii="Times New Roman" w:eastAsia="方正小标宋简体" w:hAnsi="Times New Roman" w:hint="eastAsia"/>
          <w:sz w:val="44"/>
          <w:szCs w:val="44"/>
        </w:rPr>
        <w:t>2024</w:t>
      </w:r>
      <w:r>
        <w:rPr>
          <w:rFonts w:ascii="Times New Roman" w:eastAsia="方正小标宋简体" w:hAnsi="Times New Roman" w:hint="eastAsia"/>
          <w:sz w:val="44"/>
          <w:szCs w:val="44"/>
        </w:rPr>
        <w:t>年四川省工程建设标准设计制订计划拟立项项目汇总表</w:t>
      </w:r>
    </w:p>
    <w:tbl>
      <w:tblPr>
        <w:tblStyle w:val="ab"/>
        <w:tblW w:w="14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3925"/>
        <w:gridCol w:w="5913"/>
        <w:gridCol w:w="2192"/>
        <w:gridCol w:w="1095"/>
      </w:tblGrid>
      <w:tr w:rsidR="00E92A42" w14:paraId="0E38865E" w14:textId="77777777">
        <w:trPr>
          <w:trHeight w:val="787"/>
          <w:jc w:val="center"/>
        </w:trPr>
        <w:tc>
          <w:tcPr>
            <w:tcW w:w="945" w:type="dxa"/>
            <w:vAlign w:val="center"/>
          </w:tcPr>
          <w:p w14:paraId="0D9441A2" w14:textId="77777777" w:rsidR="00E92A42" w:rsidRDefault="00000000">
            <w:pPr>
              <w:widowControl/>
              <w:jc w:val="center"/>
              <w:textAlignment w:val="center"/>
              <w:rPr>
                <w:rFonts w:ascii="黑体" w:eastAsia="黑体" w:hAnsi="黑体" w:cs="黑体"/>
                <w:b/>
                <w:kern w:val="0"/>
                <w:sz w:val="28"/>
                <w:szCs w:val="28"/>
                <w:lang w:bidi="ar"/>
              </w:rPr>
            </w:pPr>
            <w:r>
              <w:rPr>
                <w:rFonts w:ascii="黑体" w:eastAsia="黑体" w:hAnsi="黑体" w:cs="黑体" w:hint="eastAsia"/>
                <w:b/>
                <w:kern w:val="0"/>
                <w:sz w:val="28"/>
                <w:szCs w:val="28"/>
                <w:lang w:bidi="ar"/>
              </w:rPr>
              <w:t>序号</w:t>
            </w:r>
          </w:p>
        </w:tc>
        <w:tc>
          <w:tcPr>
            <w:tcW w:w="3925" w:type="dxa"/>
            <w:vAlign w:val="center"/>
          </w:tcPr>
          <w:p w14:paraId="0BA6A2B8" w14:textId="77777777" w:rsidR="00E92A42" w:rsidRDefault="00000000">
            <w:pPr>
              <w:widowControl/>
              <w:jc w:val="center"/>
              <w:textAlignment w:val="center"/>
              <w:rPr>
                <w:rFonts w:ascii="黑体" w:eastAsia="黑体" w:hAnsi="黑体" w:cs="黑体"/>
                <w:b/>
                <w:kern w:val="0"/>
                <w:sz w:val="28"/>
                <w:szCs w:val="28"/>
                <w:lang w:bidi="ar"/>
              </w:rPr>
            </w:pPr>
            <w:r>
              <w:rPr>
                <w:rFonts w:ascii="黑体" w:eastAsia="黑体" w:hAnsi="黑体" w:cs="黑体" w:hint="eastAsia"/>
                <w:b/>
                <w:kern w:val="0"/>
                <w:sz w:val="28"/>
                <w:szCs w:val="28"/>
                <w:lang w:bidi="ar"/>
              </w:rPr>
              <w:t>标准名称</w:t>
            </w:r>
          </w:p>
        </w:tc>
        <w:tc>
          <w:tcPr>
            <w:tcW w:w="5913" w:type="dxa"/>
            <w:vAlign w:val="center"/>
          </w:tcPr>
          <w:p w14:paraId="12BD2F88" w14:textId="77777777" w:rsidR="00E92A42" w:rsidRDefault="00000000">
            <w:pPr>
              <w:widowControl/>
              <w:jc w:val="center"/>
              <w:textAlignment w:val="center"/>
              <w:rPr>
                <w:rFonts w:ascii="黑体" w:eastAsia="黑体" w:hAnsi="黑体" w:cs="黑体"/>
                <w:b/>
                <w:kern w:val="0"/>
                <w:sz w:val="28"/>
                <w:szCs w:val="28"/>
                <w:lang w:bidi="ar"/>
              </w:rPr>
            </w:pPr>
            <w:r>
              <w:rPr>
                <w:rFonts w:ascii="黑体" w:eastAsia="黑体" w:hAnsi="黑体" w:cs="黑体" w:hint="eastAsia"/>
                <w:b/>
                <w:kern w:val="0"/>
                <w:sz w:val="28"/>
                <w:szCs w:val="28"/>
                <w:lang w:bidi="ar"/>
              </w:rPr>
              <w:t>适用范围和主要技术内容</w:t>
            </w:r>
          </w:p>
        </w:tc>
        <w:tc>
          <w:tcPr>
            <w:tcW w:w="2192" w:type="dxa"/>
            <w:vAlign w:val="center"/>
          </w:tcPr>
          <w:p w14:paraId="7ED54134" w14:textId="77777777" w:rsidR="00E92A42" w:rsidRDefault="00000000">
            <w:pPr>
              <w:widowControl/>
              <w:jc w:val="center"/>
              <w:textAlignment w:val="center"/>
              <w:rPr>
                <w:rFonts w:ascii="黑体" w:eastAsia="黑体" w:hAnsi="黑体" w:cs="黑体"/>
                <w:b/>
                <w:kern w:val="0"/>
                <w:sz w:val="28"/>
                <w:szCs w:val="28"/>
                <w:lang w:bidi="ar"/>
              </w:rPr>
            </w:pPr>
            <w:r>
              <w:rPr>
                <w:rFonts w:ascii="黑体" w:eastAsia="黑体" w:hAnsi="黑体" w:cs="黑体" w:hint="eastAsia"/>
                <w:b/>
                <w:kern w:val="0"/>
                <w:sz w:val="28"/>
                <w:szCs w:val="28"/>
                <w:lang w:bidi="ar"/>
              </w:rPr>
              <w:t>起草/承担单位</w:t>
            </w:r>
          </w:p>
        </w:tc>
        <w:tc>
          <w:tcPr>
            <w:tcW w:w="1095" w:type="dxa"/>
            <w:vAlign w:val="center"/>
          </w:tcPr>
          <w:p w14:paraId="56336F0F" w14:textId="77777777" w:rsidR="00E92A42" w:rsidRDefault="00000000">
            <w:pPr>
              <w:widowControl/>
              <w:jc w:val="center"/>
              <w:textAlignment w:val="center"/>
              <w:rPr>
                <w:rFonts w:ascii="黑体" w:eastAsia="黑体" w:hAnsi="黑体" w:cs="黑体"/>
                <w:b/>
                <w:kern w:val="0"/>
                <w:sz w:val="28"/>
                <w:szCs w:val="28"/>
                <w:lang w:bidi="ar"/>
              </w:rPr>
            </w:pPr>
            <w:r>
              <w:rPr>
                <w:rFonts w:ascii="黑体" w:eastAsia="黑体" w:hAnsi="黑体" w:cs="黑体" w:hint="eastAsia"/>
                <w:b/>
                <w:kern w:val="0"/>
                <w:sz w:val="28"/>
                <w:szCs w:val="28"/>
                <w:lang w:bidi="ar"/>
              </w:rPr>
              <w:t>备注</w:t>
            </w:r>
          </w:p>
        </w:tc>
      </w:tr>
      <w:tr w:rsidR="00E92A42" w14:paraId="764AF6B7" w14:textId="77777777">
        <w:trPr>
          <w:trHeight w:val="524"/>
          <w:jc w:val="center"/>
        </w:trPr>
        <w:tc>
          <w:tcPr>
            <w:tcW w:w="945" w:type="dxa"/>
            <w:vAlign w:val="center"/>
          </w:tcPr>
          <w:p w14:paraId="2987778D" w14:textId="77777777" w:rsidR="00E92A42" w:rsidRDefault="00000000">
            <w:pPr>
              <w:widowControl/>
              <w:jc w:val="center"/>
              <w:textAlignment w:val="center"/>
              <w:rPr>
                <w:rFonts w:ascii="Times New Roman" w:eastAsia="仿宋" w:hAnsi="Times New Roman"/>
                <w:bCs/>
                <w:kern w:val="0"/>
                <w:sz w:val="24"/>
                <w:lang w:bidi="ar"/>
              </w:rPr>
            </w:pPr>
            <w:r>
              <w:rPr>
                <w:rFonts w:ascii="Times New Roman" w:eastAsia="仿宋" w:hAnsi="Times New Roman" w:hint="eastAsia"/>
                <w:bCs/>
                <w:kern w:val="0"/>
                <w:sz w:val="24"/>
                <w:lang w:bidi="ar"/>
              </w:rPr>
              <w:t>1</w:t>
            </w:r>
          </w:p>
        </w:tc>
        <w:tc>
          <w:tcPr>
            <w:tcW w:w="3925" w:type="dxa"/>
            <w:vAlign w:val="center"/>
          </w:tcPr>
          <w:p w14:paraId="4D0226ED" w14:textId="77777777" w:rsidR="00E92A42" w:rsidRDefault="00000000">
            <w:pPr>
              <w:snapToGrid w:val="0"/>
              <w:jc w:val="center"/>
              <w:rPr>
                <w:rFonts w:ascii="仿宋" w:eastAsia="仿宋" w:hAnsi="仿宋" w:cs="仿宋"/>
                <w:bCs/>
                <w:kern w:val="0"/>
                <w:sz w:val="24"/>
                <w:lang w:bidi="ar"/>
              </w:rPr>
            </w:pPr>
            <w:r>
              <w:rPr>
                <w:rFonts w:ascii="Times New Roman" w:eastAsia="仿宋" w:hAnsi="Times New Roman" w:hint="eastAsia"/>
                <w:color w:val="000000"/>
                <w:spacing w:val="-20"/>
                <w:sz w:val="24"/>
              </w:rPr>
              <w:t>室外排水管道特殊附属设施设计图集</w:t>
            </w:r>
          </w:p>
        </w:tc>
        <w:tc>
          <w:tcPr>
            <w:tcW w:w="5913" w:type="dxa"/>
            <w:vAlign w:val="center"/>
          </w:tcPr>
          <w:p w14:paraId="669C2F9B" w14:textId="77777777" w:rsidR="00E92A42" w:rsidRDefault="00000000">
            <w:pPr>
              <w:widowControl/>
              <w:textAlignment w:val="center"/>
              <w:rPr>
                <w:rFonts w:ascii="仿宋" w:eastAsia="仿宋" w:hAnsi="仿宋" w:cs="仿宋"/>
                <w:kern w:val="0"/>
                <w:sz w:val="24"/>
                <w:lang w:bidi="ar"/>
              </w:rPr>
            </w:pPr>
            <w:r>
              <w:rPr>
                <w:rFonts w:ascii="仿宋" w:eastAsia="仿宋" w:hAnsi="仿宋" w:cs="仿宋" w:hint="eastAsia"/>
                <w:b/>
                <w:bCs/>
                <w:kern w:val="0"/>
                <w:sz w:val="24"/>
                <w:lang w:bidi="ar"/>
              </w:rPr>
              <w:t>一、适用范围：</w:t>
            </w:r>
            <w:r>
              <w:rPr>
                <w:rFonts w:ascii="仿宋" w:eastAsia="仿宋" w:hAnsi="仿宋" w:cs="仿宋" w:hint="eastAsia"/>
                <w:kern w:val="0"/>
                <w:sz w:val="24"/>
                <w:lang w:bidi="ar"/>
              </w:rPr>
              <w:t>适用于建筑工程室外排水管道工程，也可适用于市政道路排水管道工程。</w:t>
            </w:r>
          </w:p>
          <w:p w14:paraId="10DB4187" w14:textId="77777777" w:rsidR="00E92A42" w:rsidRDefault="00000000">
            <w:pPr>
              <w:widowControl/>
              <w:textAlignment w:val="center"/>
              <w:rPr>
                <w:rFonts w:ascii="仿宋" w:eastAsia="仿宋" w:hAnsi="仿宋" w:cs="仿宋"/>
                <w:color w:val="FF0000"/>
                <w:kern w:val="0"/>
                <w:sz w:val="24"/>
                <w:lang w:bidi="ar"/>
              </w:rPr>
            </w:pPr>
            <w:r>
              <w:rPr>
                <w:rFonts w:ascii="仿宋" w:eastAsia="仿宋" w:hAnsi="仿宋" w:cs="仿宋" w:hint="eastAsia"/>
                <w:b/>
                <w:bCs/>
                <w:kern w:val="0"/>
                <w:sz w:val="24"/>
                <w:lang w:bidi="ar"/>
              </w:rPr>
              <w:t>二、主要技术内容：</w:t>
            </w:r>
            <w:r>
              <w:rPr>
                <w:rFonts w:ascii="仿宋" w:eastAsia="仿宋" w:hAnsi="仿宋" w:cs="仿宋" w:hint="eastAsia"/>
                <w:kern w:val="0"/>
                <w:sz w:val="24"/>
                <w:lang w:bidi="ar"/>
              </w:rPr>
              <w:t>包括海</w:t>
            </w:r>
            <w:r>
              <w:rPr>
                <w:rFonts w:ascii="Times New Roman" w:eastAsia="仿宋" w:hAnsi="Times New Roman" w:hint="eastAsia"/>
                <w:sz w:val="24"/>
              </w:rPr>
              <w:t>超深检查井、超深跌水井；消能井、矩形直线多支管接入检查井</w:t>
            </w:r>
            <w:r>
              <w:rPr>
                <w:rFonts w:ascii="仿宋" w:eastAsia="仿宋" w:hAnsi="仿宋" w:cs="仿宋" w:hint="eastAsia"/>
                <w:kern w:val="0"/>
                <w:sz w:val="24"/>
                <w:lang w:bidi="ar"/>
              </w:rPr>
              <w:t>等。</w:t>
            </w:r>
          </w:p>
        </w:tc>
        <w:tc>
          <w:tcPr>
            <w:tcW w:w="2192" w:type="dxa"/>
            <w:vAlign w:val="center"/>
          </w:tcPr>
          <w:p w14:paraId="466D80F4"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t>中国建筑西南设计研究院有限公司等</w:t>
            </w:r>
          </w:p>
        </w:tc>
        <w:tc>
          <w:tcPr>
            <w:tcW w:w="1095" w:type="dxa"/>
            <w:vAlign w:val="center"/>
          </w:tcPr>
          <w:p w14:paraId="71F8F138" w14:textId="77777777" w:rsidR="00E92A42" w:rsidRDefault="00000000">
            <w:pPr>
              <w:widowControl/>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制订</w:t>
            </w:r>
          </w:p>
        </w:tc>
      </w:tr>
      <w:tr w:rsidR="00E92A42" w14:paraId="6440107D" w14:textId="77777777">
        <w:trPr>
          <w:trHeight w:val="524"/>
          <w:jc w:val="center"/>
        </w:trPr>
        <w:tc>
          <w:tcPr>
            <w:tcW w:w="945" w:type="dxa"/>
            <w:vAlign w:val="center"/>
          </w:tcPr>
          <w:p w14:paraId="34E7B09C" w14:textId="77777777" w:rsidR="00E92A42" w:rsidRDefault="00000000">
            <w:pPr>
              <w:widowControl/>
              <w:jc w:val="center"/>
              <w:textAlignment w:val="center"/>
              <w:rPr>
                <w:rFonts w:ascii="Times New Roman" w:eastAsia="仿宋" w:hAnsi="Times New Roman"/>
                <w:bCs/>
                <w:kern w:val="0"/>
                <w:sz w:val="24"/>
                <w:lang w:bidi="ar"/>
              </w:rPr>
            </w:pPr>
            <w:r>
              <w:rPr>
                <w:rFonts w:ascii="Times New Roman" w:eastAsia="仿宋" w:hAnsi="Times New Roman" w:hint="eastAsia"/>
                <w:bCs/>
                <w:kern w:val="0"/>
                <w:sz w:val="24"/>
                <w:lang w:bidi="ar"/>
              </w:rPr>
              <w:t>2</w:t>
            </w:r>
          </w:p>
        </w:tc>
        <w:tc>
          <w:tcPr>
            <w:tcW w:w="3925" w:type="dxa"/>
            <w:vAlign w:val="center"/>
          </w:tcPr>
          <w:p w14:paraId="376F1A54"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t>四川省预制叠合</w:t>
            </w:r>
            <w:proofErr w:type="gramStart"/>
            <w:r>
              <w:rPr>
                <w:rFonts w:ascii="Times New Roman" w:eastAsia="仿宋" w:hAnsi="Times New Roman" w:hint="eastAsia"/>
                <w:color w:val="000000"/>
                <w:spacing w:val="-20"/>
                <w:sz w:val="24"/>
              </w:rPr>
              <w:t>梁标准</w:t>
            </w:r>
            <w:proofErr w:type="gramEnd"/>
            <w:r>
              <w:rPr>
                <w:rFonts w:ascii="Times New Roman" w:eastAsia="仿宋" w:hAnsi="Times New Roman" w:hint="eastAsia"/>
                <w:color w:val="000000"/>
                <w:spacing w:val="-20"/>
                <w:sz w:val="24"/>
              </w:rPr>
              <w:t>图集</w:t>
            </w:r>
          </w:p>
        </w:tc>
        <w:tc>
          <w:tcPr>
            <w:tcW w:w="5913" w:type="dxa"/>
            <w:vAlign w:val="center"/>
          </w:tcPr>
          <w:p w14:paraId="3C51D132" w14:textId="77777777" w:rsidR="00E92A42" w:rsidRDefault="00000000">
            <w:pPr>
              <w:widowControl/>
              <w:textAlignment w:val="center"/>
              <w:rPr>
                <w:rFonts w:ascii="仿宋" w:eastAsia="仿宋" w:hAnsi="仿宋" w:cs="仿宋"/>
                <w:kern w:val="0"/>
                <w:sz w:val="24"/>
                <w:lang w:bidi="ar"/>
              </w:rPr>
            </w:pPr>
            <w:r>
              <w:rPr>
                <w:rFonts w:ascii="仿宋" w:eastAsia="仿宋" w:hAnsi="仿宋" w:cs="仿宋" w:hint="eastAsia"/>
                <w:b/>
                <w:bCs/>
                <w:kern w:val="0"/>
                <w:sz w:val="24"/>
                <w:lang w:bidi="ar"/>
              </w:rPr>
              <w:t>一、适用范围：</w:t>
            </w:r>
            <w:r>
              <w:rPr>
                <w:rFonts w:ascii="仿宋" w:eastAsia="仿宋" w:hAnsi="仿宋" w:cs="仿宋" w:hint="eastAsia"/>
                <w:kern w:val="0"/>
                <w:sz w:val="24"/>
                <w:lang w:bidi="ar"/>
              </w:rPr>
              <w:t>适用于四川省抗震设防烈度为6-8度区，跨度≤12.0m的民用建筑预制叠合</w:t>
            </w:r>
            <w:proofErr w:type="gramStart"/>
            <w:r>
              <w:rPr>
                <w:rFonts w:ascii="仿宋" w:eastAsia="仿宋" w:hAnsi="仿宋" w:cs="仿宋" w:hint="eastAsia"/>
                <w:kern w:val="0"/>
                <w:sz w:val="24"/>
                <w:lang w:bidi="ar"/>
              </w:rPr>
              <w:t>梁设计</w:t>
            </w:r>
            <w:proofErr w:type="gramEnd"/>
            <w:r>
              <w:rPr>
                <w:rFonts w:ascii="仿宋" w:eastAsia="仿宋" w:hAnsi="仿宋" w:cs="仿宋" w:hint="eastAsia"/>
                <w:kern w:val="0"/>
                <w:sz w:val="24"/>
                <w:lang w:bidi="ar"/>
              </w:rPr>
              <w:t>选用。</w:t>
            </w:r>
          </w:p>
          <w:p w14:paraId="29D34C59" w14:textId="77777777" w:rsidR="00E92A42" w:rsidRDefault="00000000">
            <w:pPr>
              <w:widowControl/>
              <w:textAlignment w:val="center"/>
              <w:rPr>
                <w:rFonts w:ascii="仿宋" w:eastAsia="仿宋" w:hAnsi="仿宋" w:cs="仿宋"/>
                <w:color w:val="FF0000"/>
                <w:kern w:val="0"/>
                <w:sz w:val="24"/>
                <w:lang w:bidi="ar"/>
              </w:rPr>
            </w:pPr>
            <w:r>
              <w:rPr>
                <w:rFonts w:ascii="仿宋" w:eastAsia="仿宋" w:hAnsi="仿宋" w:cs="仿宋" w:hint="eastAsia"/>
                <w:b/>
                <w:bCs/>
                <w:kern w:val="0"/>
                <w:sz w:val="24"/>
                <w:lang w:bidi="ar"/>
              </w:rPr>
              <w:t>二、主要技术内容：</w:t>
            </w:r>
            <w:r>
              <w:rPr>
                <w:rFonts w:ascii="仿宋" w:eastAsia="仿宋" w:hAnsi="仿宋" w:cs="仿宋" w:hint="eastAsia"/>
                <w:kern w:val="0"/>
                <w:sz w:val="24"/>
                <w:lang w:bidi="ar"/>
              </w:rPr>
              <w:t>包括200×400预制叠合</w:t>
            </w:r>
            <w:proofErr w:type="gramStart"/>
            <w:r>
              <w:rPr>
                <w:rFonts w:ascii="仿宋" w:eastAsia="仿宋" w:hAnsi="仿宋" w:cs="仿宋" w:hint="eastAsia"/>
                <w:kern w:val="0"/>
                <w:sz w:val="24"/>
                <w:lang w:bidi="ar"/>
              </w:rPr>
              <w:t>梁标准</w:t>
            </w:r>
            <w:proofErr w:type="gramEnd"/>
            <w:r>
              <w:rPr>
                <w:rFonts w:ascii="仿宋" w:eastAsia="仿宋" w:hAnsi="仿宋" w:cs="仿宋" w:hint="eastAsia"/>
                <w:kern w:val="0"/>
                <w:sz w:val="24"/>
                <w:lang w:bidi="ar"/>
              </w:rPr>
              <w:t>图。（截面高度表示预制部分，余同）；250×400、250×600预制叠合</w:t>
            </w:r>
            <w:proofErr w:type="gramStart"/>
            <w:r>
              <w:rPr>
                <w:rFonts w:ascii="仿宋" w:eastAsia="仿宋" w:hAnsi="仿宋" w:cs="仿宋" w:hint="eastAsia"/>
                <w:kern w:val="0"/>
                <w:sz w:val="24"/>
                <w:lang w:bidi="ar"/>
              </w:rPr>
              <w:t>梁标准</w:t>
            </w:r>
            <w:proofErr w:type="gramEnd"/>
            <w:r>
              <w:rPr>
                <w:rFonts w:ascii="仿宋" w:eastAsia="仿宋" w:hAnsi="仿宋" w:cs="仿宋" w:hint="eastAsia"/>
                <w:kern w:val="0"/>
                <w:sz w:val="24"/>
                <w:lang w:bidi="ar"/>
              </w:rPr>
              <w:t>图；300×400、300×600预制叠合</w:t>
            </w:r>
            <w:proofErr w:type="gramStart"/>
            <w:r>
              <w:rPr>
                <w:rFonts w:ascii="仿宋" w:eastAsia="仿宋" w:hAnsi="仿宋" w:cs="仿宋" w:hint="eastAsia"/>
                <w:kern w:val="0"/>
                <w:sz w:val="24"/>
                <w:lang w:bidi="ar"/>
              </w:rPr>
              <w:t>梁标准</w:t>
            </w:r>
            <w:proofErr w:type="gramEnd"/>
            <w:r>
              <w:rPr>
                <w:rFonts w:ascii="仿宋" w:eastAsia="仿宋" w:hAnsi="仿宋" w:cs="仿宋" w:hint="eastAsia"/>
                <w:kern w:val="0"/>
                <w:sz w:val="24"/>
                <w:lang w:bidi="ar"/>
              </w:rPr>
              <w:t>图；350×400、350×600、350×800预制叠合</w:t>
            </w:r>
            <w:proofErr w:type="gramStart"/>
            <w:r>
              <w:rPr>
                <w:rFonts w:ascii="仿宋" w:eastAsia="仿宋" w:hAnsi="仿宋" w:cs="仿宋" w:hint="eastAsia"/>
                <w:kern w:val="0"/>
                <w:sz w:val="24"/>
                <w:lang w:bidi="ar"/>
              </w:rPr>
              <w:t>梁标准</w:t>
            </w:r>
            <w:proofErr w:type="gramEnd"/>
            <w:r>
              <w:rPr>
                <w:rFonts w:ascii="仿宋" w:eastAsia="仿宋" w:hAnsi="仿宋" w:cs="仿宋" w:hint="eastAsia"/>
                <w:kern w:val="0"/>
                <w:sz w:val="24"/>
                <w:lang w:bidi="ar"/>
              </w:rPr>
              <w:t>图；400×400、400×600、400×800、400×1000预制叠合</w:t>
            </w:r>
            <w:proofErr w:type="gramStart"/>
            <w:r>
              <w:rPr>
                <w:rFonts w:ascii="仿宋" w:eastAsia="仿宋" w:hAnsi="仿宋" w:cs="仿宋" w:hint="eastAsia"/>
                <w:kern w:val="0"/>
                <w:sz w:val="24"/>
                <w:lang w:bidi="ar"/>
              </w:rPr>
              <w:t>梁标准</w:t>
            </w:r>
            <w:proofErr w:type="gramEnd"/>
            <w:r>
              <w:rPr>
                <w:rFonts w:ascii="仿宋" w:eastAsia="仿宋" w:hAnsi="仿宋" w:cs="仿宋" w:hint="eastAsia"/>
                <w:kern w:val="0"/>
                <w:sz w:val="24"/>
                <w:lang w:bidi="ar"/>
              </w:rPr>
              <w:t>图等。</w:t>
            </w:r>
          </w:p>
        </w:tc>
        <w:tc>
          <w:tcPr>
            <w:tcW w:w="2192" w:type="dxa"/>
            <w:vAlign w:val="center"/>
          </w:tcPr>
          <w:p w14:paraId="2A24BC5D"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t>中国建筑西南设计研究院有限公司等</w:t>
            </w:r>
          </w:p>
        </w:tc>
        <w:tc>
          <w:tcPr>
            <w:tcW w:w="1095" w:type="dxa"/>
            <w:vAlign w:val="center"/>
          </w:tcPr>
          <w:p w14:paraId="5E5B00F1" w14:textId="77777777" w:rsidR="00E92A42" w:rsidRDefault="00000000">
            <w:pPr>
              <w:widowControl/>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制订</w:t>
            </w:r>
          </w:p>
        </w:tc>
      </w:tr>
      <w:tr w:rsidR="00E92A42" w14:paraId="400A9DD9" w14:textId="77777777">
        <w:trPr>
          <w:trHeight w:val="524"/>
          <w:jc w:val="center"/>
        </w:trPr>
        <w:tc>
          <w:tcPr>
            <w:tcW w:w="945" w:type="dxa"/>
            <w:vAlign w:val="center"/>
          </w:tcPr>
          <w:p w14:paraId="08C57DAE" w14:textId="77777777" w:rsidR="00E92A42" w:rsidRDefault="00000000">
            <w:pPr>
              <w:widowControl/>
              <w:jc w:val="center"/>
              <w:textAlignment w:val="center"/>
              <w:rPr>
                <w:rFonts w:ascii="Times New Roman" w:eastAsia="仿宋" w:hAnsi="Times New Roman"/>
                <w:bCs/>
                <w:kern w:val="0"/>
                <w:sz w:val="24"/>
                <w:lang w:bidi="ar"/>
              </w:rPr>
            </w:pPr>
            <w:r>
              <w:rPr>
                <w:rFonts w:ascii="Times New Roman" w:eastAsia="仿宋" w:hAnsi="Times New Roman" w:hint="eastAsia"/>
                <w:bCs/>
                <w:kern w:val="0"/>
                <w:sz w:val="24"/>
                <w:lang w:bidi="ar"/>
              </w:rPr>
              <w:t>3</w:t>
            </w:r>
          </w:p>
        </w:tc>
        <w:tc>
          <w:tcPr>
            <w:tcW w:w="3925" w:type="dxa"/>
            <w:vAlign w:val="center"/>
          </w:tcPr>
          <w:p w14:paraId="1B732FC4"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t>四川省装配式外墙板板缝构造设计图集</w:t>
            </w:r>
          </w:p>
        </w:tc>
        <w:tc>
          <w:tcPr>
            <w:tcW w:w="5913" w:type="dxa"/>
            <w:vAlign w:val="center"/>
          </w:tcPr>
          <w:p w14:paraId="2CFC247B" w14:textId="77777777" w:rsidR="00E92A42" w:rsidRDefault="00000000">
            <w:pPr>
              <w:widowControl/>
              <w:textAlignment w:val="center"/>
            </w:pPr>
            <w:r>
              <w:rPr>
                <w:rFonts w:ascii="仿宋" w:eastAsia="仿宋" w:hAnsi="仿宋" w:cs="仿宋" w:hint="eastAsia"/>
                <w:b/>
                <w:bCs/>
                <w:kern w:val="0"/>
                <w:sz w:val="24"/>
                <w:lang w:bidi="ar"/>
              </w:rPr>
              <w:t>一、适用范围：</w:t>
            </w:r>
            <w:r>
              <w:rPr>
                <w:rFonts w:ascii="仿宋" w:eastAsia="仿宋" w:hAnsi="仿宋" w:cs="仿宋" w:hint="eastAsia"/>
                <w:kern w:val="0"/>
                <w:sz w:val="24"/>
                <w:lang w:bidi="ar"/>
              </w:rPr>
              <w:t>适用于四川省外墙采用装配式外墙板的工程项目，主要面向设计、审图、施工和科研教学进行指导。</w:t>
            </w:r>
          </w:p>
          <w:p w14:paraId="601057F3" w14:textId="77777777" w:rsidR="00E92A42" w:rsidRDefault="00000000">
            <w:pPr>
              <w:pStyle w:val="2"/>
              <w:ind w:leftChars="0" w:left="0" w:firstLineChars="0" w:firstLine="0"/>
            </w:pPr>
            <w:r>
              <w:rPr>
                <w:rFonts w:ascii="仿宋" w:eastAsia="仿宋" w:hAnsi="仿宋" w:cs="仿宋" w:hint="eastAsia"/>
                <w:b/>
                <w:bCs/>
                <w:kern w:val="0"/>
                <w:sz w:val="24"/>
                <w:lang w:bidi="ar"/>
              </w:rPr>
              <w:t>二、主要技术内容：</w:t>
            </w:r>
            <w:r>
              <w:rPr>
                <w:rFonts w:ascii="仿宋" w:eastAsia="仿宋" w:hAnsi="仿宋" w:cs="仿宋" w:hint="eastAsia"/>
                <w:kern w:val="0"/>
                <w:sz w:val="24"/>
                <w:lang w:bidi="ar"/>
              </w:rPr>
              <w:t>包括设计总说明；预制钢筋混凝土外墙板缝构造节点大样图收集归纳、整理创新，并对其不同应用场景进行优缺点和适用性分析；预制钢筋混凝土外墙挂板板缝构造节点大样图收集归纳、整理创新，并对其不同应用场景进行优缺点和适用性分析；轻质条板外墙板缝构造节点大样图收集归纳、整理创新，并对</w:t>
            </w:r>
            <w:r>
              <w:rPr>
                <w:rFonts w:ascii="仿宋" w:eastAsia="仿宋" w:hAnsi="仿宋" w:cs="仿宋" w:hint="eastAsia"/>
                <w:kern w:val="0"/>
                <w:sz w:val="24"/>
                <w:lang w:bidi="ar"/>
              </w:rPr>
              <w:lastRenderedPageBreak/>
              <w:t>其不同应用场景进行优缺点和适用性分析等。</w:t>
            </w:r>
          </w:p>
        </w:tc>
        <w:tc>
          <w:tcPr>
            <w:tcW w:w="2192" w:type="dxa"/>
            <w:vAlign w:val="center"/>
          </w:tcPr>
          <w:p w14:paraId="6E0AFA3D"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lastRenderedPageBreak/>
              <w:t>中国建筑西南设计研究院有限公司等</w:t>
            </w:r>
          </w:p>
        </w:tc>
        <w:tc>
          <w:tcPr>
            <w:tcW w:w="1095" w:type="dxa"/>
            <w:vAlign w:val="center"/>
          </w:tcPr>
          <w:p w14:paraId="362EE4C1" w14:textId="77777777" w:rsidR="00E92A42" w:rsidRDefault="00000000">
            <w:pPr>
              <w:widowControl/>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制订</w:t>
            </w:r>
          </w:p>
        </w:tc>
      </w:tr>
      <w:tr w:rsidR="00E92A42" w14:paraId="376D61FF" w14:textId="77777777">
        <w:trPr>
          <w:trHeight w:val="524"/>
          <w:jc w:val="center"/>
        </w:trPr>
        <w:tc>
          <w:tcPr>
            <w:tcW w:w="945" w:type="dxa"/>
            <w:vAlign w:val="center"/>
          </w:tcPr>
          <w:p w14:paraId="72567096" w14:textId="77777777" w:rsidR="00E92A42" w:rsidRDefault="00000000">
            <w:pPr>
              <w:widowControl/>
              <w:jc w:val="center"/>
              <w:textAlignment w:val="center"/>
              <w:rPr>
                <w:rFonts w:ascii="Times New Roman" w:eastAsia="仿宋" w:hAnsi="Times New Roman"/>
                <w:bCs/>
                <w:kern w:val="0"/>
                <w:sz w:val="24"/>
                <w:lang w:bidi="ar"/>
              </w:rPr>
            </w:pPr>
            <w:r>
              <w:rPr>
                <w:rFonts w:ascii="Times New Roman" w:eastAsia="仿宋" w:hAnsi="Times New Roman" w:hint="eastAsia"/>
                <w:bCs/>
                <w:kern w:val="0"/>
                <w:sz w:val="24"/>
                <w:lang w:bidi="ar"/>
              </w:rPr>
              <w:t>4</w:t>
            </w:r>
          </w:p>
        </w:tc>
        <w:tc>
          <w:tcPr>
            <w:tcW w:w="3925" w:type="dxa"/>
            <w:vAlign w:val="center"/>
          </w:tcPr>
          <w:p w14:paraId="792A13C3"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t>装配式居住建筑电气管线分离示例图集</w:t>
            </w:r>
          </w:p>
        </w:tc>
        <w:tc>
          <w:tcPr>
            <w:tcW w:w="5913" w:type="dxa"/>
            <w:vAlign w:val="center"/>
          </w:tcPr>
          <w:p w14:paraId="5E4527FC" w14:textId="2EE134F7" w:rsidR="00E92A42" w:rsidRDefault="00000000">
            <w:pPr>
              <w:widowControl/>
              <w:textAlignment w:val="center"/>
            </w:pPr>
            <w:r>
              <w:rPr>
                <w:rFonts w:ascii="仿宋" w:eastAsia="仿宋" w:hAnsi="仿宋" w:cs="仿宋" w:hint="eastAsia"/>
                <w:b/>
                <w:bCs/>
                <w:kern w:val="0"/>
                <w:sz w:val="24"/>
                <w:lang w:bidi="ar"/>
              </w:rPr>
              <w:t>一、适用范围：</w:t>
            </w:r>
            <w:r>
              <w:rPr>
                <w:rFonts w:ascii="仿宋" w:eastAsia="仿宋" w:hAnsi="仿宋" w:cs="仿宋" w:hint="eastAsia"/>
                <w:kern w:val="0"/>
                <w:sz w:val="24"/>
                <w:lang w:bidi="ar"/>
              </w:rPr>
              <w:t>适用于装配式居住建筑中电气管线分离设计。</w:t>
            </w:r>
          </w:p>
          <w:p w14:paraId="1E1BCA09" w14:textId="77777777" w:rsidR="00E92A42" w:rsidRDefault="00000000">
            <w:pPr>
              <w:widowControl/>
              <w:textAlignment w:val="center"/>
              <w:rPr>
                <w:rFonts w:ascii="仿宋" w:eastAsia="仿宋" w:hAnsi="仿宋" w:cs="仿宋"/>
                <w:color w:val="FF0000"/>
                <w:kern w:val="0"/>
                <w:sz w:val="24"/>
                <w:lang w:bidi="ar"/>
              </w:rPr>
            </w:pPr>
            <w:r>
              <w:rPr>
                <w:rFonts w:ascii="仿宋" w:eastAsia="仿宋" w:hAnsi="仿宋" w:cs="仿宋" w:hint="eastAsia"/>
                <w:b/>
                <w:bCs/>
                <w:kern w:val="0"/>
                <w:sz w:val="24"/>
                <w:lang w:bidi="ar"/>
              </w:rPr>
              <w:t>二、主要技术内容：</w:t>
            </w:r>
            <w:r>
              <w:rPr>
                <w:rFonts w:ascii="仿宋" w:eastAsia="仿宋" w:hAnsi="仿宋" w:cs="仿宋" w:hint="eastAsia"/>
                <w:kern w:val="0"/>
                <w:sz w:val="24"/>
                <w:lang w:bidi="ar"/>
              </w:rPr>
              <w:t>包括不同户型的电气管线分离做法示例、管线分离的主要构造措施、室内配电箱预制墙体、电气管线明装技术措施示例、离网式分布式光伏利用技术措施示例、全屋智能家居技术措施示例等。</w:t>
            </w:r>
          </w:p>
        </w:tc>
        <w:tc>
          <w:tcPr>
            <w:tcW w:w="2192" w:type="dxa"/>
            <w:vAlign w:val="center"/>
          </w:tcPr>
          <w:p w14:paraId="2B228CCB"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t>四川省土木建筑学会</w:t>
            </w:r>
            <w:r>
              <w:rPr>
                <w:rFonts w:ascii="Times New Roman" w:eastAsia="仿宋" w:hAnsi="Times New Roman" w:hint="eastAsia"/>
                <w:color w:val="000000"/>
                <w:spacing w:val="-20"/>
                <w:sz w:val="24"/>
              </w:rPr>
              <w:t xml:space="preserve"> </w:t>
            </w:r>
            <w:r>
              <w:rPr>
                <w:rFonts w:ascii="Times New Roman" w:eastAsia="仿宋" w:hAnsi="Times New Roman" w:hint="eastAsia"/>
                <w:color w:val="000000"/>
                <w:spacing w:val="-20"/>
                <w:sz w:val="24"/>
              </w:rPr>
              <w:t>、基准方中建筑设计股份有限公司、四川省第六建筑有限公司等</w:t>
            </w:r>
          </w:p>
        </w:tc>
        <w:tc>
          <w:tcPr>
            <w:tcW w:w="1095" w:type="dxa"/>
            <w:vAlign w:val="center"/>
          </w:tcPr>
          <w:p w14:paraId="67801332" w14:textId="77777777" w:rsidR="00E92A42" w:rsidRDefault="00000000">
            <w:pPr>
              <w:widowControl/>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制订</w:t>
            </w:r>
          </w:p>
        </w:tc>
      </w:tr>
      <w:tr w:rsidR="00E92A42" w14:paraId="6EB86FA3" w14:textId="77777777">
        <w:trPr>
          <w:trHeight w:val="524"/>
          <w:jc w:val="center"/>
        </w:trPr>
        <w:tc>
          <w:tcPr>
            <w:tcW w:w="945" w:type="dxa"/>
            <w:vAlign w:val="center"/>
          </w:tcPr>
          <w:p w14:paraId="7A553EA3" w14:textId="77777777" w:rsidR="00E92A42" w:rsidRDefault="00000000">
            <w:pPr>
              <w:widowControl/>
              <w:jc w:val="center"/>
              <w:textAlignment w:val="center"/>
              <w:rPr>
                <w:rFonts w:ascii="Times New Roman" w:eastAsia="仿宋" w:hAnsi="Times New Roman"/>
                <w:bCs/>
                <w:kern w:val="0"/>
                <w:sz w:val="24"/>
                <w:lang w:bidi="ar"/>
              </w:rPr>
            </w:pPr>
            <w:r>
              <w:rPr>
                <w:rFonts w:ascii="Times New Roman" w:eastAsia="仿宋" w:hAnsi="Times New Roman" w:hint="eastAsia"/>
                <w:bCs/>
                <w:kern w:val="0"/>
                <w:sz w:val="24"/>
                <w:lang w:bidi="ar"/>
              </w:rPr>
              <w:t>5</w:t>
            </w:r>
          </w:p>
        </w:tc>
        <w:tc>
          <w:tcPr>
            <w:tcW w:w="3925" w:type="dxa"/>
            <w:vAlign w:val="center"/>
          </w:tcPr>
          <w:p w14:paraId="3350EC9A" w14:textId="77777777" w:rsidR="00E92A42" w:rsidRDefault="00000000">
            <w:pPr>
              <w:snapToGrid w:val="0"/>
              <w:jc w:val="center"/>
              <w:rPr>
                <w:rFonts w:ascii="Times New Roman" w:eastAsia="仿宋" w:hAnsi="Times New Roman"/>
                <w:color w:val="000000"/>
                <w:spacing w:val="-20"/>
                <w:sz w:val="24"/>
              </w:rPr>
            </w:pPr>
            <w:r>
              <w:rPr>
                <w:rFonts w:ascii="Times New Roman" w:eastAsia="仿宋" w:hAnsi="Times New Roman" w:hint="eastAsia"/>
                <w:color w:val="000000"/>
                <w:spacing w:val="-20"/>
                <w:sz w:val="24"/>
              </w:rPr>
              <w:t>学校教学楼建筑用标准预制构件</w:t>
            </w:r>
          </w:p>
          <w:p w14:paraId="42918D50"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t>图集</w:t>
            </w:r>
          </w:p>
        </w:tc>
        <w:tc>
          <w:tcPr>
            <w:tcW w:w="5913" w:type="dxa"/>
            <w:vAlign w:val="center"/>
          </w:tcPr>
          <w:p w14:paraId="64E706D5" w14:textId="77777777" w:rsidR="00E92A42" w:rsidRDefault="00000000">
            <w:pPr>
              <w:widowControl/>
              <w:textAlignment w:val="center"/>
            </w:pPr>
            <w:r>
              <w:rPr>
                <w:rFonts w:ascii="仿宋" w:eastAsia="仿宋" w:hAnsi="仿宋" w:cs="仿宋" w:hint="eastAsia"/>
                <w:b/>
                <w:bCs/>
                <w:kern w:val="0"/>
                <w:sz w:val="24"/>
                <w:lang w:bidi="ar"/>
              </w:rPr>
              <w:t>一、适用范围：</w:t>
            </w:r>
            <w:r>
              <w:rPr>
                <w:rFonts w:ascii="仿宋" w:eastAsia="仿宋" w:hAnsi="仿宋" w:cs="仿宋" w:hint="eastAsia"/>
                <w:kern w:val="0"/>
                <w:sz w:val="24"/>
                <w:lang w:bidi="ar"/>
              </w:rPr>
              <w:t>适用于四川省内抗震设防烈度为7度及以下的中小学装配式教学楼建筑。</w:t>
            </w:r>
          </w:p>
          <w:p w14:paraId="0DFE123E" w14:textId="77777777" w:rsidR="00E92A42" w:rsidRDefault="00000000">
            <w:pPr>
              <w:widowControl/>
              <w:textAlignment w:val="center"/>
              <w:rPr>
                <w:rFonts w:ascii="仿宋" w:eastAsia="仿宋" w:hAnsi="仿宋" w:cs="仿宋"/>
                <w:color w:val="FF0000"/>
                <w:kern w:val="0"/>
                <w:sz w:val="24"/>
                <w:lang w:bidi="ar"/>
              </w:rPr>
            </w:pPr>
            <w:r>
              <w:rPr>
                <w:rFonts w:ascii="仿宋" w:eastAsia="仿宋" w:hAnsi="仿宋" w:cs="仿宋" w:hint="eastAsia"/>
                <w:b/>
                <w:bCs/>
                <w:kern w:val="0"/>
                <w:sz w:val="24"/>
                <w:lang w:bidi="ar"/>
              </w:rPr>
              <w:t>二、主要技术内容：</w:t>
            </w:r>
            <w:r>
              <w:rPr>
                <w:rFonts w:ascii="仿宋" w:eastAsia="仿宋" w:hAnsi="仿宋" w:cs="仿宋" w:hint="eastAsia"/>
                <w:kern w:val="0"/>
                <w:sz w:val="24"/>
                <w:lang w:bidi="ar"/>
              </w:rPr>
              <w:t>包括普通教室、专用教室、办公室、楼梯间、卫生间等标准尺寸的空间单元；标准构造。包括围护墙、隔墙、楼地面、管线分离等建筑与机电专业的通用构造，消能减震装置的连接构造；标准构件。按照钢结构和混凝土结构分别编制预制梁、预制板、预制柱等主要结构构件的标准尺寸及配筋布置；关键工序的标准施工工艺。结合标准构件的应用，编制构件支撑、构件安装、节点施工措施等标准工艺要求；标准空间单元组合示例。编制标准空间单元组合形成的建筑示例图以及结构构件布置示例图等。</w:t>
            </w:r>
          </w:p>
        </w:tc>
        <w:tc>
          <w:tcPr>
            <w:tcW w:w="2192" w:type="dxa"/>
            <w:vAlign w:val="center"/>
          </w:tcPr>
          <w:p w14:paraId="670E8779"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t>四川省土木建筑学会</w:t>
            </w:r>
            <w:r>
              <w:rPr>
                <w:rFonts w:ascii="Times New Roman" w:eastAsia="仿宋" w:hAnsi="Times New Roman" w:hint="eastAsia"/>
                <w:color w:val="000000"/>
                <w:spacing w:val="-20"/>
                <w:sz w:val="24"/>
              </w:rPr>
              <w:t xml:space="preserve"> </w:t>
            </w:r>
            <w:r>
              <w:rPr>
                <w:rFonts w:ascii="Times New Roman" w:eastAsia="仿宋" w:hAnsi="Times New Roman" w:hint="eastAsia"/>
                <w:color w:val="000000"/>
                <w:spacing w:val="-20"/>
                <w:sz w:val="24"/>
              </w:rPr>
              <w:t>、基准方中建筑设计股份有限公司</w:t>
            </w:r>
            <w:r>
              <w:rPr>
                <w:rFonts w:ascii="Times New Roman" w:eastAsia="仿宋" w:hAnsi="Times New Roman" w:hint="eastAsia"/>
                <w:color w:val="000000"/>
                <w:spacing w:val="-20"/>
                <w:sz w:val="24"/>
              </w:rPr>
              <w:t xml:space="preserve"> </w:t>
            </w:r>
            <w:r>
              <w:rPr>
                <w:rFonts w:ascii="Times New Roman" w:eastAsia="仿宋" w:hAnsi="Times New Roman" w:hint="eastAsia"/>
                <w:color w:val="000000"/>
                <w:spacing w:val="-20"/>
                <w:sz w:val="24"/>
              </w:rPr>
              <w:br/>
            </w:r>
            <w:r>
              <w:rPr>
                <w:rFonts w:ascii="Times New Roman" w:eastAsia="仿宋" w:hAnsi="Times New Roman" w:hint="eastAsia"/>
                <w:color w:val="000000"/>
                <w:spacing w:val="-20"/>
                <w:sz w:val="24"/>
              </w:rPr>
              <w:t>、</w:t>
            </w:r>
            <w:proofErr w:type="gramStart"/>
            <w:r>
              <w:rPr>
                <w:rFonts w:ascii="Times New Roman" w:eastAsia="仿宋" w:hAnsi="Times New Roman" w:hint="eastAsia"/>
                <w:color w:val="000000"/>
                <w:spacing w:val="-20"/>
                <w:sz w:val="24"/>
              </w:rPr>
              <w:t>中国五冶集团</w:t>
            </w:r>
            <w:proofErr w:type="gramEnd"/>
            <w:r>
              <w:rPr>
                <w:rFonts w:ascii="Times New Roman" w:eastAsia="仿宋" w:hAnsi="Times New Roman" w:hint="eastAsia"/>
                <w:color w:val="000000"/>
                <w:spacing w:val="-20"/>
                <w:sz w:val="24"/>
              </w:rPr>
              <w:t>有限公司等</w:t>
            </w:r>
          </w:p>
        </w:tc>
        <w:tc>
          <w:tcPr>
            <w:tcW w:w="1095" w:type="dxa"/>
            <w:vAlign w:val="center"/>
          </w:tcPr>
          <w:p w14:paraId="33701A94" w14:textId="77777777" w:rsidR="00E92A42" w:rsidRDefault="00000000">
            <w:pPr>
              <w:widowControl/>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制订</w:t>
            </w:r>
          </w:p>
        </w:tc>
      </w:tr>
      <w:tr w:rsidR="00E92A42" w14:paraId="155E63F3" w14:textId="77777777">
        <w:trPr>
          <w:trHeight w:val="524"/>
          <w:jc w:val="center"/>
        </w:trPr>
        <w:tc>
          <w:tcPr>
            <w:tcW w:w="945" w:type="dxa"/>
            <w:vAlign w:val="center"/>
          </w:tcPr>
          <w:p w14:paraId="349FB22F" w14:textId="77777777" w:rsidR="00E92A42" w:rsidRDefault="00000000">
            <w:pPr>
              <w:widowControl/>
              <w:jc w:val="center"/>
              <w:textAlignment w:val="center"/>
              <w:rPr>
                <w:rFonts w:ascii="Times New Roman" w:eastAsia="仿宋" w:hAnsi="Times New Roman"/>
                <w:bCs/>
                <w:kern w:val="0"/>
                <w:sz w:val="24"/>
                <w:lang w:bidi="ar"/>
              </w:rPr>
            </w:pPr>
            <w:r>
              <w:rPr>
                <w:rFonts w:ascii="Times New Roman" w:eastAsia="仿宋" w:hAnsi="Times New Roman" w:hint="eastAsia"/>
                <w:bCs/>
                <w:kern w:val="0"/>
                <w:sz w:val="24"/>
                <w:lang w:bidi="ar"/>
              </w:rPr>
              <w:t>6</w:t>
            </w:r>
          </w:p>
        </w:tc>
        <w:tc>
          <w:tcPr>
            <w:tcW w:w="3925" w:type="dxa"/>
            <w:vAlign w:val="center"/>
          </w:tcPr>
          <w:p w14:paraId="6D837330" w14:textId="77777777" w:rsidR="00E92A42" w:rsidRDefault="00000000">
            <w:pPr>
              <w:snapToGrid w:val="0"/>
              <w:jc w:val="center"/>
              <w:rPr>
                <w:rFonts w:ascii="Times New Roman" w:eastAsia="仿宋" w:hAnsi="Times New Roman"/>
                <w:color w:val="000000"/>
                <w:spacing w:val="-20"/>
                <w:sz w:val="24"/>
              </w:rPr>
            </w:pPr>
            <w:r>
              <w:rPr>
                <w:rFonts w:ascii="Times New Roman" w:eastAsia="仿宋" w:hAnsi="Times New Roman" w:hint="eastAsia"/>
                <w:color w:val="000000"/>
                <w:spacing w:val="-20"/>
                <w:sz w:val="24"/>
              </w:rPr>
              <w:t>学校宿舍楼建筑用标准预制构件</w:t>
            </w:r>
          </w:p>
          <w:p w14:paraId="66E6E887"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t>图集</w:t>
            </w:r>
          </w:p>
        </w:tc>
        <w:tc>
          <w:tcPr>
            <w:tcW w:w="5913" w:type="dxa"/>
            <w:vAlign w:val="center"/>
          </w:tcPr>
          <w:p w14:paraId="4373790E" w14:textId="77777777" w:rsidR="00E92A42" w:rsidRDefault="00000000">
            <w:pPr>
              <w:widowControl/>
              <w:textAlignment w:val="center"/>
            </w:pPr>
            <w:r>
              <w:rPr>
                <w:rFonts w:ascii="仿宋" w:eastAsia="仿宋" w:hAnsi="仿宋" w:cs="仿宋" w:hint="eastAsia"/>
                <w:b/>
                <w:bCs/>
                <w:kern w:val="0"/>
                <w:sz w:val="24"/>
                <w:lang w:bidi="ar"/>
              </w:rPr>
              <w:t>一、适用范围：</w:t>
            </w:r>
            <w:r>
              <w:rPr>
                <w:rFonts w:ascii="仿宋" w:eastAsia="仿宋" w:hAnsi="仿宋" w:cs="仿宋" w:hint="eastAsia"/>
                <w:kern w:val="0"/>
                <w:sz w:val="24"/>
                <w:lang w:bidi="ar"/>
              </w:rPr>
              <w:t>适用于四川省内抗震设防烈度为7度及以下的中小学装配式宿舍楼建筑。</w:t>
            </w:r>
          </w:p>
          <w:p w14:paraId="3FF7EB26" w14:textId="77777777" w:rsidR="00E92A42" w:rsidRDefault="00000000">
            <w:pPr>
              <w:widowControl/>
              <w:textAlignment w:val="center"/>
              <w:rPr>
                <w:rFonts w:ascii="仿宋" w:eastAsia="仿宋" w:hAnsi="仿宋" w:cs="仿宋"/>
                <w:color w:val="FF0000"/>
                <w:kern w:val="0"/>
                <w:sz w:val="24"/>
                <w:lang w:bidi="ar"/>
              </w:rPr>
            </w:pPr>
            <w:r>
              <w:rPr>
                <w:rFonts w:ascii="仿宋" w:eastAsia="仿宋" w:hAnsi="仿宋" w:cs="仿宋" w:hint="eastAsia"/>
                <w:b/>
                <w:bCs/>
                <w:kern w:val="0"/>
                <w:sz w:val="24"/>
                <w:lang w:bidi="ar"/>
              </w:rPr>
              <w:t>二、主要技术内容：</w:t>
            </w:r>
            <w:r>
              <w:rPr>
                <w:rFonts w:ascii="仿宋" w:eastAsia="仿宋" w:hAnsi="仿宋" w:cs="仿宋" w:hint="eastAsia"/>
                <w:kern w:val="0"/>
                <w:sz w:val="24"/>
                <w:lang w:bidi="ar"/>
              </w:rPr>
              <w:t>包括宿舍单元、楼梯间、卫生间等标准尺寸的空间单元；标准构造。包括围护墙、隔墙、楼地面、管线分离等建筑与机电专业的通用构造，消能减震装置的连接构造；标准构件。按照钢结构和混凝土结构分别编制预制梁、预制板、预制柱等主要结构构件的标准尺寸及配筋布置；关键工序的标准施工工艺。结</w:t>
            </w:r>
            <w:r>
              <w:rPr>
                <w:rFonts w:ascii="仿宋" w:eastAsia="仿宋" w:hAnsi="仿宋" w:cs="仿宋" w:hint="eastAsia"/>
                <w:kern w:val="0"/>
                <w:sz w:val="24"/>
                <w:lang w:bidi="ar"/>
              </w:rPr>
              <w:lastRenderedPageBreak/>
              <w:t>合标准构件的应用，编制构件支撑、构件安装、节点施工措施等标准工艺要求；标准空间单元组合示例。编制标准空间单元组合形成的建筑示例图以及结构构件布置示例图等。</w:t>
            </w:r>
          </w:p>
        </w:tc>
        <w:tc>
          <w:tcPr>
            <w:tcW w:w="2192" w:type="dxa"/>
            <w:vAlign w:val="center"/>
          </w:tcPr>
          <w:p w14:paraId="2504DB36"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lastRenderedPageBreak/>
              <w:t>四川省土木建筑学会</w:t>
            </w:r>
            <w:r>
              <w:rPr>
                <w:rFonts w:ascii="Times New Roman" w:eastAsia="仿宋" w:hAnsi="Times New Roman" w:hint="eastAsia"/>
                <w:color w:val="000000"/>
                <w:spacing w:val="-20"/>
                <w:sz w:val="24"/>
              </w:rPr>
              <w:t xml:space="preserve"> </w:t>
            </w:r>
            <w:r>
              <w:rPr>
                <w:rFonts w:ascii="Times New Roman" w:eastAsia="仿宋" w:hAnsi="Times New Roman" w:hint="eastAsia"/>
                <w:color w:val="000000"/>
                <w:spacing w:val="-20"/>
                <w:sz w:val="24"/>
              </w:rPr>
              <w:t>、基准方中建筑设计股份有限公司</w:t>
            </w:r>
            <w:r>
              <w:rPr>
                <w:rFonts w:ascii="Times New Roman" w:eastAsia="仿宋" w:hAnsi="Times New Roman" w:hint="eastAsia"/>
                <w:color w:val="000000"/>
                <w:spacing w:val="-20"/>
                <w:sz w:val="24"/>
              </w:rPr>
              <w:t xml:space="preserve">   </w:t>
            </w:r>
            <w:r>
              <w:rPr>
                <w:rFonts w:ascii="Times New Roman" w:eastAsia="仿宋" w:hAnsi="Times New Roman" w:hint="eastAsia"/>
                <w:color w:val="000000"/>
                <w:spacing w:val="-20"/>
                <w:sz w:val="24"/>
              </w:rPr>
              <w:br/>
            </w:r>
            <w:proofErr w:type="gramStart"/>
            <w:r>
              <w:rPr>
                <w:rFonts w:ascii="Times New Roman" w:eastAsia="仿宋" w:hAnsi="Times New Roman" w:hint="eastAsia"/>
                <w:color w:val="000000"/>
                <w:spacing w:val="-20"/>
                <w:sz w:val="24"/>
              </w:rPr>
              <w:t>中国五冶集团</w:t>
            </w:r>
            <w:proofErr w:type="gramEnd"/>
            <w:r>
              <w:rPr>
                <w:rFonts w:ascii="Times New Roman" w:eastAsia="仿宋" w:hAnsi="Times New Roman" w:hint="eastAsia"/>
                <w:color w:val="000000"/>
                <w:spacing w:val="-20"/>
                <w:sz w:val="24"/>
              </w:rPr>
              <w:t>有限公司等</w:t>
            </w:r>
          </w:p>
        </w:tc>
        <w:tc>
          <w:tcPr>
            <w:tcW w:w="1095" w:type="dxa"/>
            <w:vAlign w:val="center"/>
          </w:tcPr>
          <w:p w14:paraId="465A6841" w14:textId="77777777" w:rsidR="00E92A42" w:rsidRDefault="00000000">
            <w:pPr>
              <w:widowControl/>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制订</w:t>
            </w:r>
          </w:p>
        </w:tc>
      </w:tr>
      <w:tr w:rsidR="00E92A42" w14:paraId="1FCF554F" w14:textId="77777777">
        <w:trPr>
          <w:trHeight w:val="524"/>
          <w:jc w:val="center"/>
        </w:trPr>
        <w:tc>
          <w:tcPr>
            <w:tcW w:w="945" w:type="dxa"/>
            <w:vAlign w:val="center"/>
          </w:tcPr>
          <w:p w14:paraId="612D2F0D" w14:textId="77777777" w:rsidR="00E92A42" w:rsidRDefault="00000000">
            <w:pPr>
              <w:widowControl/>
              <w:jc w:val="center"/>
              <w:textAlignment w:val="center"/>
              <w:rPr>
                <w:rFonts w:ascii="Times New Roman" w:eastAsia="仿宋" w:hAnsi="Times New Roman"/>
                <w:bCs/>
                <w:kern w:val="0"/>
                <w:sz w:val="24"/>
                <w:lang w:bidi="ar"/>
              </w:rPr>
            </w:pPr>
            <w:r>
              <w:rPr>
                <w:rFonts w:ascii="Times New Roman" w:eastAsia="仿宋" w:hAnsi="Times New Roman" w:hint="eastAsia"/>
                <w:bCs/>
                <w:kern w:val="0"/>
                <w:sz w:val="24"/>
                <w:lang w:bidi="ar"/>
              </w:rPr>
              <w:t>7</w:t>
            </w:r>
          </w:p>
        </w:tc>
        <w:tc>
          <w:tcPr>
            <w:tcW w:w="3925" w:type="dxa"/>
            <w:vAlign w:val="center"/>
          </w:tcPr>
          <w:p w14:paraId="1D72F465"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t>四川省装配式轻质隔墙条板连接构造图集</w:t>
            </w:r>
          </w:p>
        </w:tc>
        <w:tc>
          <w:tcPr>
            <w:tcW w:w="5913" w:type="dxa"/>
            <w:vAlign w:val="center"/>
          </w:tcPr>
          <w:p w14:paraId="5E168508" w14:textId="10B9C5B2" w:rsidR="00E92A42" w:rsidRDefault="00000000">
            <w:pPr>
              <w:widowControl/>
              <w:jc w:val="left"/>
              <w:textAlignment w:val="center"/>
            </w:pPr>
            <w:r>
              <w:rPr>
                <w:rFonts w:ascii="仿宋" w:eastAsia="仿宋" w:hAnsi="仿宋" w:cs="仿宋" w:hint="eastAsia"/>
                <w:b/>
                <w:bCs/>
                <w:kern w:val="0"/>
                <w:sz w:val="24"/>
                <w:lang w:bidi="ar"/>
              </w:rPr>
              <w:t>一、适用范围：</w:t>
            </w:r>
            <w:r>
              <w:rPr>
                <w:rFonts w:ascii="仿宋" w:eastAsia="仿宋" w:hAnsi="仿宋" w:cs="仿宋" w:hint="eastAsia"/>
                <w:kern w:val="0"/>
                <w:sz w:val="24"/>
                <w:lang w:bidi="ar"/>
              </w:rPr>
              <w:t>适用于四川省抗震设防烈度为8度及8度以下地区民用建筑工程中轻质隔墙条板组成的非承重内隔墙的连接构造。</w:t>
            </w:r>
          </w:p>
          <w:p w14:paraId="20FA628B" w14:textId="77777777" w:rsidR="00E92A42" w:rsidRDefault="00000000">
            <w:pPr>
              <w:widowControl/>
              <w:jc w:val="left"/>
              <w:textAlignment w:val="center"/>
              <w:rPr>
                <w:rFonts w:ascii="仿宋" w:eastAsia="仿宋" w:hAnsi="仿宋" w:cs="仿宋"/>
                <w:b/>
                <w:bCs/>
                <w:color w:val="FF0000"/>
                <w:kern w:val="0"/>
                <w:sz w:val="24"/>
                <w:lang w:bidi="ar"/>
              </w:rPr>
            </w:pPr>
            <w:r>
              <w:rPr>
                <w:rFonts w:ascii="仿宋" w:eastAsia="仿宋" w:hAnsi="仿宋" w:cs="仿宋" w:hint="eastAsia"/>
                <w:b/>
                <w:bCs/>
                <w:kern w:val="0"/>
                <w:sz w:val="24"/>
                <w:lang w:bidi="ar"/>
              </w:rPr>
              <w:t>二、主要技术内容：</w:t>
            </w:r>
            <w:r>
              <w:rPr>
                <w:rFonts w:ascii="仿宋" w:eastAsia="仿宋" w:hAnsi="仿宋" w:cs="仿宋" w:hint="eastAsia"/>
                <w:kern w:val="0"/>
                <w:sz w:val="24"/>
                <w:lang w:bidi="ar"/>
              </w:rPr>
              <w:t>针对目前四川省内常用的轻质隔墙条板，研制各轻质隔墙条板之间水平连接构造、竖向连接构造；研究各轻质隔墙条板与主体结构的连接构造，包括混凝土结构、钢结构，包括梁、板、柱、剪力墙等结构构件；研制各轻质隔墙条板在门窗洞口处的连接构造；研制各轻质隔墙条板吊挂重物、预埋线盒、开洞等连接构造等。</w:t>
            </w:r>
          </w:p>
        </w:tc>
        <w:tc>
          <w:tcPr>
            <w:tcW w:w="2192" w:type="dxa"/>
            <w:vAlign w:val="center"/>
          </w:tcPr>
          <w:p w14:paraId="40A331C8"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t>四川省建筑设计研究院有限公司等</w:t>
            </w:r>
          </w:p>
        </w:tc>
        <w:tc>
          <w:tcPr>
            <w:tcW w:w="1095" w:type="dxa"/>
            <w:vAlign w:val="center"/>
          </w:tcPr>
          <w:p w14:paraId="4FB9A3D7" w14:textId="77777777" w:rsidR="00E92A42" w:rsidRDefault="00000000">
            <w:pPr>
              <w:widowControl/>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制订</w:t>
            </w:r>
          </w:p>
        </w:tc>
      </w:tr>
      <w:tr w:rsidR="00E92A42" w14:paraId="735CCE16" w14:textId="77777777">
        <w:trPr>
          <w:trHeight w:val="524"/>
          <w:jc w:val="center"/>
        </w:trPr>
        <w:tc>
          <w:tcPr>
            <w:tcW w:w="945" w:type="dxa"/>
            <w:vAlign w:val="center"/>
          </w:tcPr>
          <w:p w14:paraId="7008883F" w14:textId="77777777" w:rsidR="00E92A42" w:rsidRDefault="00000000">
            <w:pPr>
              <w:widowControl/>
              <w:jc w:val="center"/>
              <w:textAlignment w:val="center"/>
              <w:rPr>
                <w:rFonts w:ascii="Times New Roman" w:eastAsia="仿宋" w:hAnsi="Times New Roman"/>
                <w:bCs/>
                <w:kern w:val="0"/>
                <w:sz w:val="24"/>
                <w:lang w:bidi="ar"/>
              </w:rPr>
            </w:pPr>
            <w:r>
              <w:rPr>
                <w:rFonts w:ascii="Times New Roman" w:eastAsia="仿宋" w:hAnsi="Times New Roman" w:hint="eastAsia"/>
                <w:bCs/>
                <w:kern w:val="0"/>
                <w:sz w:val="24"/>
                <w:lang w:bidi="ar"/>
              </w:rPr>
              <w:t>8</w:t>
            </w:r>
          </w:p>
        </w:tc>
        <w:tc>
          <w:tcPr>
            <w:tcW w:w="3925" w:type="dxa"/>
            <w:vAlign w:val="center"/>
          </w:tcPr>
          <w:p w14:paraId="125FBCD8"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t>四川省</w:t>
            </w:r>
            <w:proofErr w:type="gramStart"/>
            <w:r>
              <w:rPr>
                <w:rFonts w:ascii="Times New Roman" w:eastAsia="仿宋" w:hAnsi="Times New Roman" w:hint="eastAsia"/>
                <w:color w:val="000000"/>
                <w:spacing w:val="-20"/>
                <w:sz w:val="24"/>
              </w:rPr>
              <w:t>注仓式</w:t>
            </w:r>
            <w:proofErr w:type="gramEnd"/>
            <w:r>
              <w:rPr>
                <w:rFonts w:ascii="Times New Roman" w:eastAsia="仿宋" w:hAnsi="Times New Roman" w:hint="eastAsia"/>
                <w:color w:val="000000"/>
                <w:spacing w:val="-20"/>
                <w:sz w:val="24"/>
              </w:rPr>
              <w:t>自保温装配集成墙体构造图集</w:t>
            </w:r>
          </w:p>
        </w:tc>
        <w:tc>
          <w:tcPr>
            <w:tcW w:w="5913" w:type="dxa"/>
            <w:vAlign w:val="center"/>
          </w:tcPr>
          <w:p w14:paraId="7DDC69EE" w14:textId="77777777" w:rsidR="00E92A42" w:rsidRDefault="00000000">
            <w:pPr>
              <w:widowControl/>
              <w:jc w:val="left"/>
              <w:textAlignment w:val="center"/>
            </w:pPr>
            <w:r>
              <w:rPr>
                <w:rFonts w:ascii="仿宋" w:eastAsia="仿宋" w:hAnsi="仿宋" w:cs="仿宋" w:hint="eastAsia"/>
                <w:b/>
                <w:bCs/>
                <w:kern w:val="0"/>
                <w:sz w:val="24"/>
                <w:lang w:bidi="ar"/>
              </w:rPr>
              <w:t>一、适用范围：</w:t>
            </w:r>
            <w:r>
              <w:rPr>
                <w:rFonts w:ascii="仿宋" w:eastAsia="仿宋" w:hAnsi="仿宋" w:cs="仿宋" w:hint="eastAsia"/>
                <w:kern w:val="0"/>
                <w:sz w:val="24"/>
                <w:lang w:bidi="ar"/>
              </w:rPr>
              <w:t>适用于四川省内抗震设防烈度为6度~9度设防地区，应用</w:t>
            </w:r>
            <w:proofErr w:type="gramStart"/>
            <w:r>
              <w:rPr>
                <w:rFonts w:ascii="仿宋" w:eastAsia="仿宋" w:hAnsi="仿宋" w:cs="仿宋" w:hint="eastAsia"/>
                <w:kern w:val="0"/>
                <w:sz w:val="24"/>
                <w:lang w:bidi="ar"/>
              </w:rPr>
              <w:t>注仓式</w:t>
            </w:r>
            <w:proofErr w:type="gramEnd"/>
            <w:r>
              <w:rPr>
                <w:rFonts w:ascii="仿宋" w:eastAsia="仿宋" w:hAnsi="仿宋" w:cs="仿宋" w:hint="eastAsia"/>
                <w:kern w:val="0"/>
                <w:sz w:val="24"/>
                <w:lang w:bidi="ar"/>
              </w:rPr>
              <w:t>自保温装配集成墙体作为工业与民用建筑工程的非承重墙体。</w:t>
            </w:r>
          </w:p>
          <w:p w14:paraId="0BD8C9E6" w14:textId="77777777" w:rsidR="00E92A42" w:rsidRDefault="00000000">
            <w:pPr>
              <w:widowControl/>
              <w:jc w:val="left"/>
              <w:textAlignment w:val="center"/>
              <w:rPr>
                <w:rFonts w:ascii="仿宋" w:eastAsia="仿宋" w:hAnsi="仿宋" w:cs="仿宋"/>
                <w:b/>
                <w:bCs/>
                <w:color w:val="FF0000"/>
                <w:kern w:val="0"/>
                <w:sz w:val="24"/>
                <w:lang w:bidi="ar"/>
              </w:rPr>
            </w:pPr>
            <w:r>
              <w:rPr>
                <w:rFonts w:ascii="仿宋" w:eastAsia="仿宋" w:hAnsi="仿宋" w:cs="仿宋" w:hint="eastAsia"/>
                <w:b/>
                <w:bCs/>
                <w:kern w:val="0"/>
                <w:sz w:val="24"/>
                <w:lang w:bidi="ar"/>
              </w:rPr>
              <w:t>二、主要技术内容：</w:t>
            </w:r>
            <w:r>
              <w:rPr>
                <w:rFonts w:ascii="仿宋" w:eastAsia="仿宋" w:hAnsi="仿宋" w:cs="仿宋" w:hint="eastAsia"/>
                <w:kern w:val="0"/>
                <w:sz w:val="24"/>
                <w:lang w:bidi="ar"/>
              </w:rPr>
              <w:t>包括总说明、</w:t>
            </w:r>
            <w:proofErr w:type="gramStart"/>
            <w:r>
              <w:rPr>
                <w:rFonts w:ascii="仿宋" w:eastAsia="仿宋" w:hAnsi="仿宋" w:cs="仿宋" w:hint="eastAsia"/>
                <w:kern w:val="0"/>
                <w:sz w:val="24"/>
                <w:lang w:bidi="ar"/>
              </w:rPr>
              <w:t>注仓式</w:t>
            </w:r>
            <w:proofErr w:type="gramEnd"/>
            <w:r>
              <w:rPr>
                <w:rFonts w:ascii="仿宋" w:eastAsia="仿宋" w:hAnsi="仿宋" w:cs="仿宋" w:hint="eastAsia"/>
                <w:kern w:val="0"/>
                <w:sz w:val="24"/>
                <w:lang w:bidi="ar"/>
              </w:rPr>
              <w:t>自保温装配集成墙体构造、预制构件、连接件、墙面板与楼地面连接节点、墙面板与梁、板连接节点、墙面板加强连接节点、墙面板门、窗洞口处构造、墙面板门、窗洞口处连接节点、墙体与外保温墙、完成面做平连接示意、墙面板与钢结构连接节点、预埋安装节点做法等。</w:t>
            </w:r>
          </w:p>
        </w:tc>
        <w:tc>
          <w:tcPr>
            <w:tcW w:w="2192" w:type="dxa"/>
            <w:vAlign w:val="center"/>
          </w:tcPr>
          <w:p w14:paraId="16C6288A" w14:textId="77777777" w:rsidR="00E92A42" w:rsidRDefault="00000000">
            <w:pPr>
              <w:snapToGrid w:val="0"/>
              <w:jc w:val="center"/>
              <w:rPr>
                <w:rFonts w:ascii="仿宋" w:eastAsia="仿宋" w:hAnsi="仿宋" w:cs="仿宋"/>
                <w:color w:val="000000"/>
                <w:kern w:val="0"/>
                <w:sz w:val="24"/>
                <w:lang w:bidi="ar"/>
              </w:rPr>
            </w:pPr>
            <w:r>
              <w:rPr>
                <w:rFonts w:ascii="Times New Roman" w:eastAsia="仿宋" w:hAnsi="Times New Roman" w:hint="eastAsia"/>
                <w:color w:val="000000"/>
                <w:spacing w:val="-20"/>
                <w:sz w:val="24"/>
              </w:rPr>
              <w:t>四川省建筑设计研究院有限公司</w:t>
            </w:r>
            <w:r>
              <w:rPr>
                <w:rFonts w:ascii="Times New Roman" w:eastAsia="仿宋" w:hAnsi="Times New Roman" w:hint="eastAsia"/>
                <w:color w:val="000000"/>
                <w:spacing w:val="-20"/>
                <w:sz w:val="24"/>
              </w:rPr>
              <w:t xml:space="preserve"> </w:t>
            </w:r>
            <w:r>
              <w:rPr>
                <w:rFonts w:ascii="Times New Roman" w:eastAsia="仿宋" w:hAnsi="Times New Roman" w:hint="eastAsia"/>
                <w:color w:val="000000"/>
                <w:spacing w:val="-20"/>
                <w:sz w:val="24"/>
              </w:rPr>
              <w:t>、</w:t>
            </w:r>
            <w:r>
              <w:rPr>
                <w:rFonts w:ascii="Times New Roman" w:eastAsia="仿宋" w:hAnsi="Times New Roman" w:hint="eastAsia"/>
                <w:color w:val="000000"/>
                <w:spacing w:val="-20"/>
                <w:sz w:val="24"/>
              </w:rPr>
              <w:t xml:space="preserve">         </w:t>
            </w:r>
            <w:r>
              <w:rPr>
                <w:rFonts w:ascii="Times New Roman" w:eastAsia="仿宋" w:hAnsi="Times New Roman" w:hint="eastAsia"/>
                <w:color w:val="000000"/>
                <w:spacing w:val="-20"/>
                <w:sz w:val="24"/>
              </w:rPr>
              <w:br/>
            </w:r>
            <w:r>
              <w:rPr>
                <w:rFonts w:ascii="Times New Roman" w:eastAsia="仿宋" w:hAnsi="Times New Roman" w:hint="eastAsia"/>
                <w:color w:val="000000"/>
                <w:spacing w:val="-20"/>
                <w:sz w:val="24"/>
              </w:rPr>
              <w:t>中国建筑技术集团有限公司等</w:t>
            </w:r>
          </w:p>
        </w:tc>
        <w:tc>
          <w:tcPr>
            <w:tcW w:w="1095" w:type="dxa"/>
            <w:vAlign w:val="center"/>
          </w:tcPr>
          <w:p w14:paraId="4B0E0183" w14:textId="77777777" w:rsidR="00E92A42" w:rsidRDefault="00000000">
            <w:pPr>
              <w:widowControl/>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制订</w:t>
            </w:r>
          </w:p>
        </w:tc>
      </w:tr>
    </w:tbl>
    <w:p w14:paraId="4A5B177B" w14:textId="77777777" w:rsidR="00E92A42" w:rsidRDefault="00E92A42">
      <w:pPr>
        <w:pStyle w:val="a7"/>
        <w:rPr>
          <w:rFonts w:ascii="Times New Roman" w:eastAsia="黑体" w:hAnsi="Times New Roman"/>
          <w:kern w:val="2"/>
          <w:sz w:val="32"/>
        </w:rPr>
      </w:pPr>
    </w:p>
    <w:sectPr w:rsidR="00E92A42">
      <w:footerReference w:type="default" r:id="rId7"/>
      <w:pgSz w:w="16838" w:h="11906" w:orient="landscape"/>
      <w:pgMar w:top="1587" w:right="2098" w:bottom="1474" w:left="19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6BBE7" w14:textId="77777777" w:rsidR="00AE158C" w:rsidRDefault="00AE158C">
      <w:r>
        <w:separator/>
      </w:r>
    </w:p>
  </w:endnote>
  <w:endnote w:type="continuationSeparator" w:id="0">
    <w:p w14:paraId="411897F8" w14:textId="77777777" w:rsidR="00AE158C" w:rsidRDefault="00AE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panose1 w:val="03000509000000000000"/>
    <w:charset w:val="86"/>
    <w:family w:val="script"/>
    <w:pitch w:val="default"/>
    <w:sig w:usb0="00000001" w:usb1="080E0000" w:usb2="00000000" w:usb3="00000000" w:csb0="00040000" w:csb1="00000000"/>
  </w:font>
  <w:font w:name="Cambria">
    <w:altName w:val="Noto Sans Syriac Easter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B0F8C" w14:textId="77777777" w:rsidR="00E92A42" w:rsidRDefault="00000000">
    <w:pPr>
      <w:pStyle w:val="a8"/>
    </w:pPr>
    <w:r>
      <w:rPr>
        <w:noProof/>
      </w:rPr>
      <mc:AlternateContent>
        <mc:Choice Requires="wps">
          <w:drawing>
            <wp:anchor distT="0" distB="0" distL="114300" distR="114300" simplePos="0" relativeHeight="251659264" behindDoc="0" locked="0" layoutInCell="1" allowOverlap="1" wp14:anchorId="1E94E980" wp14:editId="51CE8E2B">
              <wp:simplePos x="0" y="0"/>
              <wp:positionH relativeFrom="margin">
                <wp:align>center</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30EA13" w14:textId="77777777" w:rsidR="00E92A42" w:rsidRDefault="00000000">
                          <w:pPr>
                            <w:pStyle w:val="a8"/>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1E94E980" id="_x0000_t202" coordsize="21600,21600" o:spt="202" path="m,l,21600r21600,l21600,xe">
              <v:stroke joinstyle="miter"/>
              <v:path gradientshapeok="t" o:connecttype="rect"/>
            </v:shapetype>
            <v:shape id="文本框 1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7C30EA13" w14:textId="77777777" w:rsidR="00E92A42"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74327" w14:textId="77777777" w:rsidR="00AE158C" w:rsidRDefault="00AE158C">
      <w:r>
        <w:separator/>
      </w:r>
    </w:p>
  </w:footnote>
  <w:footnote w:type="continuationSeparator" w:id="0">
    <w:p w14:paraId="58BF771C" w14:textId="77777777" w:rsidR="00AE158C" w:rsidRDefault="00AE1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D7D6775A"/>
    <w:rsid w:val="D7D6775A"/>
    <w:rsid w:val="FFFD74B7"/>
    <w:rsid w:val="FFFF7B24"/>
    <w:rsid w:val="003A29D6"/>
    <w:rsid w:val="00AE158C"/>
    <w:rsid w:val="00E92A42"/>
    <w:rsid w:val="05EC5261"/>
    <w:rsid w:val="1BE6B5FE"/>
    <w:rsid w:val="1EFE329E"/>
    <w:rsid w:val="25FD8F7C"/>
    <w:rsid w:val="2FA7AD65"/>
    <w:rsid w:val="31BF4F80"/>
    <w:rsid w:val="3BEFABCF"/>
    <w:rsid w:val="3DEFC486"/>
    <w:rsid w:val="3E5870A0"/>
    <w:rsid w:val="3F3E1E53"/>
    <w:rsid w:val="3F9A2518"/>
    <w:rsid w:val="3FFFFEFA"/>
    <w:rsid w:val="4773BD59"/>
    <w:rsid w:val="56D79394"/>
    <w:rsid w:val="57FC080A"/>
    <w:rsid w:val="5AD79514"/>
    <w:rsid w:val="5BDFBECF"/>
    <w:rsid w:val="5BE212EB"/>
    <w:rsid w:val="5C7FA626"/>
    <w:rsid w:val="5DFD7DF3"/>
    <w:rsid w:val="5DFF188A"/>
    <w:rsid w:val="5F865B15"/>
    <w:rsid w:val="5FBD5E13"/>
    <w:rsid w:val="67781FE4"/>
    <w:rsid w:val="67EADF62"/>
    <w:rsid w:val="67EF1E6D"/>
    <w:rsid w:val="6A7CEE65"/>
    <w:rsid w:val="6BF744BC"/>
    <w:rsid w:val="6D7F412F"/>
    <w:rsid w:val="6FEB5754"/>
    <w:rsid w:val="6FF86A46"/>
    <w:rsid w:val="6FFFDB0E"/>
    <w:rsid w:val="73FE21F1"/>
    <w:rsid w:val="75FD37AE"/>
    <w:rsid w:val="77CF05A3"/>
    <w:rsid w:val="78FD5BF3"/>
    <w:rsid w:val="7B6B7D84"/>
    <w:rsid w:val="7B85E6BA"/>
    <w:rsid w:val="7B9E3A4E"/>
    <w:rsid w:val="7BFFAD69"/>
    <w:rsid w:val="7D5B8873"/>
    <w:rsid w:val="7DBE2D41"/>
    <w:rsid w:val="7DBF9B7F"/>
    <w:rsid w:val="7E778B0C"/>
    <w:rsid w:val="7EDB3A15"/>
    <w:rsid w:val="7EEFCB66"/>
    <w:rsid w:val="7EEFD741"/>
    <w:rsid w:val="7EFEAC60"/>
    <w:rsid w:val="7F3DC9D4"/>
    <w:rsid w:val="7F777A40"/>
    <w:rsid w:val="7F7B6F35"/>
    <w:rsid w:val="7FAEC785"/>
    <w:rsid w:val="7FD7C177"/>
    <w:rsid w:val="7FDF2BE7"/>
    <w:rsid w:val="7FDF7610"/>
    <w:rsid w:val="7FE74778"/>
    <w:rsid w:val="7FEF17D9"/>
    <w:rsid w:val="7FEFC224"/>
    <w:rsid w:val="7FF9BDDA"/>
    <w:rsid w:val="7FFF4ACA"/>
    <w:rsid w:val="7FFF7D7D"/>
    <w:rsid w:val="9DBDEA2F"/>
    <w:rsid w:val="AE7B7F3A"/>
    <w:rsid w:val="AE9FF496"/>
    <w:rsid w:val="AEEB1816"/>
    <w:rsid w:val="AFBD45D8"/>
    <w:rsid w:val="AFF509FD"/>
    <w:rsid w:val="B5D50289"/>
    <w:rsid w:val="BADF9F54"/>
    <w:rsid w:val="BB9F4293"/>
    <w:rsid w:val="BBF39191"/>
    <w:rsid w:val="BD669248"/>
    <w:rsid w:val="BDCF7398"/>
    <w:rsid w:val="BDDF0DFB"/>
    <w:rsid w:val="BDFF19CD"/>
    <w:rsid w:val="BEDD1B3A"/>
    <w:rsid w:val="BEE9EF21"/>
    <w:rsid w:val="BF73E778"/>
    <w:rsid w:val="BF9FAEB5"/>
    <w:rsid w:val="BFFB0668"/>
    <w:rsid w:val="C7E3ED3C"/>
    <w:rsid w:val="CCF5AA50"/>
    <w:rsid w:val="CFF9586B"/>
    <w:rsid w:val="CFFD6061"/>
    <w:rsid w:val="D73F2A62"/>
    <w:rsid w:val="D7D6775A"/>
    <w:rsid w:val="D7F96086"/>
    <w:rsid w:val="DB6D4A6A"/>
    <w:rsid w:val="DC3FC3E0"/>
    <w:rsid w:val="DCDE48E7"/>
    <w:rsid w:val="DDCF5A86"/>
    <w:rsid w:val="DF7E564B"/>
    <w:rsid w:val="DF9F8964"/>
    <w:rsid w:val="DFDBBECC"/>
    <w:rsid w:val="DFFE6537"/>
    <w:rsid w:val="E3F566E8"/>
    <w:rsid w:val="E96F1952"/>
    <w:rsid w:val="EB8FB86D"/>
    <w:rsid w:val="EB9A7A51"/>
    <w:rsid w:val="EF5EBD87"/>
    <w:rsid w:val="EFBEE7F6"/>
    <w:rsid w:val="EFCD978F"/>
    <w:rsid w:val="EFFB2D24"/>
    <w:rsid w:val="EFFF1E3C"/>
    <w:rsid w:val="F34FBB6D"/>
    <w:rsid w:val="F7754C3D"/>
    <w:rsid w:val="F79F4AB2"/>
    <w:rsid w:val="F7AF6897"/>
    <w:rsid w:val="F8FFB1BA"/>
    <w:rsid w:val="F9FF67B7"/>
    <w:rsid w:val="FABED018"/>
    <w:rsid w:val="FB73F29E"/>
    <w:rsid w:val="FBBF3E4E"/>
    <w:rsid w:val="FDF6FE53"/>
    <w:rsid w:val="FEE97491"/>
    <w:rsid w:val="FF7F02A6"/>
    <w:rsid w:val="FF7FDCC6"/>
    <w:rsid w:val="FFDA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CE34F"/>
  <w15:docId w15:val="{EE7CC99D-0F4C-4356-8DCE-DBF83CC0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oa heading" w:uiPriority="99" w:unhideWhenUsed="1" w:qFormat="1"/>
    <w:lsdException w:name="Title" w:qFormat="1"/>
    <w:lsdException w:name="Default Paragraph Font" w:semiHidden="1" w:qFormat="1"/>
    <w:lsdException w:name="Body Text" w:qFormat="1"/>
    <w:lsdException w:name="Body Text Indent" w:unhideWhenUsed="1"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32"/>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unhideWhenUsed/>
    <w:qFormat/>
    <w:pPr>
      <w:spacing w:after="120"/>
      <w:ind w:leftChars="200" w:left="420"/>
    </w:pPr>
  </w:style>
  <w:style w:type="paragraph" w:styleId="a4">
    <w:name w:val="Normal Indent"/>
    <w:basedOn w:val="a"/>
    <w:uiPriority w:val="99"/>
    <w:qFormat/>
    <w:pPr>
      <w:ind w:firstLineChars="200" w:firstLine="420"/>
    </w:pPr>
    <w:rPr>
      <w:rFonts w:eastAsia="方正仿宋简体"/>
    </w:rPr>
  </w:style>
  <w:style w:type="paragraph" w:styleId="a5">
    <w:name w:val="toa heading"/>
    <w:basedOn w:val="a"/>
    <w:next w:val="a"/>
    <w:uiPriority w:val="99"/>
    <w:unhideWhenUsed/>
    <w:qFormat/>
    <w:pPr>
      <w:spacing w:before="120"/>
    </w:pPr>
    <w:rPr>
      <w:rFonts w:ascii="Cambria" w:hAnsi="Cambria" w:cs="Cambria"/>
      <w:sz w:val="24"/>
    </w:rPr>
  </w:style>
  <w:style w:type="paragraph" w:styleId="a6">
    <w:name w:val="annotation text"/>
    <w:basedOn w:val="a"/>
    <w:qFormat/>
    <w:pPr>
      <w:jc w:val="left"/>
    </w:pPr>
  </w:style>
  <w:style w:type="paragraph" w:styleId="a7">
    <w:name w:val="Body Text"/>
    <w:basedOn w:val="a"/>
    <w:qFormat/>
    <w:pPr>
      <w:spacing w:after="120"/>
    </w:pPr>
    <w:rPr>
      <w:kern w:val="0"/>
      <w:sz w:val="20"/>
      <w:szCs w:val="32"/>
    </w:rPr>
  </w:style>
  <w:style w:type="paragraph" w:styleId="a8">
    <w:name w:val="footer"/>
    <w:qFormat/>
    <w:pPr>
      <w:widowControl w:val="0"/>
      <w:tabs>
        <w:tab w:val="center" w:pos="4153"/>
        <w:tab w:val="right" w:pos="8306"/>
      </w:tabs>
      <w:snapToGrid w:val="0"/>
    </w:pPr>
    <w:rPr>
      <w:rFonts w:ascii="Calibri" w:hAnsi="Calibri"/>
      <w:kern w:val="2"/>
      <w:sz w:val="18"/>
      <w:szCs w:val="24"/>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100" w:beforeAutospacing="1" w:after="100" w:afterAutospacing="1"/>
      <w:jc w:val="left"/>
    </w:pPr>
    <w:rPr>
      <w:kern w:val="0"/>
      <w:sz w:val="24"/>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basedOn w:val="a0"/>
    <w:qFormat/>
    <w:rPr>
      <w:color w:val="0000FF"/>
      <w:u w:val="single"/>
    </w:rPr>
  </w:style>
  <w:style w:type="character" w:customStyle="1" w:styleId="apple-converted-space">
    <w:name w:val="apple-converted-space"/>
    <w:basedOn w:val="a0"/>
    <w:qFormat/>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杨宵</dc:creator>
  <cp:lastModifiedBy>X</cp:lastModifiedBy>
  <cp:revision>2</cp:revision>
  <cp:lastPrinted>2024-07-18T23:50:00Z</cp:lastPrinted>
  <dcterms:created xsi:type="dcterms:W3CDTF">2022-11-26T07:35:00Z</dcterms:created>
  <dcterms:modified xsi:type="dcterms:W3CDTF">2024-07-22T07:56:00Z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