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pStyle w:val="8"/>
        <w:rPr>
          <w:rFonts w:hint="eastAsia" w:ascii="黑体" w:hAnsi="黑体" w:eastAsia="黑体" w:cs="黑体"/>
          <w:kern w:val="2"/>
          <w:sz w:val="10"/>
          <w:szCs w:val="10"/>
          <w:lang w:val="en-US" w:eastAsia="zh-CN" w:bidi="ar-SA"/>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sz w:val="44"/>
          <w:szCs w:val="44"/>
          <w:lang w:val="en-US" w:eastAsia="zh"/>
        </w:rPr>
      </w:pPr>
      <w:r>
        <w:rPr>
          <w:rFonts w:hint="eastAsia"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lang w:val="en-US" w:eastAsia="zh-CN"/>
        </w:rPr>
        <w:t>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年四川省工程建设地方标准制（修）订</w:t>
      </w:r>
      <w:r>
        <w:rPr>
          <w:rFonts w:hint="eastAsia" w:ascii="Times New Roman" w:hAnsi="Times New Roman" w:eastAsia="方正小标宋简体" w:cs="Times New Roman"/>
          <w:sz w:val="44"/>
          <w:szCs w:val="44"/>
          <w:lang w:val="en-US" w:eastAsia="zh-CN"/>
        </w:rPr>
        <w:t>计划拟</w:t>
      </w:r>
      <w:r>
        <w:rPr>
          <w:rFonts w:hint="default" w:ascii="Times New Roman" w:hAnsi="Times New Roman" w:eastAsia="方正小标宋简体" w:cs="Times New Roman"/>
          <w:sz w:val="44"/>
          <w:szCs w:val="44"/>
          <w:lang w:val="en-US" w:eastAsia="zh-CN"/>
        </w:rPr>
        <w:t>立项</w:t>
      </w:r>
      <w:r>
        <w:rPr>
          <w:rFonts w:hint="eastAsia" w:ascii="Times New Roman" w:hAnsi="Times New Roman" w:eastAsia="方正小标宋简体" w:cs="Times New Roman"/>
          <w:sz w:val="44"/>
          <w:szCs w:val="44"/>
          <w:lang w:val="en-US" w:eastAsia="zh-CN"/>
        </w:rPr>
        <w:t>项目</w:t>
      </w:r>
      <w:r>
        <w:rPr>
          <w:rFonts w:hint="default" w:ascii="Times New Roman" w:hAnsi="Times New Roman" w:eastAsia="方正小标宋简体" w:cs="Times New Roman"/>
          <w:sz w:val="44"/>
          <w:szCs w:val="44"/>
          <w:lang w:val="en-US" w:eastAsia="zh-CN"/>
        </w:rPr>
        <w:t>汇总表</w:t>
      </w:r>
    </w:p>
    <w:tbl>
      <w:tblPr>
        <w:tblStyle w:val="13"/>
        <w:tblW w:w="14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18"/>
        <w:gridCol w:w="7220"/>
        <w:gridCol w:w="2192"/>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45" w:type="dxa"/>
            <w:noWrap w:val="0"/>
            <w:vAlign w:val="center"/>
          </w:tcPr>
          <w:p>
            <w:pPr>
              <w:widowControl/>
              <w:jc w:val="center"/>
              <w:textAlignment w:val="center"/>
              <w:rPr>
                <w:rFonts w:hint="eastAsia" w:ascii="黑体" w:hAnsi="黑体" w:eastAsia="黑体" w:cs="黑体"/>
                <w:b/>
                <w:color w:val="auto"/>
                <w:kern w:val="0"/>
                <w:sz w:val="28"/>
                <w:szCs w:val="28"/>
                <w:lang w:val="en-US" w:eastAsia="zh-CN" w:bidi="ar"/>
              </w:rPr>
            </w:pPr>
            <w:r>
              <w:rPr>
                <w:rFonts w:hint="eastAsia" w:ascii="黑体" w:hAnsi="黑体" w:eastAsia="黑体" w:cs="黑体"/>
                <w:b/>
                <w:kern w:val="0"/>
                <w:sz w:val="28"/>
                <w:szCs w:val="28"/>
                <w:lang w:bidi="ar"/>
              </w:rPr>
              <w:t>序号</w:t>
            </w:r>
          </w:p>
        </w:tc>
        <w:tc>
          <w:tcPr>
            <w:tcW w:w="2618" w:type="dxa"/>
            <w:noWrap w:val="0"/>
            <w:vAlign w:val="center"/>
          </w:tcPr>
          <w:p>
            <w:pPr>
              <w:widowControl/>
              <w:jc w:val="center"/>
              <w:textAlignment w:val="center"/>
              <w:rPr>
                <w:rFonts w:hint="eastAsia" w:ascii="黑体" w:hAnsi="黑体" w:eastAsia="黑体" w:cs="黑体"/>
                <w:b/>
                <w:color w:val="auto"/>
                <w:kern w:val="0"/>
                <w:sz w:val="28"/>
                <w:szCs w:val="28"/>
                <w:lang w:val="en-US" w:eastAsia="zh-CN" w:bidi="ar"/>
              </w:rPr>
            </w:pPr>
            <w:r>
              <w:rPr>
                <w:rFonts w:hint="eastAsia" w:ascii="黑体" w:hAnsi="黑体" w:eastAsia="黑体" w:cs="黑体"/>
                <w:b/>
                <w:kern w:val="0"/>
                <w:sz w:val="28"/>
                <w:szCs w:val="28"/>
                <w:lang w:bidi="ar"/>
              </w:rPr>
              <w:t>标准名称</w:t>
            </w:r>
          </w:p>
        </w:tc>
        <w:tc>
          <w:tcPr>
            <w:tcW w:w="7220" w:type="dxa"/>
            <w:noWrap w:val="0"/>
            <w:vAlign w:val="center"/>
          </w:tcPr>
          <w:p>
            <w:pPr>
              <w:widowControl/>
              <w:jc w:val="center"/>
              <w:textAlignment w:val="center"/>
              <w:rPr>
                <w:rFonts w:hint="eastAsia" w:ascii="黑体" w:hAnsi="黑体" w:eastAsia="黑体" w:cs="黑体"/>
                <w:b/>
                <w:kern w:val="0"/>
                <w:sz w:val="28"/>
                <w:szCs w:val="28"/>
                <w:lang w:eastAsia="zh-CN" w:bidi="ar"/>
              </w:rPr>
            </w:pPr>
            <w:r>
              <w:rPr>
                <w:rFonts w:hint="eastAsia" w:ascii="黑体" w:hAnsi="黑体" w:eastAsia="黑体" w:cs="黑体"/>
                <w:b/>
                <w:kern w:val="0"/>
                <w:sz w:val="28"/>
                <w:szCs w:val="28"/>
                <w:lang w:eastAsia="zh-CN" w:bidi="ar"/>
              </w:rPr>
              <w:t>适用范围和主要技术内容</w:t>
            </w:r>
          </w:p>
        </w:tc>
        <w:tc>
          <w:tcPr>
            <w:tcW w:w="2192" w:type="dxa"/>
            <w:noWrap w:val="0"/>
            <w:vAlign w:val="center"/>
          </w:tcPr>
          <w:p>
            <w:pPr>
              <w:widowControl/>
              <w:jc w:val="center"/>
              <w:textAlignment w:val="center"/>
              <w:rPr>
                <w:rFonts w:hint="eastAsia" w:ascii="黑体" w:hAnsi="黑体" w:eastAsia="黑体" w:cs="黑体"/>
                <w:b/>
                <w:kern w:val="0"/>
                <w:sz w:val="28"/>
                <w:szCs w:val="28"/>
                <w:lang w:eastAsia="zh-CN" w:bidi="ar"/>
              </w:rPr>
            </w:pPr>
            <w:r>
              <w:rPr>
                <w:rFonts w:hint="eastAsia" w:ascii="黑体" w:hAnsi="黑体" w:eastAsia="黑体" w:cs="黑体"/>
                <w:b/>
                <w:kern w:val="0"/>
                <w:sz w:val="28"/>
                <w:szCs w:val="28"/>
                <w:lang w:eastAsia="zh-CN" w:bidi="ar"/>
              </w:rPr>
              <w:t>起草</w:t>
            </w:r>
            <w:r>
              <w:rPr>
                <w:rFonts w:hint="eastAsia" w:ascii="黑体" w:hAnsi="黑体" w:eastAsia="黑体" w:cs="黑体"/>
                <w:b/>
                <w:kern w:val="0"/>
                <w:sz w:val="28"/>
                <w:szCs w:val="28"/>
                <w:lang w:val="en-US" w:eastAsia="zh-CN" w:bidi="ar"/>
              </w:rPr>
              <w:t>/承担</w:t>
            </w:r>
            <w:r>
              <w:rPr>
                <w:rFonts w:hint="eastAsia" w:ascii="黑体" w:hAnsi="黑体" w:eastAsia="黑体" w:cs="黑体"/>
                <w:b/>
                <w:kern w:val="0"/>
                <w:sz w:val="28"/>
                <w:szCs w:val="28"/>
                <w:lang w:eastAsia="zh-CN" w:bidi="ar"/>
              </w:rPr>
              <w:t>单位</w:t>
            </w:r>
          </w:p>
        </w:tc>
        <w:tc>
          <w:tcPr>
            <w:tcW w:w="1095" w:type="dxa"/>
            <w:noWrap w:val="0"/>
            <w:vAlign w:val="center"/>
          </w:tcPr>
          <w:p>
            <w:pPr>
              <w:widowControl/>
              <w:jc w:val="center"/>
              <w:textAlignment w:val="center"/>
              <w:rPr>
                <w:rFonts w:hint="eastAsia" w:ascii="黑体" w:hAnsi="黑体" w:eastAsia="黑体" w:cs="黑体"/>
                <w:b/>
                <w:kern w:val="0"/>
                <w:sz w:val="28"/>
                <w:szCs w:val="28"/>
                <w:lang w:eastAsia="zh-CN" w:bidi="ar"/>
              </w:rPr>
            </w:pPr>
            <w:r>
              <w:rPr>
                <w:rFonts w:hint="eastAsia" w:ascii="黑体" w:hAnsi="黑体" w:eastAsia="黑体" w:cs="黑体"/>
                <w:b/>
                <w:kern w:val="0"/>
                <w:sz w:val="28"/>
                <w:szCs w:val="28"/>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default" w:ascii="Times New Roman" w:hAnsi="Times New Roman" w:eastAsia="仿宋" w:cs="Times New Roman"/>
                <w:bCs/>
                <w:kern w:val="0"/>
                <w:sz w:val="24"/>
                <w:szCs w:val="24"/>
                <w:lang w:bidi="ar"/>
              </w:rPr>
              <w:t>1</w:t>
            </w:r>
          </w:p>
        </w:tc>
        <w:tc>
          <w:tcPr>
            <w:tcW w:w="2618"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历史建筑结构安全性与抗震鉴定标准</w:t>
            </w:r>
          </w:p>
        </w:tc>
        <w:tc>
          <w:tcPr>
            <w:tcW w:w="7220" w:type="dxa"/>
            <w:noWrap w:val="0"/>
            <w:vAlign w:val="center"/>
          </w:tcPr>
          <w:p>
            <w:pPr>
              <w:widowControl/>
              <w:jc w:val="both"/>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auto"/>
                <w:kern w:val="0"/>
                <w:sz w:val="24"/>
                <w:szCs w:val="24"/>
                <w:lang w:val="en-US" w:eastAsia="zh-CN" w:bidi="ar"/>
              </w:rPr>
              <w:t>适用于四川省范围内历史建筑的结构安全性鉴定与抗震鉴定。</w:t>
            </w:r>
          </w:p>
          <w:p>
            <w:pPr>
              <w:widowControl/>
              <w:jc w:val="both"/>
              <w:textAlignment w:val="center"/>
              <w:rPr>
                <w:rFonts w:hint="eastAsia" w:ascii="仿宋" w:hAnsi="仿宋" w:eastAsia="仿宋" w:cs="仿宋"/>
                <w:i w:val="0"/>
                <w:caps w:val="0"/>
                <w:color w:val="333333"/>
                <w:spacing w:val="0"/>
                <w:kern w:val="0"/>
                <w:sz w:val="24"/>
                <w:szCs w:val="24"/>
                <w:shd w:val="clear" w:color="auto" w:fill="FFFFFF"/>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w:t>
            </w:r>
            <w:r>
              <w:rPr>
                <w:rFonts w:hint="eastAsia" w:ascii="仿宋" w:hAnsi="仿宋" w:eastAsia="仿宋" w:cs="仿宋"/>
                <w:color w:val="auto"/>
                <w:kern w:val="0"/>
                <w:sz w:val="24"/>
                <w:szCs w:val="24"/>
                <w:lang w:val="en-US" w:eastAsia="zh-CN" w:bidi="ar"/>
              </w:rPr>
              <w:t>总则、术语和符号、基本规定、调查与检测、 安全性鉴定、抗震鉴定、重点保护部位完损等级鉴定、鉴定报告编写要求等。</w:t>
            </w:r>
          </w:p>
        </w:tc>
        <w:tc>
          <w:tcPr>
            <w:tcW w:w="2192" w:type="dxa"/>
            <w:noWrap w:val="0"/>
            <w:vAlign w:val="center"/>
          </w:tcPr>
          <w:p>
            <w:pPr>
              <w:keepNext w:val="0"/>
              <w:keepLines w:val="0"/>
              <w:widowControl/>
              <w:suppressLineNumbers w:val="0"/>
              <w:jc w:val="both"/>
              <w:rPr>
                <w:rFonts w:hint="eastAsia" w:ascii="仿宋" w:hAnsi="仿宋" w:eastAsia="仿宋" w:cs="仿宋"/>
                <w:i w:val="0"/>
                <w:caps w:val="0"/>
                <w:color w:val="333333"/>
                <w:spacing w:val="0"/>
                <w:kern w:val="0"/>
                <w:sz w:val="24"/>
                <w:szCs w:val="24"/>
                <w:shd w:val="clear" w:color="auto" w:fill="FFFFFF"/>
                <w:lang w:val="en-US" w:eastAsia="zh-CN" w:bidi="ar"/>
              </w:rPr>
            </w:pPr>
            <w:r>
              <w:rPr>
                <w:rFonts w:hint="eastAsia" w:ascii="仿宋" w:hAnsi="仿宋" w:eastAsia="仿宋" w:cs="仿宋"/>
                <w:color w:val="000000"/>
                <w:kern w:val="0"/>
                <w:sz w:val="24"/>
                <w:szCs w:val="24"/>
                <w:lang w:val="en-US" w:eastAsia="zh-CN" w:bidi="ar"/>
              </w:rPr>
              <w:t>四川省建筑科学研究院有限公司、成都市建科院工程质量检测有限公司等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default" w:ascii="Times New Roman" w:hAnsi="Times New Roman" w:eastAsia="仿宋" w:cs="Times New Roman"/>
                <w:bCs/>
                <w:kern w:val="0"/>
                <w:sz w:val="24"/>
                <w:szCs w:val="24"/>
                <w:lang w:val="en-US" w:eastAsia="zh-CN" w:bidi="ar"/>
              </w:rPr>
              <w:t>2</w:t>
            </w:r>
          </w:p>
        </w:tc>
        <w:tc>
          <w:tcPr>
            <w:tcW w:w="2618"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四川省建筑基坑工程鉴定与加固标准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适用于四川地区各个地层与特殊地区的基坑工程鉴定、加固以及建筑行业上下游生产系统的技术进步。</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caps w:val="0"/>
                <w:color w:val="333333"/>
                <w:spacing w:val="0"/>
                <w:kern w:val="0"/>
                <w:sz w:val="24"/>
                <w:szCs w:val="24"/>
                <w:shd w:val="clear" w:color="auto" w:fill="FFFFFF"/>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根据四川省相关标准，出台基坑加固处理的条件，完善基坑加固需满足的条件，细化各种加固方法适用修复何种类型的基坑工程、明确基坑支护结构安全性评价的方法、要求及结论、面增加相关影响因素对基坑工程产生的影响及相关评价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成都市建筑科学研究院有限公司等。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default" w:ascii="Times New Roman" w:hAnsi="Times New Roman" w:eastAsia="仿宋" w:cs="Times New Roman"/>
                <w:bCs/>
                <w:kern w:val="0"/>
                <w:sz w:val="24"/>
                <w:szCs w:val="24"/>
                <w:lang w:val="en-US" w:eastAsia="zh-CN" w:bidi="ar"/>
              </w:rPr>
              <w:t>3</w:t>
            </w:r>
          </w:p>
        </w:tc>
        <w:tc>
          <w:tcPr>
            <w:tcW w:w="2618"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四川省基坑工程装配式支撑技术标准</w:t>
            </w:r>
          </w:p>
        </w:tc>
        <w:tc>
          <w:tcPr>
            <w:tcW w:w="7220" w:type="dxa"/>
            <w:noWrap w:val="0"/>
            <w:vAlign w:val="center"/>
          </w:tcPr>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适用于四川省各地区一般地质条件下临时性建筑基坑支护的装配式钢支撑设计、施工、检测和监测。</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包括总则、术语和定义、基本规定、装配式钢支撑体系、大跨度钢管支撑体系、预应力型钢支撑体系、型钢组合支撑体系、桁架式型钢支撑体系、施工、检测和验收、监测、附录等。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四川省川建勘察设计院有限公司、中冶成都勘察研究总院有限公司、上海宏信设备工程有限公司等。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45" w:type="dxa"/>
            <w:noWrap w:val="0"/>
            <w:vAlign w:val="center"/>
          </w:tcPr>
          <w:p>
            <w:pPr>
              <w:widowControl/>
              <w:jc w:val="center"/>
              <w:textAlignment w:val="center"/>
              <w:rPr>
                <w:rFonts w:hint="eastAsia"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4</w:t>
            </w:r>
          </w:p>
        </w:tc>
        <w:tc>
          <w:tcPr>
            <w:tcW w:w="2618"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建筑防烟排烟系统金属复合风管应用技术标准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适用于四川省内新建、扩建、改建于坡地地形上的民用建筑。</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包括总则、符号与术语、基本规定、分类与标记、性能要求、建筑防排烟系统金属复合风管安装、检验、验收、定期维护措施等。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四川省装配式建筑产业协会、应急管理部四川消防研究所、四川省建筑科学研究院有限公司等。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5</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四川省农村住房标准设计编制统一标准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适用于我省农村住房标准设计图集的编制。</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包括总则、术语、基本规定、结构层次、要素编写、编写细则等。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四川省建筑科学研究院有限公司、四川省村镇建设发展中心等。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color w:val="auto"/>
                <w:kern w:val="0"/>
                <w:sz w:val="24"/>
                <w:szCs w:val="24"/>
                <w:lang w:val="en-US" w:eastAsia="zh-CN" w:bidi="ar"/>
              </w:rPr>
              <w:t>6</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四川省坡地民用建筑设计防火标准</w:t>
            </w:r>
          </w:p>
        </w:tc>
        <w:tc>
          <w:tcPr>
            <w:tcW w:w="7220" w:type="dxa"/>
            <w:noWrap w:val="0"/>
            <w:vAlign w:val="center"/>
          </w:tcPr>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适用于四川省内新建、扩建、改建于坡地地形上的民用建筑。</w:t>
            </w:r>
          </w:p>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包括坡地民用建筑防火设计所涉及的坡地建筑防火设计高度及建筑类别、不同标高安全出口、耐火等级、消防车道、消防车登高操作场地、安全疏散、特殊场所楼层设置、消防设施等方面的必要规定等。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四川省建筑设计研究院有限公司、四川省建设工程消防和勘察设计技术中心等。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color w:val="auto"/>
                <w:kern w:val="0"/>
                <w:sz w:val="24"/>
                <w:szCs w:val="24"/>
                <w:lang w:val="en-US" w:eastAsia="zh-CN" w:bidi="ar"/>
              </w:rPr>
              <w:t>7</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四川省立体园林住宅设计标准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适用于四川省立体园林住宅的设计指导。</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包括总则、术语、基本规定、总平规划、建筑设计、结构安全、建筑设备、消防安全、种植技术、管理维护等。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四川省建筑设计研究院有限公司、四川空中绿院科技有限公司等。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color w:val="auto"/>
                <w:kern w:val="0"/>
                <w:sz w:val="24"/>
                <w:szCs w:val="24"/>
                <w:lang w:val="en-US" w:eastAsia="zh-CN" w:bidi="ar"/>
              </w:rPr>
              <w:t>8</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房屋建筑工程造价文件造价单元划分标准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适用于四川省新建、改建、扩建及拆除等房屋建筑工程在编制设计概算、工程量清单及招标控制价或施工图预算时造价成果文件造价单元的划分。</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将建设项目造价单元划分为单项工程、单位工程、分部工程三个结构层次并进行编码。明确了建设项目下单项工程、单位工程及分部工程的划分原则，以及每个单位工程下分部工程包含的分项内容。结合建设项目实际计价情况，确保造价单元划分的合理性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四川省建设工程造价总站等。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9</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施工脚手架安全监测技术标准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适用于在混凝土结构、砌体结构和钢结构加固改造中，采用结构加固灌浆料的工程设计、施工及质量控制、检验及验收。</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包括总则、术语与符号、基本规定、监测项目</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监测点布置、监测方法与要求、监测频率、监测报警、数据处理与信息反馈等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四川省建筑科学研究院有限公司、四川省建研全固建筑新技术工程有限公司等。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10</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四川省建设工程招标投标电子数据标准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我省行政区域内开发与应用的房屋建筑和市政基础设施工程电子招标投标文件编制软件，电子辅助评审软件，公共资源交易平台；我省行政区域内房屋建筑和市政基础设施工程项目的电子招标文件编制、招标公告发布、电子投标文件编制、电子开评标、评标报告生成、评标结果公示；省市建设行政管理部门、省市公共资源交易中心等造价数据共享使用；我省房屋建筑和市政基础设施工程招标与投标大数据积累。</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包括招标、投标电子数据文件内容定义，资格预审、资格预审申请电子数据文件内容定义，开标及评标结果电子数据内容定义等。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成都鹏业软件股份有限公司、四川省建设工程招标投标总站、四川省政府政务服务和公共资源交易服务中心等。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11</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四川省住宅工程质量多发问题防治技术标准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适用于四川省内新建、改建及扩建的建设工程及拆除工程等住宅工程质量多发问题防治。</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包括总则、术语、基本规定、地基与基础工程、 混凝土结构工程、砌体工程、屋面工程、 防水工程、装饰装修工程、建筑节能工程、给排水及采暖工程、电气工程、质量多发问题防治专项验收等。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成都市土木建筑学会、成都市建设工程质量监督站、成都建工集团有限公司等。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12</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四川省民用建筑供配电设施建设及光伏接入技术标准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适用于四川省行政区域内民用建筑供配电设施建设及分布式光伏电源接入，改建、扩建的民用建筑供配电设施建设及分布式光伏电源接入应参照本标准执行。</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包括总则、术语、基本规定、供配电系统设、设备选型、站址及通道、继电保护、自动装置及监控、计量装置等。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国网四川省电力公司、四川省建筑设计研究院有限公司等。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13</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四川省固废基道路土壤固化剂应用技术标准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w:t>
            </w:r>
            <w:r>
              <w:rPr>
                <w:rFonts w:ascii="Times New Roman" w:hAnsi="Times New Roman" w:eastAsia="仿宋"/>
                <w:sz w:val="24"/>
                <w:szCs w:val="24"/>
              </w:rPr>
              <w:t>使用</w:t>
            </w:r>
            <w:r>
              <w:rPr>
                <w:rFonts w:hint="eastAsia" w:ascii="Times New Roman" w:hAnsi="Times New Roman" w:eastAsia="仿宋"/>
                <w:sz w:val="24"/>
                <w:szCs w:val="24"/>
                <w:lang w:val="en-US" w:eastAsia="zh-CN"/>
              </w:rPr>
              <w:t>固废基土壤固化剂的</w:t>
            </w:r>
            <w:r>
              <w:rPr>
                <w:rFonts w:ascii="Times New Roman" w:hAnsi="Times New Roman" w:eastAsia="仿宋"/>
                <w:sz w:val="24"/>
                <w:szCs w:val="24"/>
              </w:rPr>
              <w:t>道路固化稳定材料的新建、扩建和改建城镇道路路面工程设计、施工及验</w:t>
            </w:r>
            <w:r>
              <w:rPr>
                <w:rFonts w:hint="eastAsia" w:ascii="Times New Roman" w:hAnsi="Times New Roman" w:eastAsia="仿宋"/>
                <w:sz w:val="24"/>
                <w:szCs w:val="24"/>
                <w:lang w:eastAsia="zh-CN"/>
              </w:rPr>
              <w:t>收</w:t>
            </w:r>
            <w:r>
              <w:rPr>
                <w:rFonts w:hint="eastAsia" w:ascii="仿宋" w:hAnsi="仿宋" w:eastAsia="仿宋" w:cs="仿宋"/>
                <w:color w:val="000000"/>
                <w:kern w:val="0"/>
                <w:sz w:val="24"/>
                <w:szCs w:val="24"/>
                <w:lang w:val="en-US" w:eastAsia="zh-CN" w:bidi="ar"/>
              </w:rPr>
              <w:t>。</w:t>
            </w:r>
          </w:p>
          <w:p>
            <w:pPr>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w:t>
            </w:r>
            <w:r>
              <w:rPr>
                <w:rFonts w:hint="eastAsia" w:ascii="Times New Roman" w:hAnsi="Times New Roman" w:eastAsia="仿宋"/>
                <w:sz w:val="24"/>
                <w:szCs w:val="24"/>
                <w:lang w:val="en-US" w:eastAsia="zh-CN"/>
              </w:rPr>
              <w:t>总则、术语、废基土壤固化剂、</w:t>
            </w:r>
            <w:r>
              <w:rPr>
                <w:rFonts w:ascii="Times New Roman" w:hAnsi="Times New Roman" w:eastAsia="仿宋"/>
                <w:sz w:val="24"/>
                <w:szCs w:val="24"/>
              </w:rPr>
              <w:t>道路固化稳定材料</w:t>
            </w:r>
            <w:r>
              <w:rPr>
                <w:rFonts w:hint="eastAsia" w:ascii="Times New Roman" w:hAnsi="Times New Roman" w:eastAsia="仿宋"/>
                <w:sz w:val="24"/>
                <w:szCs w:val="24"/>
                <w:lang w:val="en-US" w:eastAsia="zh-CN"/>
              </w:rPr>
              <w:t>配合比设计、</w:t>
            </w:r>
            <w:r>
              <w:rPr>
                <w:rFonts w:ascii="Times New Roman" w:hAnsi="Times New Roman" w:eastAsia="仿宋"/>
                <w:sz w:val="24"/>
                <w:szCs w:val="24"/>
              </w:rPr>
              <w:t>道路固化稳定材料结构层设计</w:t>
            </w:r>
            <w:r>
              <w:rPr>
                <w:rFonts w:hint="eastAsia" w:ascii="Times New Roman" w:hAnsi="Times New Roman" w:eastAsia="仿宋"/>
                <w:sz w:val="24"/>
                <w:szCs w:val="24"/>
                <w:lang w:eastAsia="zh-CN"/>
              </w:rPr>
              <w:t>、</w:t>
            </w:r>
            <w:r>
              <w:rPr>
                <w:rFonts w:ascii="Times New Roman" w:hAnsi="Times New Roman" w:eastAsia="仿宋"/>
                <w:sz w:val="24"/>
                <w:szCs w:val="24"/>
              </w:rPr>
              <w:t>道路固化稳定材料施工、质量检验与验收</w:t>
            </w:r>
            <w:r>
              <w:rPr>
                <w:rFonts w:hint="eastAsia" w:ascii="仿宋" w:hAnsi="仿宋" w:eastAsia="仿宋" w:cs="仿宋"/>
                <w:color w:val="000000"/>
                <w:kern w:val="0"/>
                <w:sz w:val="24"/>
                <w:szCs w:val="24"/>
                <w:lang w:val="en-US" w:eastAsia="zh-CN" w:bidi="ar"/>
              </w:rPr>
              <w:t>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四川省建筑科学研究院有限公司、 成都市市政开发总公司等。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14</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四川省消能减震填充墙应用技术标准</w:t>
            </w:r>
          </w:p>
        </w:tc>
        <w:tc>
          <w:tcPr>
            <w:tcW w:w="7220" w:type="dxa"/>
            <w:noWrap w:val="0"/>
            <w:vAlign w:val="center"/>
          </w:tcPr>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w:t>
            </w:r>
            <w:r>
              <w:rPr>
                <w:rFonts w:hint="eastAsia" w:ascii="Times New Roman" w:hAnsi="Times New Roman" w:eastAsia="仿宋"/>
                <w:sz w:val="24"/>
                <w:szCs w:val="24"/>
              </w:rPr>
              <w:t>四川省内，抗震烈度为6度至9度地区采用消能减震填充墙技术的建筑工程</w:t>
            </w:r>
            <w:r>
              <w:rPr>
                <w:rFonts w:hint="eastAsia" w:ascii="仿宋" w:hAnsi="仿宋" w:eastAsia="仿宋" w:cs="仿宋"/>
                <w:color w:val="000000"/>
                <w:kern w:val="0"/>
                <w:sz w:val="24"/>
                <w:szCs w:val="24"/>
                <w:lang w:val="en-US" w:eastAsia="zh-CN" w:bidi="ar"/>
              </w:rPr>
              <w:t>。</w:t>
            </w:r>
          </w:p>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包括消能减震填充墙的基本规定、材料和性能要求、设计要点以及工程施工、验收、维护等方面等。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中国建筑西南设计研究院有限公司等。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15</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四川省公园绿地低碳建设标准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w:t>
            </w:r>
            <w:r>
              <w:rPr>
                <w:rFonts w:hint="default" w:ascii="Times New Roman" w:hAnsi="Times New Roman" w:eastAsia="仿宋" w:cs="Times New Roman"/>
                <w:kern w:val="2"/>
                <w:sz w:val="24"/>
                <w:szCs w:val="24"/>
                <w:lang w:val="en-US" w:eastAsia="zh-CN" w:bidi="ar"/>
              </w:rPr>
              <w:t>四川省公园绿地中各要素的低碳建设全过程指导，探索以低碳为导向的公园绿地更新路径，积极稳妥推进碳达峰碳中和</w:t>
            </w:r>
            <w:r>
              <w:rPr>
                <w:rFonts w:hint="eastAsia" w:ascii="仿宋" w:hAnsi="仿宋" w:eastAsia="仿宋" w:cs="仿宋"/>
                <w:color w:val="000000"/>
                <w:kern w:val="0"/>
                <w:sz w:val="24"/>
                <w:szCs w:val="24"/>
                <w:lang w:val="en-US" w:eastAsia="zh-CN" w:bidi="ar"/>
              </w:rPr>
              <w:t>。</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w:t>
            </w:r>
            <w:r>
              <w:rPr>
                <w:rFonts w:hint="default" w:ascii="Times New Roman" w:hAnsi="Times New Roman" w:eastAsia="仿宋" w:cs="Times New Roman"/>
                <w:kern w:val="2"/>
                <w:sz w:val="24"/>
                <w:szCs w:val="24"/>
                <w:lang w:val="en-US" w:eastAsia="zh-CN" w:bidi="ar"/>
              </w:rPr>
              <w:t>括总则、术语、基本原则、设计阶段、施工阶段、管护阶段</w:t>
            </w:r>
            <w:r>
              <w:rPr>
                <w:rFonts w:hint="eastAsia" w:ascii="仿宋" w:hAnsi="仿宋" w:eastAsia="仿宋" w:cs="仿宋"/>
                <w:color w:val="000000"/>
                <w:kern w:val="0"/>
                <w:sz w:val="24"/>
                <w:szCs w:val="24"/>
                <w:lang w:val="en-US" w:eastAsia="zh-CN" w:bidi="ar"/>
              </w:rPr>
              <w:t>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成都市公园城市建设发展研究院、   成都市风景园林规划设计院等。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16</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四川省城市绿地生物多样性保护导则</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适用于四川省范围内城市绿地专项规划、生物多样性保护专项规划、绿地设计及建设等工作，其他地区可以参照借鉴。</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包括总则、术语、本底调查、空间格局规划、分类保护规划及导引、生物多样性重点保护策略与措施等。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成都市公园城市建设发展研究院、成都市风景园林规划设计院等。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17</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四川省保温隔声叠合楼板应用技术标准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适用于四川省抗震设防烈度为8度及8度以下地区居住建筑保温隔声叠合楼板工程，内容涵盖楼板设计、构件制作、施工及验收全过程。</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包括总则、术语及符号、材料、基本规定、叠合楼板设计、预制底板深化设计、制作、运输及堆放、叠合楼板施工与验收等。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成都市建筑设计研究院有限公司、四川大学等。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18</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四川省全装配保温隔声楼盖应用技术标准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适用于四川省抗震设防烈度8度及8度以下的全装配保温隔声楼盖的结构设计、生产运输、施工、验收及维护。</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包括总则、术语和符号、基本规定、材料、建筑设计、结构设计、构件生产和运输、安装与施工、工程验收等。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四川大学、成都市建筑设计研究院有限公司、中国五冶集团有限公司等。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19</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四川省光伏建筑一体化工程检测技术标准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新建、改建及扩建的工业与民用建筑在光伏建筑一体化工程应用中不同光伏组件的性能、配套设备设施、安全性能（电气安全性能、结构安全性能、防火安全性能、防雷安全性能）、运行发电效率检测等重要环节的检测及系统运营过程中的质量监管与评价。</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包括总则、术语、基本规定、光伏系统基础及支架工程结构、防雷、防火性检测、光伏系统性能检测、检测报告及附录等。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四川省建筑设计研究院有限公司、四川省建筑科学研究院有限公司等。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20</w:t>
            </w:r>
          </w:p>
        </w:tc>
        <w:tc>
          <w:tcPr>
            <w:tcW w:w="2618"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四川省民用建筑改造减碳量核定技术标准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既有民用建筑和建筑群，以及与建筑或建筑群相关联的用能系统的绿色改造效果与减碳量核定工作。和公共建筑绿色化改造标准等配套使用，从设计指导到效果与减碳量核定形成闭环，为今后建筑绿色低碳改造提供技术指引。</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包括总则、术语、基本规定、形式检查、绿色低碳改造技术实施与核定、碳减排量核定方法（账单分析法）</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、碳减排量核定方法（测量计算法）、碳减排量和验证技术要求——直接比较法等。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四川省建筑设计研究院有限公司等。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color w:val="auto"/>
                <w:kern w:val="0"/>
                <w:sz w:val="24"/>
                <w:szCs w:val="24"/>
                <w:lang w:val="en-US" w:eastAsia="zh-CN" w:bidi="ar"/>
              </w:rPr>
              <w:t>21</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四川省建筑节能与暖通空调设计用气象参数标准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适用于四川省民用和工业建筑，建筑节能与暖通空调工程设计，建筑能耗分析评估，建筑可再生能源利用分析。</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包括建筑热工与暖通空调设计用气象参数、典型气象年参数、未来气象年参数、可再生能源利用分析参数等。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四川大学、四川省气候中心（西南区域气候中心）、中国建筑西南设计研究院有限公司等。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color w:val="auto"/>
                <w:kern w:val="0"/>
                <w:sz w:val="24"/>
                <w:szCs w:val="24"/>
                <w:lang w:val="en-US" w:eastAsia="zh-CN" w:bidi="ar"/>
              </w:rPr>
              <w:t>22</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四川省近零能耗建筑技术标准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适用于规范和指导四川省新建、改建及扩建的近零能耗建筑工程的设计、施工及评价。</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包括总则、术语、基本规定、室内环境参数、能效指标、技术参数等。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四川省建筑科学研究院有限公司、四川省建设工程消防和勘察设计技术中心等。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color w:val="auto"/>
                <w:kern w:val="0"/>
                <w:sz w:val="24"/>
                <w:szCs w:val="24"/>
                <w:lang w:val="en-US" w:eastAsia="zh-CN" w:bidi="ar"/>
              </w:rPr>
              <w:t>23</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四川省零碳村庄规划建设标准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适用于四川省行政辖区内乡村地区的零碳村庄规划建设工作。</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包括总则、术语、基本规定、零碳村庄技术指标、零碳村庄规划、绿色能源建设、绿色农房建设、人居环境建设、运行管理等。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四川省城乡建设研究院、四川省建筑科学研究院有限公司、国网四川省电力科学研究院等。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color w:val="auto"/>
                <w:kern w:val="0"/>
                <w:sz w:val="24"/>
                <w:szCs w:val="24"/>
                <w:lang w:val="en-US" w:eastAsia="zh-CN" w:bidi="ar"/>
              </w:rPr>
              <w:t>24</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成都市轨道交通站城一体化防火设计标准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适用于成都市行政区域内新建、扩建、改建的轨道交通TOD综合开发、国铁车辆段上盖开发、以及轨道交通站城一体化建设工程的规划和设计。</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w:t>
            </w:r>
            <w:r>
              <w:rPr>
                <w:rFonts w:hint="eastAsia" w:ascii="Times New Roman" w:hAnsi="Times New Roman" w:eastAsia="仿宋" w:cs="Times New Roman"/>
                <w:sz w:val="24"/>
                <w:szCs w:val="24"/>
                <w:highlight w:val="none"/>
              </w:rPr>
              <w:t>总则、术语、基本规定、铁路轨道交通</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rPr>
              <w:t>城市轨道交通</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rPr>
              <w:t>公共交通枢纽</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rPr>
              <w:t>消防救援设施</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rPr>
              <w:t>消防给水及灭火系统</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rPr>
              <w:t>消防电气</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rPr>
              <w:t>防烟与排烟</w:t>
            </w:r>
            <w:r>
              <w:rPr>
                <w:rFonts w:hint="eastAsia" w:ascii="仿宋" w:hAnsi="仿宋" w:eastAsia="仿宋" w:cs="仿宋"/>
                <w:color w:val="000000"/>
                <w:kern w:val="0"/>
                <w:sz w:val="24"/>
                <w:szCs w:val="24"/>
                <w:lang w:val="en-US" w:eastAsia="zh-CN" w:bidi="ar"/>
              </w:rPr>
              <w:t>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四川省建筑科学研究院有限公司 、  成都市消防安全治理技术保障、            成都市规划设计研究院等。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color w:val="auto"/>
                <w:kern w:val="0"/>
                <w:sz w:val="24"/>
                <w:szCs w:val="24"/>
                <w:lang w:val="en-US" w:eastAsia="zh-CN" w:bidi="ar"/>
              </w:rPr>
              <w:t>25</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城镇燃气用户工程装配式管道系统技术规程</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适用于建筑中输送流体为GB/T 13611规定的城镇燃气、公称压力（PN）不超过0.4 MPa、在工厂预制的装配式燃气用户管道系统。</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包括总则、术语、材料、设计与制造、包装与运输、安装与施工、现场检验与验收等。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中国市政工程西南设计研究总院有限公司等。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45" w:type="dxa"/>
            <w:noWrap w:val="0"/>
            <w:vAlign w:val="center"/>
          </w:tcPr>
          <w:p>
            <w:pPr>
              <w:widowControl/>
              <w:jc w:val="center"/>
              <w:textAlignment w:val="center"/>
              <w:rPr>
                <w:rFonts w:hint="default" w:ascii="Times New Roman" w:hAnsi="Times New Roman" w:eastAsia="仿宋" w:cs="Times New Roman"/>
                <w:bCs/>
                <w:color w:val="auto"/>
                <w:kern w:val="0"/>
                <w:sz w:val="24"/>
                <w:szCs w:val="24"/>
                <w:lang w:val="en-US" w:eastAsia="zh-CN" w:bidi="ar"/>
              </w:rPr>
            </w:pPr>
            <w:r>
              <w:rPr>
                <w:rFonts w:hint="eastAsia" w:ascii="Times New Roman" w:hAnsi="Times New Roman" w:eastAsia="仿宋" w:cs="Times New Roman"/>
                <w:bCs/>
                <w:kern w:val="0"/>
                <w:sz w:val="24"/>
                <w:szCs w:val="24"/>
                <w:lang w:val="en-US" w:eastAsia="zh-CN" w:bidi="ar"/>
              </w:rPr>
              <w:t>26</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四川省城镇排水管网系统化运行与质量评价标准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适用于城镇排水管网系统化运行和管网质量评价的所有环节，包括设计、施工、运营和管理等方面。</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城镇排水管网系统化运行：规定城镇排水管网的系统化运行要求，包括运行管理机构的组织管理、运行维护人员的培训和管理、运行记录的建立和管理等方面；城镇排水管网质量评价：规定城镇排水管网的质量评价要求，包括管道材料的选用、管道施工的质量控制、排水管网的检测与评估、管道维护和更新等方面；排水水质控制：规定城镇排水管网的水质控制要求，包括排水水质监测和管理、污水处理工艺和技术的要求、污染物排放的控制等方面。应急管理：规定城镇排水管网的应急管理要求，包括应急预案的制定和实施、排水管网故障处理和应急修复等方面；管网运营管理信息化：规定城镇排水管网运营管理信息化的要求，包括管网信息管理系统的建设和应用、智能化管网运营管理等方面。</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该标准旨在规范城镇排水管网的系统化运行和管网质量评价，提高城镇排水管网的运行效率和水质保护水平，保障城镇排水系统的安全和稳定运行等。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中国市政工程西南设计研究总院有限公司等。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27</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四川省城镇供水水质管理与水质检测标准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适用于四川省行政区域内城镇公共供水单位的水质管理、水质检测与水质应急处理。</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包括海供水单位 水质管理体系、水质检测体系建立和完善，水质检测与质量控制，水质合格率指标及统计方法、计算公式，水质检测实验室管理，突发水质事故的水质应急管理等。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四川省城镇供水排水协会、绵阳市水务（集团）有限公司等。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vMerge w:val="restart"/>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28</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四川省城镇智慧供水系统技术标准第一分册 顶层设计技术标准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适用于四川省新建、改建、扩建的城市桥涵工程在可行性研究、初步设计、施工图设计阶段的模型成果交付。</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本标准的制订将根据我省城镇智慧供水系统建设的实际情况，通过对城镇智慧供水系统的设计、施工、验收及管理等全流程的梳理，结合城镇智慧供水系统的新工艺、新技术，制定符合国家法律法规和相关强制标准要求，切实可行的具有先进性的统一的技术标准。</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四川省城镇供水排水协会、中国华西工程设计建设有限公司、成都市兴蓉环境股份有限公司等。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vMerge w:val="continue"/>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四川省城镇智慧供水系统技术标准第二分册 智慧水厂系统技术标准</w:t>
            </w:r>
          </w:p>
        </w:tc>
        <w:tc>
          <w:tcPr>
            <w:tcW w:w="7220" w:type="dxa"/>
            <w:noWrap w:val="0"/>
            <w:vAlign w:val="center"/>
          </w:tcPr>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适用于四川省行政区域内城镇供水单位的智慧供水系统的建设和运行。</w:t>
            </w:r>
          </w:p>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包括总则、规范和引用文件、术语和定义、总体设计、取水、净水厂、智慧运管系统配置、信息系统配置与环境、工程验收与评价等。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四川省城镇供水排水协会、中国华西工程设计建设有限公司、成都市兴蓉环境股份有限公司等。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vMerge w:val="continue"/>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四川省城镇智慧供水系统技术标准第三分册 供水管网系统技术标准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适用于四川省行政区域内城镇供水单位的智慧供水系统的建设和运行。</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本标准的制订将根据我省城镇智慧供水系统建设的实际情况，通过对城镇智慧供水系统的设计、施工、验收及管理等全流程的梳理，结合城镇智慧供水系统的新工艺、新技术，制定符合国家法律法规和相关强制标准要求，切实可行的具有先进性的统一的技术标准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四川省城镇供水排水协会、四川川投水务集团有限公司</w:t>
            </w:r>
          </w:p>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、中国华西工程设计建设有限公司等。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29</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bidi="ar"/>
              </w:rPr>
            </w:pPr>
            <w:r>
              <w:rPr>
                <w:rFonts w:hint="eastAsia" w:ascii="仿宋" w:hAnsi="仿宋" w:eastAsia="仿宋" w:cs="仿宋"/>
                <w:i w:val="0"/>
                <w:color w:val="000000"/>
                <w:kern w:val="0"/>
                <w:sz w:val="24"/>
                <w:szCs w:val="24"/>
                <w:u w:val="none"/>
                <w:lang w:val="en-US" w:eastAsia="zh-CN" w:bidi="ar"/>
              </w:rPr>
              <w:t>四川省消防给水用超耐腐碳钢管技术规程</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新建、改建、扩建和装饰装修工程中工程尺寸不大于DN250的民用和工业建筑中采用碳钢钢管道，表层镀锌层厚度达到65um或镀锌镍厚度达到18.5um的消防给水、非生活饮用水工程和燃气工程的设计、施工、验收和维护。</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包括总则、术语、管材和管件、设计、5 施工、验收、维护管理等。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四川省建筑设计研究院有限公司等。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30</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bidi="ar"/>
              </w:rPr>
            </w:pPr>
            <w:r>
              <w:rPr>
                <w:rFonts w:hint="eastAsia" w:ascii="仿宋" w:hAnsi="仿宋" w:eastAsia="仿宋" w:cs="仿宋"/>
                <w:i w:val="0"/>
                <w:color w:val="000000"/>
                <w:kern w:val="0"/>
                <w:sz w:val="24"/>
                <w:szCs w:val="24"/>
                <w:u w:val="none"/>
                <w:lang w:val="en-US" w:eastAsia="zh-CN" w:bidi="ar"/>
              </w:rPr>
              <w:t>四川省市政工程投资估算项目划分标准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适用于四川省内新建、改建和扩建市政工程的投资估算编制。</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通过造价专业与设计专业的深度融合，编制统一通用标准的的估算项目划分标准，将投资估算项目分为一级项目、二级项目和三级项目，具体说明各级项目所包含的具体内容，重点定义项目分类，在满足《市政公用工程设计文件编制深度规定（2013年版）》的前提下形成编制体系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成都市市政工程设计研究院有限公司、四川省建设工程造价总站等。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31</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bidi="ar"/>
              </w:rPr>
            </w:pPr>
            <w:r>
              <w:rPr>
                <w:rFonts w:hint="eastAsia" w:ascii="仿宋" w:hAnsi="仿宋" w:eastAsia="仿宋" w:cs="仿宋"/>
                <w:i w:val="0"/>
                <w:color w:val="000000"/>
                <w:kern w:val="0"/>
                <w:sz w:val="24"/>
                <w:szCs w:val="24"/>
                <w:u w:val="none"/>
                <w:lang w:val="en-US" w:eastAsia="zh-CN" w:bidi="ar"/>
              </w:rPr>
              <w:t>四川省城市节水规划标准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适用于城市节水规划编制、节水技术应用、节水措施实施、节水效果评价等方面。</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包括城市水资源评估、城市节水目标制定城市节水技术应用、城市节水措施实施、城市节水效果评价等。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中国市政工程西南设计研究总院有限公司、四川发展科学技术研究院有限公司等。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32</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bidi="ar"/>
              </w:rPr>
            </w:pPr>
            <w:r>
              <w:rPr>
                <w:rFonts w:hint="eastAsia" w:ascii="仿宋" w:hAnsi="仿宋" w:eastAsia="仿宋" w:cs="仿宋"/>
                <w:i w:val="0"/>
                <w:color w:val="000000"/>
                <w:kern w:val="0"/>
                <w:sz w:val="24"/>
                <w:szCs w:val="24"/>
                <w:u w:val="none"/>
                <w:lang w:val="en-US" w:eastAsia="zh-CN" w:bidi="ar"/>
              </w:rPr>
              <w:t>四川省城市综合管廊智能监控系统工程技术标准</w:t>
            </w:r>
          </w:p>
        </w:tc>
        <w:tc>
          <w:tcPr>
            <w:tcW w:w="7220" w:type="dxa"/>
            <w:noWrap w:val="0"/>
            <w:vAlign w:val="center"/>
          </w:tcPr>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适用于四川省行政区域内新建、改建、扩建综合管廊智能监控系统的设计、施工及维护。</w:t>
            </w:r>
          </w:p>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对综合管廊智能监控系统建设内容、技术要求、数据接口及数据格式进行规范，对数据的属性进行统一定义和描述，确保数据在各条管廊、监控中心之间有效流转，对建设内容及技术要求进行统一规范，保障全省管廊运行监控水平，提升不同市（州）管廊行业工作的有效交流，全省管廊建设和管理相关数据的共享，为全省综合管廊的安全运行、规范化运营奠定可靠数据基础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成都市城市地下综合管廊监管服务中心、成都市市政工程设计研究院有限公司等。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33</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bidi="ar"/>
              </w:rPr>
            </w:pPr>
            <w:r>
              <w:rPr>
                <w:rFonts w:hint="eastAsia" w:ascii="仿宋" w:hAnsi="仿宋" w:eastAsia="仿宋" w:cs="仿宋"/>
                <w:i w:val="0"/>
                <w:color w:val="000000"/>
                <w:kern w:val="0"/>
                <w:sz w:val="24"/>
                <w:szCs w:val="24"/>
                <w:u w:val="none"/>
                <w:lang w:val="en-US" w:eastAsia="zh-CN" w:bidi="ar"/>
              </w:rPr>
              <w:t>四川省排水管道非开挖修复技术规程</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适用于四川省污水管道、雨水管道和雨污合流管道非开挖修复工程的检测、设计、施工及验收规程。</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包括排水管道非开挖修复的基本规定、病害分类与检测、修复材料、修复工艺及方案技术路线选择、内衬管设计、施工及验收等技术要求等。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成都市市政工程设计研究院有限公司、中国市政工程西南设计研究总院有限公司、四川省城乡建设研究院等。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34</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四川省物业服务质量评价标准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适用于四川省行政区域内物业服务质量评价活动。</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包括术语、基本要求、评价原则与依据和方法、评价内容、评价程序等。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成都三泰联合物业管理师事务所、四川省房地产业协会等。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35</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bidi="ar"/>
              </w:rPr>
            </w:pPr>
            <w:r>
              <w:rPr>
                <w:rFonts w:hint="eastAsia" w:ascii="仿宋" w:hAnsi="仿宋" w:eastAsia="仿宋" w:cs="仿宋"/>
                <w:i w:val="0"/>
                <w:color w:val="000000"/>
                <w:kern w:val="0"/>
                <w:sz w:val="24"/>
                <w:szCs w:val="24"/>
                <w:u w:val="none"/>
                <w:lang w:val="en-US" w:eastAsia="zh-CN" w:bidi="ar"/>
              </w:rPr>
              <w:t>四川省城市生活垃圾分类设施设备配置与维护标准</w:t>
            </w:r>
          </w:p>
        </w:tc>
        <w:tc>
          <w:tcPr>
            <w:tcW w:w="7220" w:type="dxa"/>
            <w:noWrap w:val="0"/>
            <w:vAlign w:val="center"/>
          </w:tcPr>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适用于四川省行政区域范围内城市生活垃圾的分类投放、分类收运设施和设备的配置、分类设施的软硬件维护要求。</w:t>
            </w:r>
          </w:p>
          <w:p>
            <w:pPr>
              <w:widowControl/>
              <w:numPr>
                <w:ilvl w:val="0"/>
                <w:numId w:val="0"/>
              </w:numPr>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结合四川省实际情况，调研总结住宅区、机关企事业单位、公共场所等生活垃圾分类设施布设及使用现状，提出住宅区、机关企事业单位、公共场所等垃圾分类收集容器、站点等配置要求；结合四川省实际情况，调研总结各城市生活垃圾产生量及收运方式，因地制宜确定居民生活垃圾分类收集站、有害垃圾收集点、可回收物分拣中心、餐厨垃圾收集点、大件垃圾收集站等的设置要求；结合四川省实际情况，调研总结各城市生活垃圾分类运输情况，对分类运输车辆的密闭、装载量、数量等提出配置要求；结合四川省实际情况，调研总结生活垃圾分类垃圾桶、智能设施、信息管理平台等的维护现状，提出分类设施的维护要求；结合国家标准《生活垃圾分类标志》相关规定，对分类收集容器标志、颜色及尺寸等提出设置要求，并对分类运输车辆标志提出设置要求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四川省城乡建设研究院、成都理工大学、中国市政工程西南设计研究总院有限公司等。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36</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bidi="ar"/>
              </w:rPr>
            </w:pPr>
            <w:r>
              <w:rPr>
                <w:rFonts w:hint="eastAsia" w:ascii="仿宋" w:hAnsi="仿宋" w:eastAsia="仿宋" w:cs="仿宋"/>
                <w:i w:val="0"/>
                <w:color w:val="000000"/>
                <w:kern w:val="0"/>
                <w:sz w:val="24"/>
                <w:szCs w:val="24"/>
                <w:u w:val="none"/>
                <w:lang w:val="en-US" w:eastAsia="zh-CN" w:bidi="ar"/>
              </w:rPr>
              <w:t>四川省村镇生活垃圾分类收集与处理处置技术规程</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适用于四川省村镇生活垃圾分类处置的设计、建设和运行管理。</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结合四川省村镇生活垃圾分类收集与处置技术现状，对于四川省城市生活垃圾分类处置的技术组合、工艺选择提出技术指导；对四川省村镇生活垃圾基于分类的模式、分类设施建设、操作要求、等技术提出建设及应用要求；对四川省村镇生活垃圾分类填埋、焚烧、堆肥、回收利用等处置技术提出建设及应用要求；对四川省村镇生活垃圾分类处置的运行管理提出规范和要求，包括垃圾检测、运输、贮存、处理设施维护等日常管理，生活垃圾处理处置过程涉及的恶臭、噪声、烟气、废水等污染控制的环境管理，以及生活垃圾处置的应急管理、安全管理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中国市政工程西南设计研究总院有限公司、四川省城乡建设研究院、成都理工大学等。</w:t>
            </w:r>
          </w:p>
        </w:tc>
        <w:tc>
          <w:tcPr>
            <w:tcW w:w="1095"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37</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城镇污水处理厂污泥干化焚烧处理工程项目建设标准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适用于城镇污水处理厂污泥干化焚烧处理工程及无干化处理设施的污泥焚烧工程。</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包括术语、建设规模与项目构成、选址与总图布置、工艺与装备、配套工程、环境保护与劳动保护、建设标准与建设用地、运营管理与劳动定员、主要技术经济指标等。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中国市政工程西南设计研究总院有限公司等。</w:t>
            </w:r>
          </w:p>
        </w:tc>
        <w:tc>
          <w:tcPr>
            <w:tcW w:w="1095" w:type="dxa"/>
            <w:noWrap w:val="0"/>
            <w:vAlign w:val="center"/>
          </w:tcPr>
          <w:p>
            <w:pPr>
              <w:widowControl/>
              <w:spacing w:line="240" w:lineRule="auto"/>
              <w:jc w:val="center"/>
              <w:textAlignment w:val="center"/>
              <w:rPr>
                <w:rFonts w:hint="eastAsia" w:ascii="仿宋" w:hAnsi="仿宋" w:eastAsia="仿宋" w:cs="仿宋"/>
                <w:i w:val="0"/>
                <w:caps w:val="0"/>
                <w:color w:val="333333"/>
                <w:spacing w:val="0"/>
                <w:kern w:val="0"/>
                <w:sz w:val="24"/>
                <w:szCs w:val="24"/>
                <w:shd w:val="clear" w:color="auto" w:fill="FFFFFF"/>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38</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四川省高寒高海拔地区生活污水强化型厌氧处理技术规程</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适用于高寒地区生活污水处理设施工程的建设、运行、维护及管理。适用于高寒地区城镇、建制镇、行政乡（村、自然村以及集中居住点）新建、扩建和改建的生活污水处理工程。</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包括本项目为地埋式园艺化高效污水处理系统（WGIG技术），主体工艺为折流式多级厌氧消化池和综合生化池（兼氧生化池），其特点以厌氧生化为主，辅以综合生物处理等。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四川建筑职业技术学院、四川宣澜生物环保科技有限公司等。</w:t>
            </w:r>
          </w:p>
        </w:tc>
        <w:tc>
          <w:tcPr>
            <w:tcW w:w="1095" w:type="dxa"/>
            <w:noWrap w:val="0"/>
            <w:vAlign w:val="center"/>
          </w:tcPr>
          <w:p>
            <w:pPr>
              <w:widowControl/>
              <w:spacing w:line="240" w:lineRule="auto"/>
              <w:jc w:val="center"/>
              <w:textAlignment w:val="center"/>
              <w:rPr>
                <w:rFonts w:hint="eastAsia" w:ascii="仿宋" w:hAnsi="仿宋" w:eastAsia="仿宋" w:cs="仿宋"/>
                <w:i w:val="0"/>
                <w:caps w:val="0"/>
                <w:color w:val="333333"/>
                <w:spacing w:val="0"/>
                <w:kern w:val="0"/>
                <w:sz w:val="24"/>
                <w:szCs w:val="24"/>
                <w:shd w:val="clear" w:color="auto" w:fill="FFFFFF"/>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39</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四川省模块化钢结构房屋技术标准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适用于四川省内新建、改建及扩建的模块化钢结构房屋建筑施工。</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 术语、基本规定、施工、质量验收等。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成都市土木建筑学会、成都建工第二建筑工程有限公司等。</w:t>
            </w:r>
          </w:p>
        </w:tc>
        <w:tc>
          <w:tcPr>
            <w:tcW w:w="1095" w:type="dxa"/>
            <w:noWrap w:val="0"/>
            <w:vAlign w:val="center"/>
          </w:tcPr>
          <w:p>
            <w:pPr>
              <w:widowControl/>
              <w:jc w:val="center"/>
              <w:textAlignment w:val="center"/>
              <w:rPr>
                <w:rFonts w:hint="eastAsia" w:ascii="仿宋" w:hAnsi="仿宋" w:eastAsia="仿宋" w:cs="仿宋"/>
                <w:i w:val="0"/>
                <w:caps w:val="0"/>
                <w:color w:val="333333"/>
                <w:spacing w:val="0"/>
                <w:kern w:val="0"/>
                <w:sz w:val="24"/>
                <w:szCs w:val="24"/>
                <w:shd w:val="clear" w:color="auto" w:fill="FFFFFF"/>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40</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多层装配式混凝土模块建筑技术标准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适用于抗震设防烈度为8度及8度以下的不超过5层的螺栓连接混凝土模块建筑的设计、生产、施工与验收。</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包括规程涉及模块建筑的模块组合、平立面设计、结构模块的构造和配筋要求、模块结构计算模型、模块结构的设计方法、 连接节点设计、围护结构和装修系统设计、模块生产、运输、施工和验收等。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四川大学、中国五冶集团有限公司等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41</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超高性能混凝土预制构件应用技术标准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主要针对非主受力构件，结合超高性能混凝土（UHPC）材料的优异性能，制作的预制构件具有大幅节省材料用量、构件轻薄、便于运输安装、耐久性好、绿色低碳、节能环保等优点，适用于轨道交通工程（站台板、轨顶风道、楼梯、夹层板、内隔墙、疏散平台、支架、封堵板、声屏障等）、市政工程（综合管廊隔仓板、市政便道、城市家具等）、建筑工程（雨棚、屋盖、外立面装饰板等）等领域。</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包括超高性能混凝土材料性能指标、构件设计、构件制作及运输、构件安装、质量检验及验收要求等。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中铁二院工程集团有限责任公司等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42</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四川省绿道智慧运营维护标准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适用于四川省行政区域内城市绿道智慧化设施设备等软硬件系统的智慧化运行维护的要求。</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包括基本规定，绿道智慧化运维工作的类别、运维设施设备等软硬件系统类型、运维技术指南、运维管理制度等。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成都智慧城市信息技术有限公司、成都天府绿道建设投资集团有限公司等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43</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建设工程数字化施工任务管理建设标准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适用于四川省内房屋建筑、市政工程。</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包括质量、技术、安全、进度、成本等进行施工管理数字化建设与管理等。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一智科技(成都)有限公司、中基数智(成都)科技有限公司、四川省建筑业协会等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44</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四川省智慧公园技术标准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适用于四川省内城市各类新建、扩建、改建智慧公园项目的设计、建设、管理、运维。</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包括总则、术语、基本规定、智慧公园体系架构、智慧公园数据资源、智慧公园基础设施、应用支撑平台、智慧生态系统、智慧管理系统、智慧服务系统、智慧协同系统等。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中国建筑西南设计研究院有限公司、成都天府绿道建设投资集团有限公司、成都智慧城市信息技术有限公司等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45</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四川省医院智慧物流传输系统设计与施工标准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适用于医院新建、改建、扩建工程中的医院智慧物流传输系统的设计、施工和调试验收，其他医疗机构可参照执行。本文件不适用医疗废物的传输及回收。</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包括包括总则、术语和符号、基本规定、智慧物流传输系统选型与设计、智慧物流传输系统施工、系统调试与验收、附录等。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中建三局集团西南有限公司、艾信智慧医疗科技发展（苏州）有限公司等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46</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四川省智能建造评价标准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适用于房屋建筑工程在设计、生产、施工及运维阶段的智能建造应用评价。</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包括总则、术语、基本规定、设计阶段评价、生产阶段评价、施工阶段评价、智能化协同、运维阶段评价等。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成都建工集团有限公司、四川省建筑科学研究院有限公司、成都设计咨询集团有限公司等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47</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川渝住房公积金服务事项标准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适用于四川24个住房公积金管理中心（分中心）和重庆市公积金管理中心。</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为贯彻落实习近平总书记关于推动成渝地区双城经济圈建设的重要指示批示精神，牢固树立一体化发展理念，有效推动川渝住房公积金一体化服务标准体系建设，在川渝间为缴存人缴存单位提供标准化服务，提升住房公积金服务质效，促进两省市房地产市场和两地经济社会发展，发挥住房公积金制度作用。</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成都住房公积金管理中心、重庆市住房公积金管理中心 、 四川省住房和城乡建设厅住房公积金监管处等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48</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建筑施工特种作业模拟仿真实操系统技术标准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规范建筑施工特种作业模拟仿真实操系统的软硬件规格，包含六类工种：起重机械司机（塔式起重机）、起重机械司机（施工升降机）、起重机械司机（物料提升机）、起重机械安装拆卸工（塔式起重机）、起重机械安装拆卸工（施工升降机）、起重机械安装拆卸工（物料提升机）的不超过5层的螺栓连接混凝土模块建筑的设计、生产、施工与验收。</w:t>
            </w:r>
          </w:p>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包括第一部分：起重机械司机（塔式起重机）、第二部分：起重机械司机（施工升降机）、第三部分：起重机械司机（物料提升机）、第四部分：起重机械安装拆卸工（塔式起重机）、</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第五部分：起重机械安装拆卸工（施工升降机）、第六部分：起重机械安装拆卸工（物料提升机）等。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四川省建筑科学研究院有限公司、四川省建设科技发展与信息中心、中慧智安（成都）科技有限公司等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49</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四川省建设工程项目全过程工程咨询服务管理标准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适用于新建、扩建、改建的房屋建筑及市政基础设施项目的全过程工程咨询服务活动。其他领域的全过程工程咨询服务管理可参考执行。</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组织模式、项目管理、数字化管理、专业咨询（投资决策咨询、招标代理咨询、工程勘察咨询、工程设计咨询、工程造价咨询、工程监理咨询、运营维护咨询）、专项咨询（BIM技术应用咨询、装配式建筑咨询、碳排放、低碳及碳中和咨询、绿色建筑咨询、城市更新咨询、海绵城市建设咨询、消防技术咨询）以及条文说明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四川省建设工程项目管理协会、中建西南咨询顾问有限公司、四川省建设科技发展与信息中心等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50</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四川省城市信息模型平台实施导则</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适用于四川省城市信息模型(CIM) 平台建设实施、相关标准制定、技术文件的编制、CIM发展与应用。本标准规定了四川省城市信息模型(CIM)平台的建设要求、实施方案与实施保障。</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包括总则(编制目的、使用范围、政策依据、编制标准); 术语与缩略语(定义导则中涉及的重要概念、专业名词及缩略语等); 建设要求(明确建设目标、建设原则、总体架构以及CIM平台、数字住建、行业数据库-住建基础数据库和住建主题数据库三者关系及边界); 建设任务(明确标准规范建设、数据体系建设、平台建设及基础环境建设的范围及内容)实施方案(明确省市县三级如何建设、实施、协同、共享及关键技术);实施保障(明确平台建设的部门职责分工、质量管理、组织与安全保障);以及附表和条文说明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四川省建设科技发展与信息中心、中国建筑标准设计研究院有限公司、四川大学等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51</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四川省城市信息模型平台智慧应用建设指南</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适用于指导四川省各地市集合CIM基础平台能力开展专题应用建设。</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明确指南的适用范围、政策依据和引用的相关标准规范）；术语（定义指南中涉及的重要概念）建设任务（明确CIM+智慧应用的建设框架）；CIM+应用支撑平台（明确数字资源池的管理、应用支撑的服务、融合门户的建设和运营运维体系）；CIM+典型应用（包括数字住房、数字工程、数字城市、数字乡村等CIM+专题应用和轻量化应用，将从场景、对象、应用功能描述、关联模型、应用推广模式等进行详细描述）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四川省建设科技发展与信息中心、电子科技大学等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52</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四川省城市信息模型基础平台建设规范</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适用于指导四川省省级、市（州）级城市信息模型（CIM）基础平台的建设、运维和应用。</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规范制定的目的和适用范围）；术语与缩略语（定义规范中涉及的重要概念、专业名词及缩略语等）；基本规定（明确四川省省、市（州）级平台建设一般要求、四川省省、市（州）级平台间衔接关系、国产自主化相关要求）；平台架构与功能（明确四川省省和市（州）级平台架构与功能）；平台数据（明确数据建库、数据更新等通用要求、明确四川省省和市（州）级平台数据库内容）；平台运维与安全保障（明确平台软硬件环境、网络环境及其他相关环境要求、明确运维管理、安全保障、自主国产化要求等）和附录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四川省建设科技发展与信息中心、住房和城乡建设部信息中心、清华大学等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53</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四川省市政工程建筑信息模型建模与交付标准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适用于四川省市政工程全生命期内的信息模型建立和交付管理。</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包括总则、术语、基本规定、建模要求、交付物等。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成都市市政工程设计研究院有限公司、中国市政工程西南设计研究总院有限公司等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54</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i w:val="0"/>
                <w:color w:val="000000"/>
                <w:kern w:val="0"/>
                <w:sz w:val="24"/>
                <w:szCs w:val="24"/>
                <w:u w:val="none"/>
                <w:lang w:val="en-US" w:eastAsia="zh-CN" w:bidi="ar"/>
              </w:rPr>
              <w:t>四川省智能建筑物联网工程建设标准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适用于四川省新建、扩建和改建项目。</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包括总则、术语、基本规定、系统架构、施工与验收等。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中国建筑西南设计研究院有限公司等</w:t>
            </w:r>
          </w:p>
        </w:tc>
        <w:tc>
          <w:tcPr>
            <w:tcW w:w="1095" w:type="dxa"/>
            <w:noWrap w:val="0"/>
            <w:vAlign w:val="center"/>
          </w:tcPr>
          <w:p>
            <w:pPr>
              <w:widowControl/>
              <w:jc w:val="center"/>
              <w:textAlignment w:val="center"/>
              <w:rPr>
                <w:rFonts w:hint="eastAsia" w:ascii="仿宋" w:hAnsi="仿宋" w:eastAsia="仿宋" w:cs="仿宋"/>
                <w:bCs/>
                <w:kern w:val="0"/>
                <w:sz w:val="24"/>
                <w:szCs w:val="24"/>
                <w:lang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55</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磷石膏基建筑材料应用技术标准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适用于川渝磷石膏基建筑材料的术语、产品技术要求、施工、质量检验与验收。</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包括基本规定、原材料技术要求、磷石膏基建筑材料产品技术要求、磷石膏基建筑材料产品的施工、磷石膏基建筑材料产品的验收等。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四川省建筑科学研究院有限公司、重庆市建筑科学研究院有限公司</w:t>
            </w:r>
          </w:p>
        </w:tc>
        <w:tc>
          <w:tcPr>
            <w:tcW w:w="1095" w:type="dxa"/>
            <w:noWrap w:val="0"/>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56</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城市排水管网雨污分流效果评价技术标准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适用于川渝城市排水管网雨污分流改造效果评价。</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w:t>
            </w:r>
            <w:r>
              <w:rPr>
                <w:rFonts w:hint="default" w:ascii="仿宋" w:hAnsi="仿宋" w:eastAsia="仿宋" w:cs="仿宋"/>
                <w:color w:val="000000"/>
                <w:kern w:val="0"/>
                <w:sz w:val="24"/>
                <w:szCs w:val="24"/>
                <w:lang w:val="en-US" w:eastAsia="zh-CN" w:bidi="ar"/>
              </w:rPr>
              <w:t>项目层级评价</w:t>
            </w:r>
            <w:r>
              <w:rPr>
                <w:rFonts w:hint="eastAsia" w:ascii="仿宋" w:hAnsi="仿宋" w:eastAsia="仿宋" w:cs="仿宋"/>
                <w:color w:val="000000"/>
                <w:kern w:val="0"/>
                <w:sz w:val="24"/>
                <w:szCs w:val="24"/>
                <w:lang w:val="en-US" w:eastAsia="zh-CN" w:bidi="ar"/>
              </w:rPr>
              <w:t>、排水分区层级评价等。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重庆市住房和城乡建设技术发展中心（重庆市建筑节能中心）、四川省城乡建设研究院等</w:t>
            </w:r>
          </w:p>
        </w:tc>
        <w:tc>
          <w:tcPr>
            <w:tcW w:w="1095" w:type="dxa"/>
            <w:noWrap w:val="0"/>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5" w:type="dxa"/>
            <w:noWrap w:val="0"/>
            <w:vAlign w:val="center"/>
          </w:tcPr>
          <w:p>
            <w:pPr>
              <w:widowControl/>
              <w:spacing w:line="240" w:lineRule="auto"/>
              <w:jc w:val="center"/>
              <w:textAlignment w:val="center"/>
              <w:rPr>
                <w:rFonts w:hint="default" w:ascii="Times New Roman" w:hAnsi="Times New Roman" w:eastAsia="仿宋" w:cs="Times New Roman"/>
                <w:bCs/>
                <w:kern w:val="0"/>
                <w:sz w:val="24"/>
                <w:szCs w:val="24"/>
                <w:lang w:val="en-US" w:eastAsia="zh-CN" w:bidi="ar"/>
              </w:rPr>
            </w:pPr>
            <w:r>
              <w:rPr>
                <w:rFonts w:hint="eastAsia" w:ascii="Times New Roman" w:hAnsi="Times New Roman" w:eastAsia="仿宋" w:cs="Times New Roman"/>
                <w:bCs/>
                <w:kern w:val="0"/>
                <w:sz w:val="24"/>
                <w:szCs w:val="24"/>
                <w:lang w:val="en-US" w:eastAsia="zh-CN" w:bidi="ar"/>
              </w:rPr>
              <w:t>57</w:t>
            </w:r>
          </w:p>
        </w:tc>
        <w:tc>
          <w:tcPr>
            <w:tcW w:w="261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既有建筑幕墙门窗维护与改造工程技术标准</w:t>
            </w:r>
          </w:p>
        </w:tc>
        <w:tc>
          <w:tcPr>
            <w:tcW w:w="7220" w:type="dxa"/>
            <w:noWrap w:val="0"/>
            <w:vAlign w:val="center"/>
          </w:tcPr>
          <w:p>
            <w:pPr>
              <w:widowControl/>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一、适用范围：</w:t>
            </w:r>
            <w:r>
              <w:rPr>
                <w:rFonts w:hint="eastAsia" w:ascii="仿宋" w:hAnsi="仿宋" w:eastAsia="仿宋" w:cs="仿宋"/>
                <w:color w:val="000000"/>
                <w:kern w:val="0"/>
                <w:sz w:val="24"/>
                <w:szCs w:val="24"/>
                <w:lang w:val="en-US" w:eastAsia="zh-CN" w:bidi="ar"/>
              </w:rPr>
              <w:t>适用于川渝既有建筑玻璃幕墙、金属幕墙、石材幕墙、人造板幕墙、门窗等工程维护与改造。</w:t>
            </w:r>
          </w:p>
          <w:p>
            <w:pPr>
              <w:widowControl/>
              <w:jc w:val="both"/>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二、主要技术内容：</w:t>
            </w:r>
            <w:r>
              <w:rPr>
                <w:rFonts w:hint="eastAsia" w:ascii="仿宋" w:hAnsi="仿宋" w:eastAsia="仿宋" w:cs="仿宋"/>
                <w:color w:val="000000"/>
                <w:kern w:val="0"/>
                <w:sz w:val="24"/>
                <w:szCs w:val="24"/>
                <w:lang w:val="en-US" w:eastAsia="zh-CN" w:bidi="ar"/>
              </w:rPr>
              <w:t>包括总则、术语和符号、基本规定、材料、检查、维护、改造、施工与验收、清洗等。</w:t>
            </w:r>
          </w:p>
        </w:tc>
        <w:tc>
          <w:tcPr>
            <w:tcW w:w="2192" w:type="dxa"/>
            <w:noWrap w:val="0"/>
            <w:vAlign w:val="center"/>
          </w:tcPr>
          <w:p>
            <w:pPr>
              <w:keepNext w:val="0"/>
              <w:keepLines w:val="0"/>
              <w:widowControl/>
              <w:suppressLineNumbers w:val="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中冶建工集团有限公司、四川省建筑设计研究院有限公司等</w:t>
            </w:r>
          </w:p>
        </w:tc>
        <w:tc>
          <w:tcPr>
            <w:tcW w:w="1095" w:type="dxa"/>
            <w:noWrap w:val="0"/>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制订</w:t>
            </w:r>
          </w:p>
        </w:tc>
      </w:tr>
    </w:tbl>
    <w:p>
      <w:pPr>
        <w:pStyle w:val="8"/>
        <w:rPr>
          <w:rFonts w:hint="default" w:ascii="Times New Roman" w:hAnsi="Times New Roman" w:eastAsia="黑体" w:cs="Times New Roman"/>
          <w:kern w:val="2"/>
          <w:sz w:val="32"/>
          <w:szCs w:val="32"/>
          <w:lang w:val="en-US" w:eastAsia="zh-CN" w:bidi="ar-SA"/>
        </w:rPr>
      </w:pPr>
      <w:bookmarkStart w:id="0" w:name="_GoBack"/>
      <w:bookmarkEnd w:id="0"/>
    </w:p>
    <w:sectPr>
      <w:footerReference r:id="rId3"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1qnW3yAEAAHwDAAAOAAAAAAAA&#10;AAEAIAAAADQBAABkcnMvZTJvRG9jLnhtbFBLBQYAAAAABgAGAFkBAABu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D6775A"/>
    <w:rsid w:val="05EC5261"/>
    <w:rsid w:val="1BE6B5FE"/>
    <w:rsid w:val="1EFE329E"/>
    <w:rsid w:val="25FD8F7C"/>
    <w:rsid w:val="31BF4F80"/>
    <w:rsid w:val="3BEFABCF"/>
    <w:rsid w:val="3DEFC486"/>
    <w:rsid w:val="3E5870A0"/>
    <w:rsid w:val="3F3E1E53"/>
    <w:rsid w:val="3F9A2518"/>
    <w:rsid w:val="3FFFFEFA"/>
    <w:rsid w:val="56D79394"/>
    <w:rsid w:val="57FC080A"/>
    <w:rsid w:val="5AD79514"/>
    <w:rsid w:val="5BDFBECF"/>
    <w:rsid w:val="5BE212EB"/>
    <w:rsid w:val="5C7FA626"/>
    <w:rsid w:val="5DFD7DF3"/>
    <w:rsid w:val="5DFF188A"/>
    <w:rsid w:val="5F865B15"/>
    <w:rsid w:val="5FBD5E13"/>
    <w:rsid w:val="67781FE4"/>
    <w:rsid w:val="67EADF62"/>
    <w:rsid w:val="67EF1E6D"/>
    <w:rsid w:val="6A7CEE65"/>
    <w:rsid w:val="6BF744BC"/>
    <w:rsid w:val="6D7F412F"/>
    <w:rsid w:val="6FEB5754"/>
    <w:rsid w:val="6FF86A46"/>
    <w:rsid w:val="6FFFDB0E"/>
    <w:rsid w:val="73FE21F1"/>
    <w:rsid w:val="75FD37AE"/>
    <w:rsid w:val="77CF05A3"/>
    <w:rsid w:val="78BB0134"/>
    <w:rsid w:val="78FD5BF3"/>
    <w:rsid w:val="7B6B7D84"/>
    <w:rsid w:val="7B85E6BA"/>
    <w:rsid w:val="7B9E3A4E"/>
    <w:rsid w:val="7BFFAD69"/>
    <w:rsid w:val="7D5B8873"/>
    <w:rsid w:val="7DBE2D41"/>
    <w:rsid w:val="7DBF9B7F"/>
    <w:rsid w:val="7E778B0C"/>
    <w:rsid w:val="7EDB3A15"/>
    <w:rsid w:val="7EEFCB66"/>
    <w:rsid w:val="7EEFD741"/>
    <w:rsid w:val="7EFEAC60"/>
    <w:rsid w:val="7F3DC9D4"/>
    <w:rsid w:val="7F777A40"/>
    <w:rsid w:val="7FAEC785"/>
    <w:rsid w:val="7FDF2BE7"/>
    <w:rsid w:val="7FDF7610"/>
    <w:rsid w:val="7FE74778"/>
    <w:rsid w:val="7FEF17D9"/>
    <w:rsid w:val="7FEFC224"/>
    <w:rsid w:val="7FF9BDDA"/>
    <w:rsid w:val="7FFF4ACA"/>
    <w:rsid w:val="7FFF7D7D"/>
    <w:rsid w:val="9DBDEA2F"/>
    <w:rsid w:val="AE7B7F3A"/>
    <w:rsid w:val="AE9FF496"/>
    <w:rsid w:val="AEEB1816"/>
    <w:rsid w:val="AFBD45D8"/>
    <w:rsid w:val="AFF509FD"/>
    <w:rsid w:val="BADF9F54"/>
    <w:rsid w:val="BB9F4293"/>
    <w:rsid w:val="BBF39191"/>
    <w:rsid w:val="BD669248"/>
    <w:rsid w:val="BDCF7398"/>
    <w:rsid w:val="BDDF0DFB"/>
    <w:rsid w:val="BDFF19CD"/>
    <w:rsid w:val="BEDD1B3A"/>
    <w:rsid w:val="BEE9EF21"/>
    <w:rsid w:val="BF73E778"/>
    <w:rsid w:val="BF9FAEB5"/>
    <w:rsid w:val="BFFB0668"/>
    <w:rsid w:val="C7E3ED3C"/>
    <w:rsid w:val="CCF5AA50"/>
    <w:rsid w:val="CFF9586B"/>
    <w:rsid w:val="CFFD6061"/>
    <w:rsid w:val="D73F2A62"/>
    <w:rsid w:val="D7D6775A"/>
    <w:rsid w:val="D7F96086"/>
    <w:rsid w:val="DB6D4A6A"/>
    <w:rsid w:val="DC3FC3E0"/>
    <w:rsid w:val="DCDE48E7"/>
    <w:rsid w:val="DDCF5A86"/>
    <w:rsid w:val="DF7E564B"/>
    <w:rsid w:val="DF9F8964"/>
    <w:rsid w:val="DFDBBECC"/>
    <w:rsid w:val="DFFE6537"/>
    <w:rsid w:val="E3F566E8"/>
    <w:rsid w:val="E96F1952"/>
    <w:rsid w:val="EB8FB86D"/>
    <w:rsid w:val="EF5EBD87"/>
    <w:rsid w:val="EFBEE7F6"/>
    <w:rsid w:val="EFCD978F"/>
    <w:rsid w:val="EFFB2D24"/>
    <w:rsid w:val="EFFF1E3C"/>
    <w:rsid w:val="F34FBB6D"/>
    <w:rsid w:val="F7754C3D"/>
    <w:rsid w:val="F79F4AB2"/>
    <w:rsid w:val="F7AF6897"/>
    <w:rsid w:val="F8FFB1BA"/>
    <w:rsid w:val="F9FF67B7"/>
    <w:rsid w:val="FABED018"/>
    <w:rsid w:val="FB73F29E"/>
    <w:rsid w:val="FBBF3E4E"/>
    <w:rsid w:val="FDF6FE53"/>
    <w:rsid w:val="FEE884F3"/>
    <w:rsid w:val="FEE97491"/>
    <w:rsid w:val="FF7F02A6"/>
    <w:rsid w:val="FF7FDCC6"/>
    <w:rsid w:val="FFFD74B7"/>
    <w:rsid w:val="FFFF7B24"/>
    <w:rsid w:val="FFFFE4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5">
    <w:name w:val="Normal Indent"/>
    <w:basedOn w:val="1"/>
    <w:qFormat/>
    <w:uiPriority w:val="99"/>
    <w:pPr>
      <w:ind w:firstLine="420" w:firstLineChars="200"/>
    </w:pPr>
    <w:rPr>
      <w:rFonts w:eastAsia="方正仿宋简体"/>
    </w:rPr>
  </w:style>
  <w:style w:type="paragraph" w:styleId="6">
    <w:name w:val="toa heading"/>
    <w:basedOn w:val="1"/>
    <w:next w:val="1"/>
    <w:unhideWhenUsed/>
    <w:qFormat/>
    <w:uiPriority w:val="99"/>
    <w:pPr>
      <w:spacing w:before="120"/>
    </w:pPr>
    <w:rPr>
      <w:rFonts w:ascii="Cambria" w:hAnsi="Cambria" w:cs="Cambria"/>
      <w:sz w:val="24"/>
      <w:szCs w:val="24"/>
    </w:rPr>
  </w:style>
  <w:style w:type="paragraph" w:styleId="7">
    <w:name w:val="annotation text"/>
    <w:basedOn w:val="1"/>
    <w:qFormat/>
    <w:uiPriority w:val="0"/>
    <w:pPr>
      <w:jc w:val="left"/>
    </w:pPr>
  </w:style>
  <w:style w:type="paragraph" w:styleId="8">
    <w:name w:val="Body Text"/>
    <w:basedOn w:val="1"/>
    <w:qFormat/>
    <w:uiPriority w:val="0"/>
    <w:pPr>
      <w:widowControl w:val="0"/>
      <w:spacing w:after="120" w:afterLines="0"/>
      <w:jc w:val="both"/>
    </w:pPr>
    <w:rPr>
      <w:rFonts w:ascii="Calibri" w:hAnsi="Calibri" w:eastAsia="宋体" w:cs="Times New Roman"/>
      <w:kern w:val="0"/>
      <w:sz w:val="20"/>
      <w:szCs w:val="32"/>
      <w:lang w:val="en-US" w:eastAsia="zh-CN" w:bidi="ar-SA"/>
    </w:rPr>
  </w:style>
  <w:style w:type="paragraph" w:styleId="9">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basedOn w:val="14"/>
    <w:qFormat/>
    <w:uiPriority w:val="0"/>
    <w:rPr>
      <w:color w:val="0000FF"/>
      <w:u w:val="single"/>
    </w:rPr>
  </w:style>
  <w:style w:type="character" w:customStyle="1" w:styleId="16">
    <w:name w:val="apple-converted-space"/>
    <w:basedOn w:val="14"/>
    <w:qFormat/>
    <w:uiPriority w:val="0"/>
  </w:style>
  <w:style w:type="character" w:customStyle="1" w:styleId="17">
    <w:name w:val="font01"/>
    <w:basedOn w:val="14"/>
    <w:qFormat/>
    <w:uiPriority w:val="0"/>
    <w:rPr>
      <w:rFonts w:hint="eastAsia" w:ascii="宋体" w:hAnsi="宋体" w:eastAsia="宋体" w:cs="宋体"/>
      <w:color w:val="000000"/>
      <w:sz w:val="21"/>
      <w:szCs w:val="21"/>
      <w:u w:val="none"/>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2022-11-25T15:35:00Z</dcterms:created>
  <dc:creator>杨宵</dc:creator>
  <cp:lastModifiedBy>唐德华</cp:lastModifiedBy>
  <cp:lastPrinted>2024-07-18T07:50:00Z</cp:lastPrinted>
  <dcterms:modified xsi:type="dcterms:W3CDTF">2024-07-22T16:24:36Z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