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1208">
      <w:pPr>
        <w:jc w:val="center"/>
        <w:rPr>
          <w:rFonts w:eastAsia="黑体"/>
          <w:color w:val="auto"/>
          <w:sz w:val="36"/>
          <w:szCs w:val="22"/>
          <w:highlight w:val="none"/>
        </w:rPr>
      </w:pPr>
    </w:p>
    <w:p w14:paraId="5761A9E8">
      <w:pPr>
        <w:jc w:val="center"/>
        <w:rPr>
          <w:rFonts w:eastAsia="黑体"/>
          <w:color w:val="auto"/>
          <w:sz w:val="36"/>
          <w:szCs w:val="22"/>
          <w:highlight w:val="none"/>
        </w:rPr>
      </w:pPr>
    </w:p>
    <w:p w14:paraId="5EF1CCE4">
      <w:pPr>
        <w:jc w:val="center"/>
        <w:outlineLvl w:val="0"/>
        <w:rPr>
          <w:rFonts w:eastAsia="黑体"/>
          <w:color w:val="auto"/>
          <w:sz w:val="36"/>
          <w:szCs w:val="22"/>
          <w:highlight w:val="none"/>
        </w:rPr>
      </w:pPr>
      <w:bookmarkStart w:id="0" w:name="_Toc8315"/>
      <w:bookmarkStart w:id="1" w:name="_Toc22530"/>
      <w:bookmarkStart w:id="2" w:name="_Toc4643"/>
      <w:r>
        <w:rPr>
          <w:rFonts w:eastAsia="黑体"/>
          <w:color w:val="auto"/>
          <w:sz w:val="36"/>
          <w:szCs w:val="22"/>
          <w:highlight w:val="none"/>
        </w:rPr>
        <w:t>四川省工程建设地方标准</w:t>
      </w:r>
      <w:bookmarkEnd w:id="0"/>
      <w:bookmarkEnd w:id="1"/>
      <w:bookmarkEnd w:id="2"/>
    </w:p>
    <w:p w14:paraId="358CF857">
      <w:pPr>
        <w:rPr>
          <w:rFonts w:hint="eastAsia"/>
          <w:b/>
          <w:bCs/>
          <w:color w:val="auto"/>
          <w:sz w:val="21"/>
          <w:szCs w:val="21"/>
          <w:highlight w:val="none"/>
          <w:lang w:val="en-US" w:eastAsia="zh-CN"/>
        </w:rPr>
      </w:pPr>
    </w:p>
    <w:p w14:paraId="380598E4">
      <w:pPr>
        <w:rPr>
          <w:rFonts w:hint="eastAsia"/>
          <w:b/>
          <w:bCs/>
          <w:color w:val="auto"/>
          <w:sz w:val="21"/>
          <w:szCs w:val="21"/>
          <w:highlight w:val="none"/>
          <w:lang w:val="en-US" w:eastAsia="zh-CN"/>
        </w:rPr>
      </w:pPr>
    </w:p>
    <w:p w14:paraId="73A9DD95">
      <w:pPr>
        <w:jc w:val="center"/>
        <w:outlineLvl w:val="0"/>
        <w:rPr>
          <w:rFonts w:hint="eastAsia" w:ascii="Times New Roman" w:hAnsi="Times New Roman" w:eastAsia="黑体" w:cs="Times New Roman"/>
          <w:color w:val="auto"/>
          <w:sz w:val="40"/>
          <w:szCs w:val="44"/>
          <w:highlight w:val="none"/>
          <w:lang w:val="en-US" w:eastAsia="zh-CN"/>
        </w:rPr>
      </w:pPr>
      <w:r>
        <w:rPr>
          <w:rFonts w:hint="default" w:ascii="Times New Roman" w:hAnsi="Times New Roman" w:eastAsia="黑体" w:cs="Times New Roman"/>
          <w:color w:val="auto"/>
          <w:sz w:val="40"/>
          <w:szCs w:val="44"/>
          <w:highlight w:val="none"/>
          <w:lang w:eastAsia="zh-CN"/>
        </w:rPr>
        <w:t>四川省老年人照料设施建筑设计标准</w:t>
      </w:r>
      <w:r>
        <w:rPr>
          <w:rFonts w:hint="eastAsia" w:ascii="Times New Roman" w:hAnsi="Times New Roman" w:eastAsia="黑体" w:cs="Times New Roman"/>
          <w:color w:val="auto"/>
          <w:sz w:val="40"/>
          <w:szCs w:val="44"/>
          <w:highlight w:val="none"/>
          <w:lang w:val="en-US" w:eastAsia="zh-CN"/>
        </w:rPr>
        <w:t xml:space="preserve"> </w:t>
      </w:r>
    </w:p>
    <w:p w14:paraId="30DCFE93">
      <w:pPr>
        <w:rPr>
          <w:rFonts w:hint="eastAsia"/>
          <w:b/>
          <w:bCs/>
          <w:color w:val="auto"/>
          <w:sz w:val="21"/>
          <w:szCs w:val="21"/>
          <w:highlight w:val="none"/>
          <w:lang w:val="en-US" w:eastAsia="zh-CN"/>
        </w:rPr>
      </w:pPr>
    </w:p>
    <w:p w14:paraId="2075376C">
      <w:pPr>
        <w:jc w:val="center"/>
        <w:rPr>
          <w:rFonts w:hint="default" w:ascii="Times New Roman" w:hAnsi="Times New Roman" w:eastAsia="宋体" w:cs="Times New Roman"/>
          <w:color w:val="auto"/>
          <w:sz w:val="32"/>
          <w:highlight w:val="none"/>
          <w:lang w:val="en-US" w:eastAsia="zh-CN"/>
        </w:rPr>
      </w:pPr>
      <w:r>
        <w:rPr>
          <w:rFonts w:hint="eastAsia" w:ascii="Times New Roman" w:hAnsi="Times New Roman" w:eastAsia="宋体" w:cs="Times New Roman"/>
          <w:color w:val="auto"/>
          <w:sz w:val="32"/>
          <w:highlight w:val="none"/>
          <w:lang w:val="en-US" w:eastAsia="zh"/>
          <w:woUserID w:val="1"/>
        </w:rPr>
        <w:t>Standard for design of care facilities for the aged in Sichuan Province</w:t>
      </w:r>
    </w:p>
    <w:p w14:paraId="5235D311">
      <w:pPr>
        <w:rPr>
          <w:color w:val="auto"/>
          <w:highlight w:val="none"/>
        </w:rPr>
      </w:pPr>
    </w:p>
    <w:p w14:paraId="63E4D28C">
      <w:pPr>
        <w:jc w:val="center"/>
        <w:outlineLvl w:val="0"/>
        <w:rPr>
          <w:rFonts w:hint="default" w:eastAsiaTheme="minorEastAsia"/>
          <w:b/>
          <w:bCs/>
          <w:color w:val="auto"/>
          <w:sz w:val="28"/>
          <w:szCs w:val="36"/>
          <w:highlight w:val="none"/>
          <w:lang w:val="en-US" w:eastAsia="zh-CN"/>
        </w:rPr>
      </w:pPr>
      <w:bookmarkStart w:id="3" w:name="_Toc25710"/>
      <w:bookmarkStart w:id="4" w:name="_Toc23075"/>
      <w:bookmarkStart w:id="5" w:name="_Toc22861"/>
      <w:r>
        <w:rPr>
          <w:rFonts w:hint="eastAsia"/>
          <w:b/>
          <w:bCs/>
          <w:color w:val="auto"/>
          <w:sz w:val="28"/>
          <w:szCs w:val="36"/>
          <w:highlight w:val="none"/>
          <w:lang w:val="en-US" w:eastAsia="zh-CN"/>
        </w:rPr>
        <w:t>XXXXX-202</w:t>
      </w:r>
      <w:r>
        <w:rPr>
          <w:rFonts w:hint="eastAsia"/>
          <w:b/>
          <w:bCs/>
          <w:color w:val="auto"/>
          <w:sz w:val="28"/>
          <w:szCs w:val="36"/>
          <w:highlight w:val="none"/>
          <w:lang w:val="en-US" w:eastAsia="zh"/>
          <w:woUserID w:val="1"/>
        </w:rPr>
        <w:t>5</w:t>
      </w:r>
      <w:bookmarkEnd w:id="3"/>
      <w:bookmarkEnd w:id="4"/>
      <w:bookmarkEnd w:id="5"/>
    </w:p>
    <w:p w14:paraId="70AC2430">
      <w:pPr>
        <w:rPr>
          <w:color w:val="auto"/>
          <w:highlight w:val="none"/>
        </w:rPr>
      </w:pPr>
    </w:p>
    <w:p w14:paraId="5F62E1FA">
      <w:pPr>
        <w:rPr>
          <w:color w:val="auto"/>
          <w:highlight w:val="none"/>
        </w:rPr>
      </w:pPr>
    </w:p>
    <w:p w14:paraId="38045574">
      <w:pPr>
        <w:rPr>
          <w:color w:val="auto"/>
          <w:highlight w:val="none"/>
        </w:rPr>
      </w:pPr>
    </w:p>
    <w:p w14:paraId="2E6DF211">
      <w:pPr>
        <w:rPr>
          <w:color w:val="auto"/>
          <w:highlight w:val="none"/>
        </w:rPr>
      </w:pPr>
    </w:p>
    <w:p w14:paraId="5D4172AB">
      <w:pPr>
        <w:jc w:val="center"/>
        <w:rPr>
          <w:rFonts w:hint="eastAsia"/>
          <w:color w:val="auto"/>
          <w:sz w:val="22"/>
          <w:szCs w:val="28"/>
          <w:highlight w:val="none"/>
          <w:lang w:val="en-US" w:eastAsia="zh-CN"/>
        </w:rPr>
      </w:pPr>
      <w:r>
        <w:rPr>
          <w:rFonts w:hint="eastAsia"/>
          <w:color w:val="auto"/>
          <w:sz w:val="22"/>
          <w:szCs w:val="28"/>
          <w:highlight w:val="none"/>
        </w:rPr>
        <w:t>主编单位：四川省建筑设计研究院</w:t>
      </w:r>
      <w:r>
        <w:rPr>
          <w:rFonts w:hint="eastAsia"/>
          <w:color w:val="auto"/>
          <w:sz w:val="22"/>
          <w:szCs w:val="28"/>
          <w:highlight w:val="none"/>
          <w:lang w:val="en-US" w:eastAsia="zh-CN"/>
        </w:rPr>
        <w:t>有限公司</w:t>
      </w:r>
    </w:p>
    <w:p w14:paraId="065855E5">
      <w:pPr>
        <w:jc w:val="center"/>
        <w:rPr>
          <w:rFonts w:hint="eastAsia"/>
          <w:color w:val="auto"/>
          <w:sz w:val="22"/>
          <w:szCs w:val="28"/>
          <w:highlight w:val="none"/>
          <w:lang w:val="en-US" w:eastAsia="zh-CN"/>
        </w:rPr>
      </w:pPr>
      <w:r>
        <w:rPr>
          <w:rFonts w:hint="eastAsia"/>
          <w:color w:val="auto"/>
          <w:sz w:val="22"/>
          <w:szCs w:val="28"/>
          <w:highlight w:val="none"/>
          <w:lang w:val="en-US" w:eastAsia="zh-CN"/>
        </w:rPr>
        <w:t>批准部门：四川省住房和城乡建设厅</w:t>
      </w:r>
    </w:p>
    <w:p w14:paraId="13839C7B">
      <w:pPr>
        <w:jc w:val="center"/>
        <w:rPr>
          <w:rFonts w:hint="default"/>
          <w:color w:val="auto"/>
          <w:sz w:val="22"/>
          <w:szCs w:val="28"/>
          <w:highlight w:val="none"/>
          <w:lang w:val="en-US" w:eastAsia="zh-CN"/>
        </w:rPr>
      </w:pPr>
      <w:r>
        <w:rPr>
          <w:rFonts w:hint="eastAsia"/>
          <w:color w:val="auto"/>
          <w:sz w:val="22"/>
          <w:szCs w:val="28"/>
          <w:highlight w:val="none"/>
          <w:lang w:val="en-US" w:eastAsia="zh-CN"/>
        </w:rPr>
        <w:t>施行日期：20</w:t>
      </w:r>
      <w:r>
        <w:rPr>
          <w:rFonts w:hint="eastAsia"/>
          <w:color w:val="auto"/>
          <w:sz w:val="22"/>
          <w:szCs w:val="28"/>
          <w:highlight w:val="none"/>
          <w:lang w:val="en-US" w:eastAsia="zh"/>
          <w:woUserID w:val="1"/>
        </w:rPr>
        <w:t>25</w:t>
      </w:r>
      <w:r>
        <w:rPr>
          <w:rFonts w:hint="eastAsia"/>
          <w:color w:val="auto"/>
          <w:sz w:val="22"/>
          <w:szCs w:val="28"/>
          <w:highlight w:val="none"/>
          <w:lang w:val="en-US" w:eastAsia="zh-CN"/>
        </w:rPr>
        <w:t>年xx月xx日</w:t>
      </w:r>
    </w:p>
    <w:p w14:paraId="488206A1">
      <w:pPr>
        <w:rPr>
          <w:color w:val="auto"/>
          <w:highlight w:val="none"/>
        </w:rPr>
      </w:pPr>
    </w:p>
    <w:p w14:paraId="0E5F1D5A">
      <w:pPr>
        <w:rPr>
          <w:color w:val="auto"/>
          <w:highlight w:val="none"/>
        </w:rPr>
      </w:pPr>
    </w:p>
    <w:p w14:paraId="1DF9691C">
      <w:pPr>
        <w:rPr>
          <w:color w:val="auto"/>
          <w:highlight w:val="none"/>
        </w:rPr>
      </w:pPr>
    </w:p>
    <w:p w14:paraId="4297EF53">
      <w:pPr>
        <w:rPr>
          <w:color w:val="auto"/>
          <w:highlight w:val="none"/>
        </w:rPr>
      </w:pPr>
    </w:p>
    <w:p w14:paraId="686953EE">
      <w:pPr>
        <w:rPr>
          <w:color w:val="auto"/>
          <w:highlight w:val="none"/>
        </w:rPr>
      </w:pPr>
    </w:p>
    <w:p w14:paraId="3F978F40">
      <w:pPr>
        <w:rPr>
          <w:color w:val="auto"/>
          <w:highlight w:val="none"/>
        </w:rPr>
      </w:pPr>
    </w:p>
    <w:p w14:paraId="498A54F7">
      <w:pPr>
        <w:rPr>
          <w:color w:val="auto"/>
          <w:highlight w:val="none"/>
        </w:rPr>
      </w:pPr>
    </w:p>
    <w:p w14:paraId="7F122B6D">
      <w:pPr>
        <w:rPr>
          <w:color w:val="auto"/>
          <w:highlight w:val="none"/>
        </w:rPr>
      </w:pPr>
    </w:p>
    <w:p w14:paraId="616AE04B">
      <w:pPr>
        <w:rPr>
          <w:color w:val="auto"/>
          <w:highlight w:val="none"/>
        </w:rPr>
      </w:pPr>
    </w:p>
    <w:p w14:paraId="58A04956">
      <w:pPr>
        <w:rPr>
          <w:color w:val="auto"/>
          <w:highlight w:val="none"/>
        </w:rPr>
      </w:pPr>
    </w:p>
    <w:p w14:paraId="743D4793">
      <w:pPr>
        <w:rPr>
          <w:color w:val="auto"/>
          <w:highlight w:val="none"/>
        </w:rPr>
      </w:pPr>
    </w:p>
    <w:p w14:paraId="3D98A7E4">
      <w:pPr>
        <w:rPr>
          <w:color w:val="auto"/>
          <w:highlight w:val="none"/>
        </w:rPr>
      </w:pPr>
    </w:p>
    <w:p w14:paraId="55782FF1">
      <w:pPr>
        <w:rPr>
          <w:color w:val="auto"/>
          <w:highlight w:val="none"/>
        </w:rPr>
      </w:pPr>
    </w:p>
    <w:p w14:paraId="0BDC36CE">
      <w:pPr>
        <w:rPr>
          <w:color w:val="auto"/>
          <w:highlight w:val="none"/>
        </w:rPr>
      </w:pPr>
    </w:p>
    <w:p w14:paraId="29CEBC7D">
      <w:pPr>
        <w:jc w:val="center"/>
        <w:rPr>
          <w:rFonts w:hint="eastAsia"/>
          <w:color w:val="auto"/>
          <w:sz w:val="24"/>
          <w:szCs w:val="32"/>
          <w:highlight w:val="none"/>
          <w:lang w:val="en-US" w:eastAsia="zh-CN"/>
        </w:rPr>
      </w:pPr>
      <w:r>
        <w:rPr>
          <w:rFonts w:hint="eastAsia"/>
          <w:color w:val="auto"/>
          <w:sz w:val="24"/>
          <w:szCs w:val="32"/>
          <w:highlight w:val="none"/>
          <w:lang w:val="en-US" w:eastAsia="zh-CN"/>
        </w:rPr>
        <w:t>Xxx出版社</w:t>
      </w:r>
    </w:p>
    <w:p w14:paraId="12F38E7C">
      <w:pPr>
        <w:jc w:val="center"/>
        <w:rPr>
          <w:rFonts w:hint="default"/>
          <w:color w:val="auto"/>
          <w:sz w:val="24"/>
          <w:szCs w:val="32"/>
          <w:highlight w:val="none"/>
          <w:lang w:val="en-US" w:eastAsia="zh-CN"/>
        </w:rPr>
      </w:pPr>
      <w:r>
        <w:rPr>
          <w:rFonts w:hint="eastAsia"/>
          <w:color w:val="auto"/>
          <w:sz w:val="24"/>
          <w:szCs w:val="32"/>
          <w:highlight w:val="none"/>
          <w:lang w:val="en-US" w:eastAsia="zh-CN"/>
        </w:rPr>
        <w:t>20</w:t>
      </w:r>
      <w:r>
        <w:rPr>
          <w:rFonts w:hint="eastAsia"/>
          <w:color w:val="auto"/>
          <w:sz w:val="24"/>
          <w:szCs w:val="32"/>
          <w:highlight w:val="none"/>
          <w:lang w:val="en-US" w:eastAsia="zh"/>
          <w:woUserID w:val="1"/>
        </w:rPr>
        <w:t>25</w:t>
      </w:r>
      <w:r>
        <w:rPr>
          <w:rFonts w:hint="eastAsia"/>
          <w:color w:val="auto"/>
          <w:sz w:val="24"/>
          <w:szCs w:val="32"/>
          <w:highlight w:val="none"/>
          <w:lang w:val="en-US" w:eastAsia="zh-CN"/>
        </w:rPr>
        <w:t xml:space="preserve"> 成都</w:t>
      </w:r>
    </w:p>
    <w:p w14:paraId="0E096983">
      <w:pPr>
        <w:rPr>
          <w:color w:val="auto"/>
          <w:highlight w:val="none"/>
        </w:rPr>
      </w:pPr>
    </w:p>
    <w:p w14:paraId="439C15AC">
      <w:pPr>
        <w:rPr>
          <w:color w:val="auto"/>
          <w:highlight w:val="none"/>
        </w:rPr>
      </w:pPr>
    </w:p>
    <w:p w14:paraId="04A99C1E">
      <w:pPr>
        <w:rPr>
          <w:color w:val="auto"/>
          <w:highlight w:val="none"/>
        </w:rPr>
      </w:pPr>
    </w:p>
    <w:p w14:paraId="7BB400C7">
      <w:pPr>
        <w:rPr>
          <w:color w:val="auto"/>
          <w:highlight w:val="none"/>
        </w:rPr>
      </w:pPr>
    </w:p>
    <w:p w14:paraId="1E02C03E">
      <w:pPr>
        <w:rPr>
          <w:color w:val="auto"/>
          <w:highlight w:val="none"/>
        </w:rPr>
      </w:pPr>
    </w:p>
    <w:p w14:paraId="0A85D8D5">
      <w:pPr>
        <w:rPr>
          <w:color w:val="auto"/>
          <w:highlight w:val="none"/>
        </w:rPr>
      </w:pPr>
    </w:p>
    <w:p w14:paraId="62C8AC51">
      <w:pPr>
        <w:jc w:val="center"/>
        <w:outlineLvl w:val="0"/>
        <w:rPr>
          <w:rFonts w:eastAsia="黑体"/>
          <w:color w:val="auto"/>
          <w:sz w:val="28"/>
          <w:szCs w:val="24"/>
          <w:highlight w:val="none"/>
        </w:rPr>
      </w:pPr>
      <w:bookmarkStart w:id="6" w:name="_Toc22287"/>
      <w:bookmarkStart w:id="7" w:name="_Toc23406"/>
      <w:bookmarkStart w:id="8" w:name="_Toc6878"/>
      <w:r>
        <w:rPr>
          <w:rFonts w:eastAsia="黑体"/>
          <w:color w:val="auto"/>
          <w:sz w:val="28"/>
          <w:szCs w:val="24"/>
          <w:highlight w:val="none"/>
        </w:rPr>
        <w:t>四川省住房和城乡建设厅关于发布</w:t>
      </w:r>
      <w:bookmarkEnd w:id="6"/>
      <w:bookmarkEnd w:id="7"/>
      <w:bookmarkEnd w:id="8"/>
    </w:p>
    <w:p w14:paraId="11AFC1A0">
      <w:pPr>
        <w:ind w:left="0" w:leftChars="0" w:firstLine="0" w:firstLineChars="0"/>
        <w:jc w:val="center"/>
        <w:rPr>
          <w:rFonts w:eastAsia="黑体"/>
          <w:color w:val="auto"/>
          <w:sz w:val="36"/>
          <w:szCs w:val="40"/>
          <w:highlight w:val="none"/>
          <w:u w:val="single"/>
        </w:rPr>
      </w:pPr>
      <w:r>
        <w:rPr>
          <w:rFonts w:eastAsia="黑体"/>
          <w:color w:val="auto"/>
          <w:sz w:val="28"/>
          <w:szCs w:val="24"/>
          <w:highlight w:val="none"/>
        </w:rPr>
        <w:t>四川省工程建设地方标准《</w:t>
      </w:r>
      <w:r>
        <w:rPr>
          <w:rFonts w:hint="default" w:eastAsia="黑体"/>
          <w:color w:val="auto"/>
          <w:sz w:val="28"/>
          <w:szCs w:val="24"/>
          <w:highlight w:val="none"/>
        </w:rPr>
        <w:t>四川省老年人照料设施建筑设计标准</w:t>
      </w:r>
      <w:r>
        <w:rPr>
          <w:rFonts w:eastAsia="黑体"/>
          <w:color w:val="auto"/>
          <w:sz w:val="28"/>
          <w:szCs w:val="24"/>
          <w:highlight w:val="none"/>
        </w:rPr>
        <w:t>》的通知</w:t>
      </w:r>
    </w:p>
    <w:p w14:paraId="1E02237F">
      <w:pPr>
        <w:jc w:val="center"/>
        <w:rPr>
          <w:rFonts w:hint="eastAsia" w:eastAsiaTheme="minorEastAsia"/>
          <w:color w:val="auto"/>
          <w:sz w:val="28"/>
          <w:szCs w:val="28"/>
          <w:highlight w:val="none"/>
          <w:lang w:eastAsia="zh-CN"/>
        </w:rPr>
      </w:pPr>
      <w:r>
        <w:rPr>
          <w:rFonts w:hint="eastAsia"/>
          <w:color w:val="auto"/>
          <w:sz w:val="28"/>
          <w:szCs w:val="28"/>
          <w:highlight w:val="none"/>
          <w:lang w:eastAsia="zh-CN"/>
        </w:rPr>
        <w:t>（</w:t>
      </w:r>
      <w:r>
        <w:rPr>
          <w:rFonts w:eastAsiaTheme="minorEastAsia"/>
          <w:color w:val="auto"/>
          <w:sz w:val="28"/>
          <w:szCs w:val="28"/>
          <w:highlight w:val="none"/>
        </w:rPr>
        <w:t>待发布通知出来后完善</w:t>
      </w:r>
      <w:r>
        <w:rPr>
          <w:rFonts w:hint="eastAsia"/>
          <w:color w:val="auto"/>
          <w:sz w:val="28"/>
          <w:szCs w:val="28"/>
          <w:highlight w:val="none"/>
          <w:lang w:eastAsia="zh-CN"/>
        </w:rPr>
        <w:t>）</w:t>
      </w:r>
    </w:p>
    <w:p w14:paraId="1562E779">
      <w:pPr>
        <w:rPr>
          <w:color w:val="auto"/>
          <w:highlight w:val="none"/>
        </w:rPr>
      </w:pPr>
    </w:p>
    <w:p w14:paraId="2E997A17">
      <w:pPr>
        <w:rPr>
          <w:color w:val="auto"/>
          <w:highlight w:val="none"/>
        </w:rPr>
      </w:pPr>
    </w:p>
    <w:p w14:paraId="018A733E">
      <w:pPr>
        <w:rPr>
          <w:color w:val="auto"/>
          <w:highlight w:val="none"/>
        </w:rPr>
      </w:pPr>
    </w:p>
    <w:p w14:paraId="3C353ECB">
      <w:pPr>
        <w:rPr>
          <w:color w:val="auto"/>
          <w:highlight w:val="none"/>
        </w:rPr>
      </w:pPr>
    </w:p>
    <w:p w14:paraId="75ED22DB">
      <w:pPr>
        <w:rPr>
          <w:color w:val="auto"/>
          <w:highlight w:val="none"/>
        </w:rPr>
      </w:pPr>
    </w:p>
    <w:p w14:paraId="3BBFFD7F">
      <w:pPr>
        <w:rPr>
          <w:color w:val="auto"/>
          <w:highlight w:val="none"/>
        </w:rPr>
      </w:pPr>
    </w:p>
    <w:p w14:paraId="77DDD18D">
      <w:pPr>
        <w:rPr>
          <w:color w:val="auto"/>
          <w:highlight w:val="none"/>
        </w:rPr>
      </w:pPr>
    </w:p>
    <w:p w14:paraId="31EC4703">
      <w:pPr>
        <w:rPr>
          <w:color w:val="auto"/>
          <w:highlight w:val="none"/>
        </w:rPr>
      </w:pPr>
    </w:p>
    <w:p w14:paraId="4F5586ED">
      <w:pPr>
        <w:rPr>
          <w:color w:val="auto"/>
          <w:highlight w:val="none"/>
        </w:rPr>
      </w:pPr>
    </w:p>
    <w:p w14:paraId="079F702F">
      <w:pPr>
        <w:rPr>
          <w:color w:val="auto"/>
          <w:highlight w:val="none"/>
        </w:rPr>
      </w:pPr>
    </w:p>
    <w:p w14:paraId="1C4C132C">
      <w:pPr>
        <w:rPr>
          <w:color w:val="auto"/>
          <w:highlight w:val="none"/>
        </w:rPr>
      </w:pPr>
    </w:p>
    <w:p w14:paraId="2F6CEB82">
      <w:pPr>
        <w:rPr>
          <w:color w:val="auto"/>
          <w:highlight w:val="none"/>
        </w:rPr>
      </w:pPr>
    </w:p>
    <w:p w14:paraId="12F7FFF8">
      <w:pPr>
        <w:rPr>
          <w:color w:val="auto"/>
          <w:highlight w:val="none"/>
        </w:rPr>
      </w:pPr>
    </w:p>
    <w:p w14:paraId="6AE6E671">
      <w:pPr>
        <w:rPr>
          <w:color w:val="auto"/>
          <w:highlight w:val="none"/>
        </w:rPr>
      </w:pPr>
    </w:p>
    <w:p w14:paraId="6E526568">
      <w:pPr>
        <w:rPr>
          <w:color w:val="auto"/>
          <w:highlight w:val="none"/>
        </w:rPr>
      </w:pPr>
    </w:p>
    <w:p w14:paraId="71FF437D">
      <w:pPr>
        <w:rPr>
          <w:color w:val="auto"/>
          <w:highlight w:val="none"/>
        </w:rPr>
      </w:pPr>
    </w:p>
    <w:p w14:paraId="0DE3C1F0">
      <w:pPr>
        <w:rPr>
          <w:color w:val="auto"/>
          <w:highlight w:val="none"/>
        </w:rPr>
      </w:pPr>
    </w:p>
    <w:p w14:paraId="5485EAD8">
      <w:pPr>
        <w:rPr>
          <w:color w:val="auto"/>
          <w:highlight w:val="none"/>
        </w:rPr>
      </w:pPr>
    </w:p>
    <w:p w14:paraId="51E0CFAD">
      <w:pPr>
        <w:rPr>
          <w:color w:val="auto"/>
          <w:highlight w:val="none"/>
        </w:rPr>
      </w:pPr>
    </w:p>
    <w:p w14:paraId="56DE935B">
      <w:pPr>
        <w:rPr>
          <w:color w:val="auto"/>
          <w:highlight w:val="none"/>
        </w:rPr>
      </w:pPr>
    </w:p>
    <w:p w14:paraId="654BB636">
      <w:pPr>
        <w:rPr>
          <w:color w:val="auto"/>
          <w:highlight w:val="none"/>
        </w:rPr>
      </w:pPr>
    </w:p>
    <w:p w14:paraId="357DF8AE">
      <w:pPr>
        <w:rPr>
          <w:color w:val="auto"/>
          <w:highlight w:val="none"/>
        </w:rPr>
      </w:pPr>
    </w:p>
    <w:p w14:paraId="1B1BC901">
      <w:pPr>
        <w:rPr>
          <w:color w:val="auto"/>
          <w:highlight w:val="none"/>
        </w:rPr>
      </w:pPr>
    </w:p>
    <w:p w14:paraId="43C1A424">
      <w:pPr>
        <w:rPr>
          <w:color w:val="auto"/>
          <w:highlight w:val="none"/>
        </w:rPr>
      </w:pPr>
    </w:p>
    <w:p w14:paraId="29728970">
      <w:pPr>
        <w:rPr>
          <w:color w:val="auto"/>
          <w:highlight w:val="none"/>
        </w:rPr>
      </w:pPr>
    </w:p>
    <w:p w14:paraId="78E64DA2">
      <w:pPr>
        <w:rPr>
          <w:color w:val="auto"/>
          <w:highlight w:val="none"/>
        </w:rPr>
      </w:pPr>
    </w:p>
    <w:p w14:paraId="34229BCC">
      <w:pPr>
        <w:rPr>
          <w:color w:val="auto"/>
          <w:highlight w:val="none"/>
        </w:rPr>
      </w:pPr>
    </w:p>
    <w:p w14:paraId="56D48478">
      <w:pPr>
        <w:rPr>
          <w:color w:val="auto"/>
          <w:highlight w:val="none"/>
        </w:rPr>
      </w:pPr>
    </w:p>
    <w:p w14:paraId="272EC81D">
      <w:pPr>
        <w:rPr>
          <w:color w:val="auto"/>
          <w:highlight w:val="none"/>
        </w:rPr>
      </w:pPr>
    </w:p>
    <w:p w14:paraId="57C417E8">
      <w:pPr>
        <w:rPr>
          <w:color w:val="auto"/>
          <w:highlight w:val="none"/>
        </w:rPr>
      </w:pPr>
    </w:p>
    <w:p w14:paraId="7A10DDDF">
      <w:pPr>
        <w:rPr>
          <w:color w:val="auto"/>
          <w:highlight w:val="none"/>
        </w:rPr>
      </w:pPr>
    </w:p>
    <w:p w14:paraId="5BB233C8">
      <w:pPr>
        <w:rPr>
          <w:color w:val="auto"/>
          <w:highlight w:val="none"/>
        </w:rPr>
      </w:pPr>
    </w:p>
    <w:p w14:paraId="3DBD86C7">
      <w:pPr>
        <w:rPr>
          <w:color w:val="auto"/>
          <w:highlight w:val="none"/>
        </w:rPr>
      </w:pPr>
    </w:p>
    <w:p w14:paraId="193E5495">
      <w:pPr>
        <w:rPr>
          <w:color w:val="auto"/>
          <w:highlight w:val="none"/>
        </w:rPr>
      </w:pPr>
    </w:p>
    <w:p w14:paraId="76743C78">
      <w:pPr>
        <w:rPr>
          <w:color w:val="auto"/>
          <w:highlight w:val="none"/>
        </w:rPr>
      </w:pPr>
    </w:p>
    <w:p w14:paraId="23170E62">
      <w:pPr>
        <w:rPr>
          <w:color w:val="auto"/>
          <w:highlight w:val="none"/>
        </w:rPr>
      </w:pPr>
    </w:p>
    <w:p w14:paraId="1E5E7811">
      <w:pPr>
        <w:rPr>
          <w:color w:val="auto"/>
          <w:highlight w:val="none"/>
        </w:rPr>
      </w:pPr>
    </w:p>
    <w:p w14:paraId="57ED93B3">
      <w:pPr>
        <w:jc w:val="center"/>
        <w:rPr>
          <w:rFonts w:hint="eastAsia" w:ascii="Times New Roman" w:hAnsi="Times New Roman" w:eastAsia="黑体" w:cs="Times New Roman"/>
          <w:b/>
          <w:color w:val="auto"/>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6CB46AA4">
      <w:pPr>
        <w:jc w:val="center"/>
        <w:rPr>
          <w:rFonts w:hint="eastAsia" w:ascii="Times New Roman" w:hAnsi="Times New Roman" w:eastAsia="黑体" w:cs="Times New Roman"/>
          <w:b/>
          <w:color w:val="auto"/>
          <w:sz w:val="32"/>
          <w:szCs w:val="32"/>
          <w:highlight w:val="none"/>
          <w:lang w:val="en-US" w:eastAsia="zh-CN"/>
        </w:rPr>
      </w:pPr>
    </w:p>
    <w:p w14:paraId="6CE1CC4E">
      <w:pPr>
        <w:jc w:val="center"/>
        <w:outlineLvl w:val="0"/>
        <w:rPr>
          <w:rFonts w:hint="eastAsia" w:ascii="Times New Roman" w:hAnsi="Times New Roman" w:eastAsia="黑体" w:cs="Times New Roman"/>
          <w:b/>
          <w:color w:val="auto"/>
          <w:sz w:val="32"/>
          <w:szCs w:val="32"/>
          <w:highlight w:val="none"/>
          <w:lang w:val="en-US" w:eastAsia="zh-CN"/>
        </w:rPr>
      </w:pPr>
      <w:bookmarkStart w:id="9" w:name="_Toc30682"/>
      <w:bookmarkStart w:id="10" w:name="_Toc25788"/>
      <w:bookmarkStart w:id="11" w:name="_Toc27102"/>
      <w:r>
        <w:rPr>
          <w:rFonts w:hint="eastAsia" w:ascii="Times New Roman" w:hAnsi="Times New Roman" w:eastAsia="黑体" w:cs="Times New Roman"/>
          <w:b/>
          <w:color w:val="auto"/>
          <w:sz w:val="32"/>
          <w:szCs w:val="32"/>
          <w:highlight w:val="none"/>
          <w:lang w:val="en-US" w:eastAsia="zh-CN"/>
        </w:rPr>
        <w:t>前 言</w:t>
      </w:r>
      <w:bookmarkEnd w:id="9"/>
      <w:bookmarkEnd w:id="10"/>
      <w:bookmarkEnd w:id="11"/>
    </w:p>
    <w:p w14:paraId="3DC04A7C">
      <w:pPr>
        <w:jc w:val="center"/>
        <w:rPr>
          <w:rFonts w:hint="eastAsia" w:ascii="Times New Roman" w:hAnsi="Times New Roman" w:eastAsia="黑体" w:cs="Times New Roman"/>
          <w:b/>
          <w:color w:val="auto"/>
          <w:sz w:val="32"/>
          <w:szCs w:val="32"/>
          <w:highlight w:val="none"/>
          <w:lang w:val="en-US" w:eastAsia="zh-CN"/>
        </w:rPr>
      </w:pPr>
    </w:p>
    <w:p w14:paraId="3D8C56C1">
      <w:pPr>
        <w:numPr>
          <w:ilvl w:val="0"/>
          <w:numId w:val="0"/>
        </w:numPr>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根据四川省住房和城乡建设厅</w:t>
      </w:r>
      <w:r>
        <w:rPr>
          <w:rFonts w:hint="eastAsia"/>
          <w:b w:val="0"/>
          <w:bCs w:val="0"/>
          <w:color w:val="auto"/>
          <w:sz w:val="21"/>
          <w:szCs w:val="21"/>
          <w:highlight w:val="none"/>
          <w:lang w:val="en-US" w:eastAsia="zh-CN"/>
        </w:rPr>
        <w:t>《关于下达2024年四川省工程建设地方标准修订计划的通知》（川建标函〔2024〕3031号文）</w:t>
      </w:r>
      <w:r>
        <w:rPr>
          <w:rFonts w:hint="eastAsia"/>
          <w:b w:val="0"/>
          <w:bCs w:val="0"/>
          <w:color w:val="auto"/>
          <w:highlight w:val="none"/>
          <w:lang w:val="en-US" w:eastAsia="zh-CN"/>
        </w:rPr>
        <w:t>的要求，四川省建筑设计研究院有限公司会同有关单位，经广泛调查研究，认真总结省内外各地实践经验，在广泛征求意见的基础上，</w:t>
      </w:r>
      <w:r>
        <w:rPr>
          <w:rFonts w:hint="eastAsia"/>
          <w:b w:val="0"/>
          <w:bCs w:val="0"/>
          <w:color w:val="auto"/>
          <w:sz w:val="21"/>
          <w:szCs w:val="21"/>
          <w:highlight w:val="none"/>
          <w:lang w:val="en-US" w:eastAsia="zh-CN"/>
        </w:rPr>
        <w:t>局部修订</w:t>
      </w:r>
      <w:r>
        <w:rPr>
          <w:rFonts w:hint="eastAsia"/>
          <w:b w:val="0"/>
          <w:bCs w:val="0"/>
          <w:color w:val="auto"/>
          <w:highlight w:val="none"/>
          <w:lang w:val="en-US" w:eastAsia="zh-CN"/>
        </w:rPr>
        <w:t>本</w:t>
      </w:r>
      <w:r>
        <w:rPr>
          <w:rFonts w:hint="eastAsia"/>
          <w:b w:val="0"/>
          <w:bCs w:val="0"/>
          <w:color w:val="auto"/>
          <w:highlight w:val="none"/>
          <w:lang w:val="en-US" w:eastAsia="zh"/>
          <w:woUserID w:val="1"/>
        </w:rPr>
        <w:t>标准</w:t>
      </w:r>
      <w:r>
        <w:rPr>
          <w:rFonts w:hint="eastAsia"/>
          <w:b w:val="0"/>
          <w:bCs w:val="0"/>
          <w:color w:val="auto"/>
          <w:highlight w:val="none"/>
          <w:lang w:val="en-US" w:eastAsia="zh-CN"/>
        </w:rPr>
        <w:t>。</w:t>
      </w:r>
    </w:p>
    <w:p w14:paraId="1EFA41DC">
      <w:pPr>
        <w:numPr>
          <w:ilvl w:val="0"/>
          <w:numId w:val="0"/>
        </w:numPr>
        <w:ind w:firstLine="420" w:firstLineChars="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此次局部修订工作，主要内容包括：</w:t>
      </w:r>
    </w:p>
    <w:p w14:paraId="5E27795E">
      <w:pPr>
        <w:numPr>
          <w:ilvl w:val="0"/>
          <w:numId w:val="0"/>
        </w:numPr>
        <w:ind w:firstLine="420" w:firstLineChars="200"/>
        <w:outlineLvl w:val="0"/>
        <w:rPr>
          <w:rFonts w:hint="eastAsia"/>
          <w:b w:val="0"/>
          <w:bCs w:val="0"/>
          <w:color w:val="auto"/>
          <w:sz w:val="21"/>
          <w:szCs w:val="21"/>
          <w:highlight w:val="none"/>
          <w:lang w:val="en-US" w:eastAsia="zh-CN"/>
        </w:rPr>
      </w:pPr>
      <w:bookmarkStart w:id="12" w:name="_Toc2396"/>
      <w:bookmarkStart w:id="13" w:name="_Toc27898"/>
      <w:bookmarkStart w:id="14" w:name="_Toc21878"/>
      <w:r>
        <w:rPr>
          <w:rFonts w:hint="eastAsia"/>
          <w:b w:val="0"/>
          <w:bCs w:val="0"/>
          <w:color w:val="auto"/>
          <w:sz w:val="21"/>
          <w:szCs w:val="21"/>
          <w:highlight w:val="none"/>
          <w:lang w:val="en-US" w:eastAsia="zh-CN"/>
        </w:rPr>
        <w:t>1.标准名称拟修改为《</w:t>
      </w:r>
      <w:r>
        <w:rPr>
          <w:rFonts w:hint="default"/>
          <w:b w:val="0"/>
          <w:bCs w:val="0"/>
          <w:color w:val="auto"/>
          <w:sz w:val="21"/>
          <w:szCs w:val="21"/>
          <w:highlight w:val="none"/>
          <w:lang w:eastAsia="zh-CN"/>
        </w:rPr>
        <w:t>四川省老年人照料设施建筑设计标准</w:t>
      </w:r>
      <w:r>
        <w:rPr>
          <w:rFonts w:hint="eastAsia"/>
          <w:b w:val="0"/>
          <w:bCs w:val="0"/>
          <w:color w:val="auto"/>
          <w:sz w:val="21"/>
          <w:szCs w:val="21"/>
          <w:highlight w:val="none"/>
          <w:lang w:val="en-US" w:eastAsia="zh-CN"/>
        </w:rPr>
        <w:t>》</w:t>
      </w:r>
      <w:r>
        <w:rPr>
          <w:rFonts w:hint="eastAsia"/>
          <w:b w:val="0"/>
          <w:bCs w:val="0"/>
          <w:color w:val="auto"/>
          <w:sz w:val="21"/>
          <w:szCs w:val="21"/>
          <w:highlight w:val="none"/>
          <w:lang w:val="en-US" w:eastAsia="zh"/>
          <w:woUserID w:val="1"/>
        </w:rPr>
        <w:t>，原《四川省养老院建筑设计规范》DBJ51/052-2015同时废止</w:t>
      </w:r>
      <w:r>
        <w:rPr>
          <w:rFonts w:hint="eastAsia"/>
          <w:b w:val="0"/>
          <w:bCs w:val="0"/>
          <w:color w:val="auto"/>
          <w:sz w:val="21"/>
          <w:szCs w:val="21"/>
          <w:highlight w:val="none"/>
          <w:lang w:val="en-US" w:eastAsia="zh-CN"/>
        </w:rPr>
        <w:t>。</w:t>
      </w:r>
      <w:bookmarkEnd w:id="12"/>
      <w:bookmarkEnd w:id="13"/>
      <w:bookmarkEnd w:id="14"/>
    </w:p>
    <w:p w14:paraId="1EAE3C6E">
      <w:pPr>
        <w:numPr>
          <w:ilvl w:val="0"/>
          <w:numId w:val="0"/>
        </w:numPr>
        <w:ind w:firstLine="420" w:firstLineChars="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2.明确标准适用范围，增加改扩建内容。</w:t>
      </w:r>
    </w:p>
    <w:p w14:paraId="0D6D4E2C">
      <w:pPr>
        <w:numPr>
          <w:ilvl w:val="0"/>
          <w:numId w:val="0"/>
        </w:numPr>
        <w:ind w:firstLine="420" w:firstLineChars="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3.梳理与新颁布国家规范不一致的部分，并适应</w:t>
      </w:r>
      <w:r>
        <w:rPr>
          <w:rFonts w:hint="eastAsia"/>
          <w:b w:val="0"/>
          <w:bCs w:val="0"/>
          <w:color w:val="auto"/>
          <w:sz w:val="21"/>
          <w:szCs w:val="21"/>
          <w:highlight w:val="none"/>
          <w:lang w:val="en-US" w:eastAsia="zh"/>
        </w:rPr>
        <w:t>老年人照料设施</w:t>
      </w:r>
      <w:r>
        <w:rPr>
          <w:rFonts w:hint="eastAsia"/>
          <w:b w:val="0"/>
          <w:bCs w:val="0"/>
          <w:color w:val="auto"/>
          <w:sz w:val="21"/>
          <w:szCs w:val="21"/>
          <w:highlight w:val="none"/>
          <w:lang w:val="en-US" w:eastAsia="zh-CN"/>
        </w:rPr>
        <w:t>发展现状。</w:t>
      </w:r>
    </w:p>
    <w:p w14:paraId="25FC6036">
      <w:pPr>
        <w:numPr>
          <w:ilvl w:val="0"/>
          <w:numId w:val="0"/>
        </w:numPr>
        <w:ind w:firstLine="420" w:firstLineChars="200"/>
        <w:outlineLvl w:val="0"/>
        <w:rPr>
          <w:rFonts w:hint="eastAsia"/>
          <w:b w:val="0"/>
          <w:bCs w:val="0"/>
          <w:color w:val="auto"/>
          <w:sz w:val="21"/>
          <w:szCs w:val="21"/>
          <w:highlight w:val="none"/>
          <w:lang w:val="en-US" w:eastAsia="zh-CN"/>
        </w:rPr>
      </w:pPr>
      <w:bookmarkStart w:id="15" w:name="_Toc5814"/>
      <w:bookmarkStart w:id="16" w:name="_Toc20927"/>
      <w:bookmarkStart w:id="17" w:name="_Toc2420"/>
      <w:r>
        <w:rPr>
          <w:rFonts w:hint="eastAsia"/>
          <w:b w:val="0"/>
          <w:bCs w:val="0"/>
          <w:color w:val="auto"/>
          <w:sz w:val="21"/>
          <w:szCs w:val="21"/>
          <w:highlight w:val="none"/>
          <w:lang w:val="en-US" w:eastAsia="zh-CN"/>
        </w:rPr>
        <w:t>4.增加标志标识相关章节。</w:t>
      </w:r>
      <w:bookmarkEnd w:id="15"/>
      <w:bookmarkEnd w:id="16"/>
      <w:bookmarkEnd w:id="17"/>
    </w:p>
    <w:p w14:paraId="3D45E411">
      <w:pPr>
        <w:numPr>
          <w:ilvl w:val="0"/>
          <w:numId w:val="0"/>
        </w:numPr>
        <w:ind w:firstLine="420" w:firstLineChars="200"/>
        <w:rPr>
          <w:rFonts w:hint="eastAsia"/>
          <w:color w:val="auto"/>
          <w:highlight w:val="none"/>
          <w:lang w:val="en-US" w:eastAsia="zh-CN"/>
        </w:rPr>
      </w:pPr>
      <w:r>
        <w:rPr>
          <w:rFonts w:hint="eastAsia"/>
          <w:b w:val="0"/>
          <w:bCs w:val="0"/>
          <w:color w:val="auto"/>
          <w:highlight w:val="none"/>
          <w:lang w:val="en-US" w:eastAsia="zh-CN"/>
        </w:rPr>
        <w:t>本</w:t>
      </w:r>
      <w:r>
        <w:rPr>
          <w:rFonts w:hint="eastAsia"/>
          <w:b w:val="0"/>
          <w:bCs w:val="0"/>
          <w:color w:val="auto"/>
          <w:sz w:val="21"/>
          <w:szCs w:val="21"/>
          <w:highlight w:val="none"/>
          <w:lang w:val="en-US" w:eastAsia="zh-CN"/>
        </w:rPr>
        <w:t>标准</w:t>
      </w:r>
      <w:r>
        <w:rPr>
          <w:rFonts w:hint="eastAsia"/>
          <w:b w:val="0"/>
          <w:bCs w:val="0"/>
          <w:color w:val="auto"/>
          <w:highlight w:val="none"/>
          <w:lang w:val="en-US" w:eastAsia="zh-CN"/>
        </w:rPr>
        <w:t>由四川省住房和城乡建设厅负责管理，四川省建筑设计研究院有限公司负责具体技术内容的解释。请各单位在执行过程中，结合工程实践，总结经验。如有意见和建议，请寄至四川省建筑设计研究院有限公司《</w:t>
      </w:r>
      <w:r>
        <w:rPr>
          <w:rFonts w:hint="default"/>
          <w:b w:val="0"/>
          <w:bCs w:val="0"/>
          <w:color w:val="auto"/>
          <w:highlight w:val="none"/>
          <w:lang w:eastAsia="zh-CN"/>
        </w:rPr>
        <w:t>四川省老年人照料设施建筑设计标准</w:t>
      </w:r>
      <w:r>
        <w:rPr>
          <w:rFonts w:hint="eastAsia"/>
          <w:b w:val="0"/>
          <w:bCs w:val="0"/>
          <w:color w:val="auto"/>
          <w:highlight w:val="none"/>
          <w:lang w:val="en-US" w:eastAsia="zh-CN"/>
        </w:rPr>
        <w:t>》</w:t>
      </w:r>
      <w:r>
        <w:rPr>
          <w:rFonts w:hint="eastAsia"/>
          <w:color w:val="auto"/>
          <w:highlight w:val="none"/>
          <w:lang w:val="en-US" w:eastAsia="zh-CN"/>
        </w:rPr>
        <w:t>编制组</w:t>
      </w:r>
      <w:r>
        <w:rPr>
          <w:rFonts w:hint="eastAsia"/>
          <w:color w:val="auto"/>
          <w:highlight w:val="none"/>
          <w:lang w:val="en-US" w:eastAsia="zh"/>
          <w:woUserID w:val="1"/>
        </w:rPr>
        <w:t>（地址：成都市高新区天府大道中段688号（大源国际中心）1栋15楼</w:t>
      </w:r>
      <w:r>
        <w:rPr>
          <w:rFonts w:hint="eastAsia"/>
          <w:color w:val="auto"/>
          <w:highlight w:val="none"/>
          <w:lang w:val="en-US" w:eastAsia="zh-CN"/>
        </w:rPr>
        <w:t>，</w:t>
      </w:r>
      <w:r>
        <w:rPr>
          <w:rFonts w:hint="eastAsia"/>
          <w:color w:val="auto"/>
          <w:highlight w:val="none"/>
          <w:lang w:val="en-US" w:eastAsia="zh"/>
          <w:woUserID w:val="1"/>
        </w:rPr>
        <w:t>邮政编码</w:t>
      </w:r>
      <w:r>
        <w:rPr>
          <w:rFonts w:hint="eastAsia"/>
          <w:color w:val="auto"/>
          <w:highlight w:val="none"/>
          <w:lang w:val="en-US" w:eastAsia="zh-CN"/>
        </w:rPr>
        <w:t>：610000）。</w:t>
      </w:r>
    </w:p>
    <w:p w14:paraId="7B03A125">
      <w:pPr>
        <w:numPr>
          <w:ilvl w:val="0"/>
          <w:numId w:val="0"/>
        </w:numPr>
        <w:ind w:firstLine="420" w:firstLineChars="200"/>
        <w:rPr>
          <w:rFonts w:hint="default"/>
          <w:b w:val="0"/>
          <w:bCs w:val="0"/>
          <w:color w:val="auto"/>
          <w:highlight w:val="none"/>
          <w:lang w:val="en-US" w:eastAsia="zh-CN"/>
        </w:rPr>
      </w:pPr>
      <w:r>
        <w:rPr>
          <w:rFonts w:hint="eastAsia"/>
          <w:color w:val="auto"/>
          <w:highlight w:val="none"/>
          <w:lang w:val="en-US" w:eastAsia="zh-CN"/>
        </w:rPr>
        <w:t>本</w:t>
      </w:r>
      <w:r>
        <w:rPr>
          <w:rFonts w:hint="eastAsia"/>
          <w:color w:val="auto"/>
          <w:highlight w:val="none"/>
          <w:lang w:val="en-US" w:eastAsia="zh"/>
          <w:woUserID w:val="1"/>
        </w:rPr>
        <w:t>标准</w:t>
      </w:r>
      <w:r>
        <w:rPr>
          <w:rFonts w:hint="eastAsia"/>
          <w:color w:val="auto"/>
          <w:highlight w:val="none"/>
          <w:lang w:val="en-US" w:eastAsia="zh-CN"/>
        </w:rPr>
        <w:t>主编单位 ：</w:t>
      </w:r>
      <w:r>
        <w:rPr>
          <w:rFonts w:hint="eastAsia"/>
          <w:b w:val="0"/>
          <w:bCs w:val="0"/>
          <w:color w:val="auto"/>
          <w:highlight w:val="none"/>
          <w:lang w:val="en-US" w:eastAsia="zh-CN"/>
        </w:rPr>
        <w:t xml:space="preserve"> 四川省建筑设计研究院有限公司</w:t>
      </w:r>
    </w:p>
    <w:p w14:paraId="7CD91702">
      <w:pPr>
        <w:numPr>
          <w:ilvl w:val="0"/>
          <w:numId w:val="0"/>
        </w:numPr>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本</w:t>
      </w:r>
      <w:r>
        <w:rPr>
          <w:rFonts w:hint="eastAsia"/>
          <w:b w:val="0"/>
          <w:bCs w:val="0"/>
          <w:color w:val="auto"/>
          <w:highlight w:val="none"/>
          <w:lang w:val="en-US" w:eastAsia="zh"/>
          <w:woUserID w:val="1"/>
        </w:rPr>
        <w:t>标准</w:t>
      </w:r>
      <w:r>
        <w:rPr>
          <w:rFonts w:hint="eastAsia"/>
          <w:b w:val="0"/>
          <w:bCs w:val="0"/>
          <w:color w:val="auto"/>
          <w:highlight w:val="none"/>
          <w:lang w:val="en-US" w:eastAsia="zh-CN"/>
        </w:rPr>
        <w:t>参编单位 ： 成都市第一社会福利院</w:t>
      </w:r>
    </w:p>
    <w:p w14:paraId="71DABDE2">
      <w:pPr>
        <w:numPr>
          <w:ilvl w:val="0"/>
          <w:numId w:val="0"/>
        </w:numPr>
        <w:ind w:firstLine="2310" w:firstLineChars="1100"/>
        <w:rPr>
          <w:rFonts w:hint="eastAsia"/>
          <w:b w:val="0"/>
          <w:bCs w:val="0"/>
          <w:color w:val="auto"/>
          <w:highlight w:val="none"/>
          <w:lang w:val="en-US" w:eastAsia="zh-CN"/>
        </w:rPr>
      </w:pPr>
      <w:r>
        <w:rPr>
          <w:rFonts w:hint="eastAsia"/>
          <w:b w:val="0"/>
          <w:bCs w:val="0"/>
          <w:color w:val="auto"/>
          <w:highlight w:val="none"/>
          <w:lang w:val="en-US" w:eastAsia="zh-CN"/>
        </w:rPr>
        <w:t>中国建筑西南设计研究院有限公司</w:t>
      </w:r>
    </w:p>
    <w:p w14:paraId="6DB7A0DC">
      <w:pPr>
        <w:ind w:firstLine="2310" w:firstLineChars="1100"/>
        <w:rPr>
          <w:rFonts w:hint="eastAsia"/>
          <w:b w:val="0"/>
          <w:bCs w:val="0"/>
          <w:color w:val="auto"/>
          <w:highlight w:val="none"/>
          <w:lang w:val="en-US" w:eastAsia="zh-CN"/>
        </w:rPr>
      </w:pPr>
      <w:r>
        <w:rPr>
          <w:rFonts w:hint="eastAsia"/>
          <w:b w:val="0"/>
          <w:bCs w:val="0"/>
          <w:color w:val="auto"/>
          <w:sz w:val="21"/>
          <w:szCs w:val="21"/>
          <w:highlight w:val="none"/>
          <w:lang w:val="en-US" w:eastAsia="zh-CN"/>
        </w:rPr>
        <w:t>四川省养老服务中心</w:t>
      </w:r>
    </w:p>
    <w:p w14:paraId="627A45C2">
      <w:pPr>
        <w:numPr>
          <w:ilvl w:val="0"/>
          <w:numId w:val="0"/>
        </w:numPr>
        <w:rPr>
          <w:rFonts w:hint="eastAsia"/>
          <w:b w:val="0"/>
          <w:bCs w:val="0"/>
          <w:color w:val="auto"/>
          <w:highlight w:val="none"/>
          <w:lang w:val="en-US" w:eastAsia="zh-CN"/>
        </w:rPr>
      </w:pPr>
      <w:r>
        <w:rPr>
          <w:rFonts w:hint="eastAsia"/>
          <w:color w:val="auto"/>
          <w:highlight w:val="none"/>
          <w:lang w:val="en-US" w:eastAsia="zh-CN"/>
        </w:rPr>
        <w:t xml:space="preserve">    </w:t>
      </w:r>
      <w:r>
        <w:rPr>
          <w:rFonts w:hint="eastAsia"/>
          <w:b w:val="0"/>
          <w:bCs w:val="0"/>
          <w:color w:val="auto"/>
          <w:highlight w:val="none"/>
          <w:lang w:val="en-US" w:eastAsia="zh-CN"/>
        </w:rPr>
        <w:t>本</w:t>
      </w:r>
      <w:r>
        <w:rPr>
          <w:rFonts w:hint="eastAsia"/>
          <w:b w:val="0"/>
          <w:bCs w:val="0"/>
          <w:color w:val="auto"/>
          <w:highlight w:val="none"/>
          <w:lang w:val="en-US" w:eastAsia="zh"/>
          <w:woUserID w:val="1"/>
        </w:rPr>
        <w:t>标准</w:t>
      </w:r>
      <w:r>
        <w:rPr>
          <w:rFonts w:hint="eastAsia"/>
          <w:color w:val="auto"/>
          <w:highlight w:val="none"/>
          <w:lang w:val="en-US" w:eastAsia="zh-CN"/>
        </w:rPr>
        <w:t>主要起草人员：</w:t>
      </w:r>
      <w:r>
        <w:rPr>
          <w:rFonts w:hint="eastAsia"/>
          <w:b w:val="0"/>
          <w:bCs w:val="0"/>
          <w:color w:val="auto"/>
          <w:highlight w:val="none"/>
          <w:lang w:val="en-US" w:eastAsia="zh-CN"/>
        </w:rPr>
        <w:t>涂  舸    贺  刚    梁  益</w:t>
      </w:r>
    </w:p>
    <w:p w14:paraId="14899D35">
      <w:pPr>
        <w:numPr>
          <w:ilvl w:val="0"/>
          <w:numId w:val="0"/>
        </w:numPr>
        <w:ind w:firstLine="2520" w:firstLineChars="1200"/>
        <w:rPr>
          <w:rFonts w:hint="eastAsia"/>
          <w:b w:val="0"/>
          <w:bCs w:val="0"/>
          <w:color w:val="auto"/>
          <w:highlight w:val="none"/>
          <w:lang w:val="en-US" w:eastAsia="zh-CN"/>
        </w:rPr>
      </w:pPr>
      <w:r>
        <w:rPr>
          <w:rFonts w:hint="eastAsia"/>
          <w:b w:val="0"/>
          <w:bCs w:val="0"/>
          <w:color w:val="auto"/>
          <w:highlight w:val="none"/>
          <w:lang w:val="en-US" w:eastAsia="zh-CN"/>
        </w:rPr>
        <w:t>王家良    邹秋生    胡  斌</w:t>
      </w:r>
    </w:p>
    <w:p w14:paraId="0BA602E9">
      <w:pPr>
        <w:ind w:firstLine="2520" w:firstLineChars="1200"/>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唐元旭    雷  蕾    惠巧研</w:t>
      </w:r>
    </w:p>
    <w:p w14:paraId="4C8ED169">
      <w:pPr>
        <w:ind w:firstLine="2520" w:firstLineChars="1200"/>
        <w:rPr>
          <w:rFonts w:hint="eastAsia"/>
          <w:b w:val="0"/>
          <w:bCs w:val="0"/>
          <w:color w:val="auto"/>
          <w:highlight w:val="none"/>
          <w:lang w:val="en-US" w:eastAsia="zh-CN"/>
        </w:rPr>
      </w:pPr>
      <w:r>
        <w:rPr>
          <w:rFonts w:hint="eastAsia"/>
          <w:b w:val="0"/>
          <w:bCs w:val="0"/>
          <w:color w:val="auto"/>
          <w:sz w:val="21"/>
          <w:szCs w:val="21"/>
          <w:highlight w:val="none"/>
          <w:lang w:val="en-US" w:eastAsia="zh-CN"/>
        </w:rPr>
        <w:t xml:space="preserve">黄  爽    梁  东    </w:t>
      </w:r>
      <w:r>
        <w:rPr>
          <w:rFonts w:hint="eastAsia"/>
          <w:b w:val="0"/>
          <w:bCs w:val="0"/>
          <w:color w:val="auto"/>
          <w:highlight w:val="none"/>
          <w:lang w:val="en-US" w:eastAsia="zh-CN"/>
        </w:rPr>
        <w:t xml:space="preserve">黄  平    </w:t>
      </w:r>
    </w:p>
    <w:p w14:paraId="77091795">
      <w:pPr>
        <w:ind w:firstLine="2520" w:firstLineChars="1200"/>
        <w:rPr>
          <w:rFonts w:hint="eastAsia"/>
          <w:b w:val="0"/>
          <w:bCs w:val="0"/>
          <w:color w:val="auto"/>
          <w:highlight w:val="none"/>
          <w:lang w:val="en-US" w:eastAsia="zh-CN"/>
        </w:rPr>
      </w:pPr>
      <w:r>
        <w:rPr>
          <w:rFonts w:hint="eastAsia"/>
          <w:b w:val="0"/>
          <w:bCs w:val="0"/>
          <w:color w:val="auto"/>
          <w:sz w:val="21"/>
          <w:szCs w:val="21"/>
          <w:highlight w:val="none"/>
          <w:lang w:val="en-US" w:eastAsia="zh-CN"/>
        </w:rPr>
        <w:t xml:space="preserve">熊泽祝    黄  亮    </w:t>
      </w:r>
      <w:r>
        <w:rPr>
          <w:rFonts w:hint="eastAsia"/>
          <w:b w:val="0"/>
          <w:bCs w:val="0"/>
          <w:color w:val="auto"/>
          <w:highlight w:val="none"/>
          <w:lang w:val="en-US" w:eastAsia="zh-CN"/>
        </w:rPr>
        <w:t xml:space="preserve">王祖勇    </w:t>
      </w:r>
    </w:p>
    <w:p w14:paraId="1C0D64C5">
      <w:pPr>
        <w:ind w:firstLine="2520" w:firstLineChars="1200"/>
        <w:rPr>
          <w:rFonts w:hint="eastAsia" w:eastAsiaTheme="minorEastAsia"/>
          <w:b w:val="0"/>
          <w:bCs w:val="0"/>
          <w:color w:val="auto"/>
          <w:highlight w:val="none"/>
          <w:lang w:val="en-US" w:eastAsia="zh"/>
          <w:woUserID w:val="4"/>
        </w:rPr>
      </w:pPr>
      <w:r>
        <w:rPr>
          <w:rFonts w:hint="eastAsia"/>
          <w:b w:val="0"/>
          <w:bCs w:val="0"/>
          <w:color w:val="auto"/>
          <w:highlight w:val="none"/>
          <w:lang w:val="en-US" w:eastAsia="zh-CN"/>
        </w:rPr>
        <w:t>陈  坤    雷胜利</w:t>
      </w:r>
      <w:r>
        <w:rPr>
          <w:rFonts w:hint="eastAsia"/>
          <w:b w:val="0"/>
          <w:bCs w:val="0"/>
          <w:color w:val="auto"/>
          <w:highlight w:val="none"/>
          <w:lang w:val="en-US" w:eastAsia="zh"/>
          <w:woUserID w:val="4"/>
        </w:rPr>
        <w:t xml:space="preserve">    廉成浩</w:t>
      </w:r>
    </w:p>
    <w:p w14:paraId="23FD69A8">
      <w:pPr>
        <w:numPr>
          <w:ilvl w:val="0"/>
          <w:numId w:val="0"/>
        </w:numPr>
        <w:ind w:firstLine="420" w:firstLineChars="200"/>
        <w:rPr>
          <w:rFonts w:hint="default"/>
          <w:b/>
          <w:bCs/>
          <w:color w:val="auto"/>
          <w:sz w:val="21"/>
          <w:szCs w:val="21"/>
          <w:highlight w:val="none"/>
          <w:lang w:val="en-US" w:eastAsia="zh-CN"/>
        </w:rPr>
      </w:pPr>
      <w:r>
        <w:rPr>
          <w:rFonts w:hint="eastAsia"/>
          <w:b w:val="0"/>
          <w:bCs w:val="0"/>
          <w:color w:val="auto"/>
          <w:highlight w:val="none"/>
          <w:lang w:val="en-US" w:eastAsia="zh-CN"/>
        </w:rPr>
        <w:t>本</w:t>
      </w:r>
      <w:r>
        <w:rPr>
          <w:rFonts w:hint="eastAsia"/>
          <w:b w:val="0"/>
          <w:bCs w:val="0"/>
          <w:color w:val="auto"/>
          <w:highlight w:val="none"/>
          <w:lang w:val="en-US" w:eastAsia="zh"/>
          <w:woUserID w:val="1"/>
        </w:rPr>
        <w:t>标准</w:t>
      </w:r>
      <w:r>
        <w:rPr>
          <w:rFonts w:hint="eastAsia"/>
          <w:color w:val="auto"/>
          <w:highlight w:val="none"/>
          <w:lang w:val="en-US" w:eastAsia="zh-CN"/>
        </w:rPr>
        <w:t>主要审查人员：</w:t>
      </w:r>
      <w:r>
        <w:rPr>
          <w:rFonts w:hint="eastAsia"/>
          <w:b/>
          <w:bCs/>
          <w:color w:val="auto"/>
          <w:sz w:val="21"/>
          <w:szCs w:val="21"/>
          <w:highlight w:val="none"/>
          <w:lang w:val="en-US" w:eastAsia="zh-CN"/>
        </w:rPr>
        <w:t>XXXXX</w:t>
      </w:r>
    </w:p>
    <w:p w14:paraId="0CB8CAA6">
      <w:pPr>
        <w:numPr>
          <w:ilvl w:val="0"/>
          <w:numId w:val="0"/>
        </w:numPr>
        <w:rPr>
          <w:rFonts w:hint="eastAsia"/>
          <w:color w:val="auto"/>
          <w:highlight w:val="none"/>
          <w:lang w:val="en-US" w:eastAsia="zh-CN"/>
        </w:rPr>
      </w:pPr>
    </w:p>
    <w:p w14:paraId="1C83327B">
      <w:pPr>
        <w:numPr>
          <w:ilvl w:val="0"/>
          <w:numId w:val="0"/>
        </w:numPr>
        <w:rPr>
          <w:rFonts w:hint="eastAsia"/>
          <w:color w:val="auto"/>
          <w:highlight w:val="none"/>
          <w:lang w:val="en-US" w:eastAsia="zh-CN"/>
        </w:rPr>
      </w:pPr>
    </w:p>
    <w:p w14:paraId="44628595">
      <w:pPr>
        <w:numPr>
          <w:ilvl w:val="0"/>
          <w:numId w:val="0"/>
        </w:numPr>
        <w:rPr>
          <w:rFonts w:hint="eastAsia"/>
          <w:color w:val="auto"/>
          <w:highlight w:val="none"/>
          <w:lang w:val="en-US" w:eastAsia="zh-CN"/>
        </w:rPr>
      </w:pPr>
    </w:p>
    <w:p w14:paraId="75B89951">
      <w:pPr>
        <w:numPr>
          <w:ilvl w:val="0"/>
          <w:numId w:val="0"/>
        </w:numPr>
        <w:rPr>
          <w:rFonts w:hint="eastAsia"/>
          <w:color w:val="auto"/>
          <w:highlight w:val="none"/>
          <w:lang w:val="en-US" w:eastAsia="zh-CN"/>
        </w:rPr>
      </w:pPr>
    </w:p>
    <w:p w14:paraId="2BC3B553">
      <w:pPr>
        <w:numPr>
          <w:ilvl w:val="0"/>
          <w:numId w:val="0"/>
        </w:numPr>
        <w:rPr>
          <w:rFonts w:hint="eastAsia"/>
          <w:color w:val="auto"/>
          <w:highlight w:val="none"/>
          <w:lang w:val="en-US" w:eastAsia="zh-CN"/>
        </w:rPr>
      </w:pPr>
    </w:p>
    <w:p w14:paraId="097FD6CE">
      <w:pPr>
        <w:numPr>
          <w:ilvl w:val="0"/>
          <w:numId w:val="0"/>
        </w:numPr>
        <w:rPr>
          <w:rFonts w:hint="eastAsia"/>
          <w:color w:val="auto"/>
          <w:highlight w:val="none"/>
          <w:lang w:val="en-US" w:eastAsia="zh-CN"/>
        </w:rPr>
      </w:pPr>
    </w:p>
    <w:p w14:paraId="1D3A4777">
      <w:pPr>
        <w:numPr>
          <w:ilvl w:val="0"/>
          <w:numId w:val="0"/>
        </w:numPr>
        <w:rPr>
          <w:rFonts w:hint="eastAsia"/>
          <w:color w:val="auto"/>
          <w:highlight w:val="none"/>
          <w:lang w:val="en-US" w:eastAsia="zh-CN"/>
        </w:rPr>
      </w:pPr>
    </w:p>
    <w:p w14:paraId="29F97A8C">
      <w:pPr>
        <w:numPr>
          <w:ilvl w:val="0"/>
          <w:numId w:val="0"/>
        </w:numPr>
        <w:rPr>
          <w:rFonts w:hint="eastAsia"/>
          <w:color w:val="auto"/>
          <w:highlight w:val="none"/>
          <w:lang w:val="en-US" w:eastAsia="zh-CN"/>
        </w:rPr>
      </w:pPr>
    </w:p>
    <w:p w14:paraId="3D83EC98">
      <w:pPr>
        <w:numPr>
          <w:ilvl w:val="0"/>
          <w:numId w:val="0"/>
        </w:numPr>
        <w:rPr>
          <w:rFonts w:hint="eastAsia"/>
          <w:color w:val="auto"/>
          <w:highlight w:val="none"/>
          <w:lang w:val="en-US" w:eastAsia="zh-CN"/>
        </w:rPr>
      </w:pPr>
    </w:p>
    <w:p w14:paraId="143F8F2A">
      <w:pPr>
        <w:numPr>
          <w:ilvl w:val="0"/>
          <w:numId w:val="0"/>
        </w:numPr>
        <w:rPr>
          <w:rFonts w:hint="eastAsia"/>
          <w:color w:val="auto"/>
          <w:highlight w:val="none"/>
          <w:lang w:val="en-US" w:eastAsia="zh-CN"/>
        </w:rPr>
      </w:pPr>
    </w:p>
    <w:p w14:paraId="290FFE63">
      <w:pPr>
        <w:numPr>
          <w:ilvl w:val="0"/>
          <w:numId w:val="0"/>
        </w:numPr>
        <w:rPr>
          <w:rFonts w:hint="eastAsia"/>
          <w:color w:val="auto"/>
          <w:highlight w:val="none"/>
          <w:lang w:val="en-US" w:eastAsia="zh-CN"/>
        </w:rPr>
      </w:pPr>
    </w:p>
    <w:p w14:paraId="6349260B">
      <w:pPr>
        <w:numPr>
          <w:ilvl w:val="0"/>
          <w:numId w:val="0"/>
        </w:numPr>
        <w:rPr>
          <w:rFonts w:hint="eastAsia"/>
          <w:color w:val="auto"/>
          <w:highlight w:val="none"/>
          <w:lang w:val="en-US" w:eastAsia="zh-CN"/>
        </w:rPr>
      </w:pPr>
    </w:p>
    <w:p w14:paraId="546CFD75">
      <w:pPr>
        <w:numPr>
          <w:ilvl w:val="0"/>
          <w:numId w:val="0"/>
        </w:numPr>
        <w:rPr>
          <w:rFonts w:hint="eastAsia"/>
          <w:color w:val="auto"/>
          <w:highlight w:val="none"/>
          <w:lang w:val="en-US" w:eastAsia="zh-CN"/>
        </w:rPr>
      </w:pPr>
    </w:p>
    <w:p w14:paraId="1720672E">
      <w:pPr>
        <w:numPr>
          <w:ilvl w:val="0"/>
          <w:numId w:val="0"/>
        </w:numPr>
        <w:rPr>
          <w:rFonts w:hint="eastAsia"/>
          <w:color w:val="auto"/>
          <w:highlight w:val="none"/>
          <w:lang w:val="en-US" w:eastAsia="zh-CN"/>
        </w:rPr>
      </w:pPr>
    </w:p>
    <w:p w14:paraId="2FBB4809">
      <w:pPr>
        <w:numPr>
          <w:ilvl w:val="0"/>
          <w:numId w:val="0"/>
        </w:numPr>
        <w:jc w:val="center"/>
        <w:outlineLvl w:val="9"/>
        <w:rPr>
          <w:rFonts w:hint="eastAsia" w:eastAsia="黑体"/>
          <w:b/>
          <w:color w:val="auto"/>
          <w:sz w:val="32"/>
          <w:szCs w:val="32"/>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E2AEB29">
      <w:pPr>
        <w:numPr>
          <w:ilvl w:val="0"/>
          <w:numId w:val="0"/>
        </w:numPr>
        <w:jc w:val="center"/>
        <w:outlineLvl w:val="1"/>
        <w:rPr>
          <w:rFonts w:hint="eastAsia" w:eastAsia="黑体"/>
          <w:color w:val="auto"/>
          <w:highlight w:val="none"/>
          <w:lang w:val="en-US" w:eastAsia="zh-CN"/>
        </w:rPr>
      </w:pPr>
      <w:bookmarkStart w:id="18" w:name="_Toc13978"/>
      <w:bookmarkStart w:id="19" w:name="_Toc28799"/>
      <w:r>
        <w:rPr>
          <w:rFonts w:hint="eastAsia" w:eastAsia="黑体"/>
          <w:b/>
          <w:color w:val="auto"/>
          <w:sz w:val="32"/>
          <w:szCs w:val="32"/>
          <w:highlight w:val="none"/>
        </w:rPr>
        <w:t xml:space="preserve">目   </w:t>
      </w:r>
      <w:r>
        <w:rPr>
          <w:rFonts w:hint="eastAsia" w:eastAsia="黑体"/>
          <w:b/>
          <w:color w:val="auto"/>
          <w:sz w:val="32"/>
          <w:szCs w:val="32"/>
          <w:highlight w:val="none"/>
          <w:lang w:val="en-US" w:eastAsia="zh-CN"/>
        </w:rPr>
        <w:t>次</w:t>
      </w:r>
      <w:bookmarkEnd w:id="18"/>
      <w:bookmarkEnd w:id="19"/>
    </w:p>
    <w:sdt>
      <w:sdtPr>
        <w:rPr>
          <w:rFonts w:ascii="宋体" w:hAnsi="宋体" w:eastAsia="宋体" w:cstheme="minorBidi"/>
          <w:color w:val="auto"/>
          <w:kern w:val="2"/>
          <w:sz w:val="21"/>
          <w:szCs w:val="24"/>
          <w:highlight w:val="none"/>
          <w:lang w:val="en-US" w:eastAsia="zh-CN" w:bidi="ar-SA"/>
        </w:rPr>
        <w:id w:val="147472089"/>
        <w:showingPlcHdr/>
        <w15:color w:val="DBDBDB"/>
        <w:docPartObj>
          <w:docPartGallery w:val="Table of Contents"/>
          <w:docPartUnique/>
        </w:docPartObj>
      </w:sdtPr>
      <w:sdtEndPr>
        <w:rPr>
          <w:rFonts w:hint="default" w:asciiTheme="minorHAnsi" w:hAnsiTheme="minorHAnsi" w:eastAsiaTheme="minorEastAsia" w:cstheme="minorBidi"/>
          <w:b/>
          <w:color w:val="auto"/>
          <w:kern w:val="2"/>
          <w:sz w:val="21"/>
          <w:szCs w:val="24"/>
          <w:highlight w:val="none"/>
          <w:lang w:val="en-US" w:eastAsia="zh-CN" w:bidi="ar-SA"/>
        </w:rPr>
      </w:sdtEndPr>
      <w:sdtContent>
        <w:p w14:paraId="66734FC3">
          <w:pPr>
            <w:numPr>
              <w:ilvl w:val="0"/>
              <w:numId w:val="0"/>
            </w:numPr>
            <w:rPr>
              <w:rFonts w:hint="default"/>
              <w:color w:val="auto"/>
              <w:highlight w:val="none"/>
              <w:lang w:val="en-US" w:eastAsia="zh-CN"/>
            </w:rPr>
          </w:pPr>
          <w:r>
            <w:rPr>
              <w:rFonts w:hint="eastAsia" w:ascii="宋体" w:hAnsi="宋体" w:eastAsia="宋体" w:cstheme="minorBidi"/>
              <w:color w:val="auto"/>
              <w:kern w:val="2"/>
              <w:sz w:val="21"/>
              <w:szCs w:val="24"/>
              <w:highlight w:val="none"/>
              <w:lang w:val="en-US" w:eastAsia="zh-CN" w:bidi="ar-SA"/>
            </w:rPr>
            <w:t xml:space="preserve">     </w:t>
          </w:r>
        </w:p>
      </w:sdtContent>
    </w:sdt>
    <w:sdt>
      <w:sdtPr>
        <w:rPr>
          <w:rFonts w:ascii="宋体" w:hAnsi="宋体" w:eastAsia="宋体" w:cstheme="minorBidi"/>
          <w:color w:val="auto"/>
          <w:kern w:val="2"/>
          <w:sz w:val="21"/>
          <w:szCs w:val="24"/>
          <w:highlight w:val="none"/>
          <w:lang w:val="en-US" w:eastAsia="zh-CN" w:bidi="ar-SA"/>
        </w:rPr>
        <w:id w:val="147482221"/>
        <w15:color w:val="DBDBDB"/>
        <w:docPartObj>
          <w:docPartGallery w:val="Table of Contents"/>
          <w:docPartUnique/>
        </w:docPartObj>
      </w:sdtPr>
      <w:sdtEndPr>
        <w:rPr>
          <w:rFonts w:hint="default" w:asciiTheme="minorHAnsi" w:hAnsiTheme="minorHAnsi" w:eastAsiaTheme="minorEastAsia" w:cstheme="minorBidi"/>
          <w:color w:val="auto"/>
          <w:kern w:val="2"/>
          <w:sz w:val="21"/>
          <w:szCs w:val="24"/>
          <w:highlight w:val="none"/>
          <w:lang w:val="en-US" w:eastAsia="zh-CN" w:bidi="ar-SA"/>
        </w:rPr>
      </w:sdtEndPr>
      <w:sdtContent>
        <w:p w14:paraId="73330D90">
          <w:pPr>
            <w:spacing w:before="0" w:beforeLines="0" w:after="0" w:afterLines="0" w:line="240" w:lineRule="auto"/>
            <w:ind w:left="0" w:leftChars="0" w:right="0" w:rightChars="0" w:firstLine="0" w:firstLineChars="0"/>
            <w:jc w:val="center"/>
            <w:rPr>
              <w:color w:val="auto"/>
              <w:highlight w:val="none"/>
            </w:rPr>
          </w:pPr>
          <w:r>
            <w:rPr>
              <w:rFonts w:hint="default"/>
              <w:color w:val="auto"/>
              <w:highlight w:val="none"/>
              <w:lang w:val="en-US" w:eastAsia="zh-CN"/>
            </w:rPr>
            <w:fldChar w:fldCharType="begin"/>
          </w:r>
          <w:r>
            <w:rPr>
              <w:rFonts w:hint="default"/>
              <w:color w:val="auto"/>
              <w:highlight w:val="none"/>
              <w:lang w:val="en-US" w:eastAsia="zh-CN"/>
            </w:rPr>
            <w:instrText xml:space="preserve">TOC \o "1-1" \h \u </w:instrText>
          </w:r>
          <w:r>
            <w:rPr>
              <w:rFonts w:hint="default"/>
              <w:color w:val="auto"/>
              <w:highlight w:val="none"/>
              <w:lang w:val="en-US" w:eastAsia="zh-CN"/>
            </w:rPr>
            <w:fldChar w:fldCharType="separate"/>
          </w:r>
        </w:p>
        <w:p w14:paraId="6FAC5790">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_Toc24019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1 总  则</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_Toc24019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480731C2">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_Toc15453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2 术  语</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_Toc15453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18F3E8A6">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_Toc17055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3 基本规定</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_Toc17055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2</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6712C295">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_Toc2980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rPr>
            <w:t>4 总 平 面</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_Toc2980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3</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0DDE2049">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_Toc1318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5 建筑设计</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_Toc1318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4</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57B0C170">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_Toc23942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5.1 用房设置</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_Toc23942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4</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6F81F9BF">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_Toc12655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5.2 生活用房</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_Toc12655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6</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63AFEB7F">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_Toc1292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 xml:space="preserve">5.3 </w:t>
          </w:r>
          <w:r>
            <w:rPr>
              <w:rFonts w:hint="eastAsia" w:asciiTheme="minorEastAsia" w:hAnsiTheme="minorEastAsia" w:eastAsiaTheme="minorEastAsia" w:cstheme="minorEastAsia"/>
              <w:color w:val="auto"/>
              <w:sz w:val="20"/>
              <w:szCs w:val="20"/>
              <w:highlight w:val="none"/>
              <w:lang w:val="en-US" w:eastAsia="zh"/>
              <w:woUserID w:val="1"/>
            </w:rPr>
            <w:t>康复与医疗</w:t>
          </w:r>
          <w:r>
            <w:rPr>
              <w:rFonts w:hint="eastAsia" w:asciiTheme="minorEastAsia" w:hAnsiTheme="minorEastAsia" w:eastAsiaTheme="minorEastAsia" w:cstheme="minorEastAsia"/>
              <w:color w:val="auto"/>
              <w:sz w:val="20"/>
              <w:szCs w:val="20"/>
              <w:highlight w:val="none"/>
              <w:lang w:val="en-US" w:eastAsia="zh-CN"/>
            </w:rPr>
            <w:t>用房</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_Toc1292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8</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284E2DD0">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_Toc11357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 xml:space="preserve">5.4 </w:t>
          </w:r>
          <w:r>
            <w:rPr>
              <w:rFonts w:hint="eastAsia" w:asciiTheme="minorEastAsia" w:hAnsiTheme="minorEastAsia" w:eastAsiaTheme="minorEastAsia" w:cstheme="minorEastAsia"/>
              <w:color w:val="auto"/>
              <w:sz w:val="20"/>
              <w:szCs w:val="20"/>
              <w:highlight w:val="none"/>
              <w:lang w:val="en-US" w:eastAsia="zh"/>
              <w:woUserID w:val="1"/>
            </w:rPr>
            <w:t>文娱与健身</w:t>
          </w:r>
          <w:r>
            <w:rPr>
              <w:rFonts w:hint="eastAsia" w:asciiTheme="minorEastAsia" w:hAnsiTheme="minorEastAsia" w:eastAsiaTheme="minorEastAsia" w:cstheme="minorEastAsia"/>
              <w:color w:val="auto"/>
              <w:sz w:val="20"/>
              <w:szCs w:val="20"/>
              <w:highlight w:val="none"/>
              <w:lang w:val="en-US" w:eastAsia="zh-CN"/>
            </w:rPr>
            <w:t>用房</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_Toc11357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8</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50FC8159">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_Toc14624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5.5 管理服务用房</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_Toc14624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8</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62BC6E7F">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_Toc29710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5.6 安全措施</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_Toc29710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8</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3CA98869">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_Toc28318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5.7 标志标识</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_Toc28318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10</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0BD0BEE6">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_Toc30009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6 建筑结构</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_Toc30009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11</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10267435">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_Toc10632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7 建筑设备</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_Toc10632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11</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50A4A201">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_Toc28807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7.1 给水排水</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_Toc28807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11</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523E744D">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_Toc29499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7.2 暖通空调</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_Toc29499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13</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0F2F6169">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_Toc14688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7.3 建筑电气</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_Toc14688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13</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33A54A17">
          <w:pPr>
            <w:pStyle w:val="28"/>
            <w:tabs>
              <w:tab w:val="right" w:leader="dot" w:pos="8306"/>
            </w:tabs>
            <w:ind w:left="0" w:leftChars="0" w:firstLine="418" w:firstLineChars="2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_Toc15517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z w:val="20"/>
              <w:szCs w:val="20"/>
              <w:highlight w:val="none"/>
              <w:lang w:val="en-US" w:eastAsia="zh-CN"/>
            </w:rPr>
            <w:t>7.4 建筑智能化</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_Toc15517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14</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7312B46C">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_Toc24541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pacing w:val="15"/>
              <w:sz w:val="20"/>
              <w:szCs w:val="20"/>
              <w:highlight w:val="none"/>
            </w:rPr>
            <w:t>本</w:t>
          </w:r>
          <w:r>
            <w:rPr>
              <w:rFonts w:hint="eastAsia" w:asciiTheme="minorEastAsia" w:hAnsiTheme="minorEastAsia" w:eastAsiaTheme="minorEastAsia" w:cstheme="minorEastAsia"/>
              <w:color w:val="auto"/>
              <w:spacing w:val="15"/>
              <w:sz w:val="20"/>
              <w:szCs w:val="20"/>
              <w:highlight w:val="none"/>
              <w:lang w:eastAsia="zh"/>
              <w:woUserID w:val="1"/>
            </w:rPr>
            <w:t>标准</w:t>
          </w:r>
          <w:r>
            <w:rPr>
              <w:rFonts w:hint="eastAsia" w:asciiTheme="minorEastAsia" w:hAnsiTheme="minorEastAsia" w:eastAsiaTheme="minorEastAsia" w:cstheme="minorEastAsia"/>
              <w:color w:val="auto"/>
              <w:spacing w:val="15"/>
              <w:sz w:val="20"/>
              <w:szCs w:val="20"/>
              <w:highlight w:val="none"/>
            </w:rPr>
            <w:t>用词说明</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_Toc24541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15</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30F078E5">
          <w:pPr>
            <w:pStyle w:val="28"/>
            <w:tabs>
              <w:tab w:val="right" w:leader="dot" w:pos="8306"/>
            </w:tabs>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_Toc21650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color w:val="auto"/>
              <w:spacing w:val="15"/>
              <w:sz w:val="20"/>
              <w:szCs w:val="20"/>
              <w:highlight w:val="none"/>
              <w:lang w:val="en-US" w:eastAsia="zh-CN"/>
            </w:rPr>
            <w:t>引用标准目录</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_Toc21650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16</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04D0B236">
          <w:pPr>
            <w:pStyle w:val="28"/>
            <w:tabs>
              <w:tab w:val="right" w:leader="dot" w:pos="8306"/>
            </w:tabs>
            <w:rPr>
              <w:color w:val="auto"/>
              <w:highlight w:val="none"/>
            </w:rPr>
          </w:pPr>
          <w:r>
            <w:rPr>
              <w:rFonts w:hint="eastAsia" w:asciiTheme="minorEastAsia" w:hAnsiTheme="minorEastAsia" w:eastAsiaTheme="minorEastAsia" w:cstheme="minorEastAsia"/>
              <w:color w:val="auto"/>
              <w:sz w:val="20"/>
              <w:szCs w:val="20"/>
              <w:highlight w:val="none"/>
              <w:lang w:val="en-US" w:eastAsia="zh-CN"/>
            </w:rPr>
            <w:fldChar w:fldCharType="begin"/>
          </w:r>
          <w:r>
            <w:rPr>
              <w:rFonts w:hint="eastAsia" w:asciiTheme="minorEastAsia" w:hAnsiTheme="minorEastAsia" w:eastAsiaTheme="minorEastAsia" w:cstheme="minorEastAsia"/>
              <w:color w:val="auto"/>
              <w:sz w:val="20"/>
              <w:szCs w:val="20"/>
              <w:highlight w:val="none"/>
              <w:lang w:val="en-US" w:eastAsia="zh-CN"/>
            </w:rPr>
            <w:instrText xml:space="preserve"> HYPERLINK \l _Toc17019 </w:instrText>
          </w:r>
          <w:r>
            <w:rPr>
              <w:rFonts w:hint="eastAsia" w:asciiTheme="minorEastAsia" w:hAnsiTheme="minorEastAsia" w:eastAsiaTheme="minorEastAsia" w:cstheme="minorEastAsia"/>
              <w:color w:val="auto"/>
              <w:sz w:val="20"/>
              <w:szCs w:val="20"/>
              <w:highlight w:val="none"/>
              <w:lang w:val="en-US" w:eastAsia="zh-CN"/>
            </w:rPr>
            <w:fldChar w:fldCharType="separate"/>
          </w:r>
          <w:r>
            <w:rPr>
              <w:rFonts w:hint="eastAsia" w:asciiTheme="minorEastAsia" w:hAnsiTheme="minorEastAsia" w:eastAsiaTheme="minorEastAsia" w:cstheme="minorEastAsia"/>
              <w:b w:val="0"/>
              <w:bCs/>
              <w:color w:val="auto"/>
              <w:sz w:val="20"/>
              <w:szCs w:val="20"/>
              <w:highlight w:val="none"/>
              <w:lang w:val="en-US" w:eastAsia="zh-CN"/>
            </w:rPr>
            <w:t>附：条文说明</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PAGEREF _Toc17019 \h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0"/>
              <w:szCs w:val="20"/>
              <w:highlight w:val="none"/>
            </w:rPr>
            <w:t>18</w:t>
          </w:r>
          <w:r>
            <w:rPr>
              <w:rFonts w:hint="eastAsia" w:asciiTheme="minorEastAsia" w:hAnsiTheme="minorEastAsia" w:eastAsiaTheme="minorEastAsia" w:cstheme="minorEastAsia"/>
              <w:color w:val="auto"/>
              <w:sz w:val="20"/>
              <w:szCs w:val="20"/>
              <w:highlight w:val="none"/>
            </w:rPr>
            <w:fldChar w:fldCharType="end"/>
          </w:r>
          <w:r>
            <w:rPr>
              <w:rFonts w:hint="eastAsia" w:asciiTheme="minorEastAsia" w:hAnsiTheme="minorEastAsia" w:eastAsiaTheme="minorEastAsia" w:cstheme="minorEastAsia"/>
              <w:color w:val="auto"/>
              <w:sz w:val="20"/>
              <w:szCs w:val="20"/>
              <w:highlight w:val="none"/>
              <w:lang w:val="en-US" w:eastAsia="zh-CN"/>
            </w:rPr>
            <w:fldChar w:fldCharType="end"/>
          </w:r>
        </w:p>
        <w:p w14:paraId="436FB3CD">
          <w:pPr>
            <w:numPr>
              <w:ilvl w:val="0"/>
              <w:numId w:val="0"/>
            </w:numPr>
            <w:rPr>
              <w:rFonts w:hint="default" w:asciiTheme="minorHAnsi" w:hAnsiTheme="minorHAnsi" w:eastAsiaTheme="minorEastAsia" w:cstheme="minorBidi"/>
              <w:color w:val="auto"/>
              <w:kern w:val="2"/>
              <w:sz w:val="21"/>
              <w:szCs w:val="24"/>
              <w:highlight w:val="none"/>
              <w:lang w:val="en-US" w:eastAsia="zh-CN" w:bidi="ar-SA"/>
            </w:rPr>
          </w:pPr>
          <w:r>
            <w:rPr>
              <w:rFonts w:hint="default"/>
              <w:color w:val="auto"/>
              <w:highlight w:val="none"/>
              <w:lang w:val="en-US" w:eastAsia="zh-CN"/>
            </w:rPr>
            <w:fldChar w:fldCharType="end"/>
          </w:r>
        </w:p>
      </w:sdtContent>
    </w:sdt>
    <w:p w14:paraId="7C361BDC">
      <w:pPr>
        <w:numPr>
          <w:ilvl w:val="0"/>
          <w:numId w:val="0"/>
        </w:numPr>
        <w:rPr>
          <w:rFonts w:hint="default" w:asciiTheme="minorHAnsi" w:hAnsiTheme="minorHAnsi" w:eastAsiaTheme="minorEastAsia" w:cstheme="minorBidi"/>
          <w:color w:val="auto"/>
          <w:kern w:val="2"/>
          <w:sz w:val="21"/>
          <w:szCs w:val="24"/>
          <w:highlight w:val="none"/>
          <w:lang w:val="en-US" w:eastAsia="zh-CN" w:bidi="ar-SA"/>
        </w:rPr>
      </w:pPr>
    </w:p>
    <w:p w14:paraId="41265643">
      <w:pPr>
        <w:numPr>
          <w:ilvl w:val="0"/>
          <w:numId w:val="0"/>
        </w:numPr>
        <w:rPr>
          <w:rFonts w:hint="default"/>
          <w:color w:val="auto"/>
          <w:highlight w:val="none"/>
          <w:lang w:val="en-US" w:eastAsia="zh-CN"/>
        </w:rPr>
      </w:pPr>
    </w:p>
    <w:p w14:paraId="6AF3FD3E">
      <w:pPr>
        <w:numPr>
          <w:ilvl w:val="0"/>
          <w:numId w:val="0"/>
        </w:numPr>
        <w:rPr>
          <w:rFonts w:hint="default"/>
          <w:color w:val="auto"/>
          <w:highlight w:val="none"/>
          <w:lang w:val="en-US" w:eastAsia="zh-CN"/>
        </w:rPr>
      </w:pPr>
    </w:p>
    <w:p w14:paraId="2BFCD7C8">
      <w:pPr>
        <w:numPr>
          <w:ilvl w:val="0"/>
          <w:numId w:val="0"/>
        </w:numPr>
        <w:rPr>
          <w:rFonts w:hint="default"/>
          <w:color w:val="auto"/>
          <w:highlight w:val="none"/>
          <w:lang w:val="en-US" w:eastAsia="zh-CN"/>
        </w:rPr>
      </w:pPr>
    </w:p>
    <w:p w14:paraId="228CE289">
      <w:pPr>
        <w:numPr>
          <w:ilvl w:val="0"/>
          <w:numId w:val="0"/>
        </w:numPr>
        <w:rPr>
          <w:rFonts w:hint="default"/>
          <w:color w:val="auto"/>
          <w:highlight w:val="none"/>
          <w:lang w:val="en-US" w:eastAsia="zh-CN"/>
        </w:rPr>
      </w:pPr>
    </w:p>
    <w:p w14:paraId="62990A7D">
      <w:pPr>
        <w:numPr>
          <w:ilvl w:val="0"/>
          <w:numId w:val="0"/>
        </w:numPr>
        <w:rPr>
          <w:rFonts w:hint="default"/>
          <w:color w:val="auto"/>
          <w:highlight w:val="none"/>
          <w:lang w:val="en-US" w:eastAsia="zh-CN"/>
        </w:rPr>
      </w:pPr>
    </w:p>
    <w:p w14:paraId="6AC80204">
      <w:pPr>
        <w:numPr>
          <w:ilvl w:val="0"/>
          <w:numId w:val="0"/>
        </w:numPr>
        <w:rPr>
          <w:rFonts w:hint="default"/>
          <w:color w:val="auto"/>
          <w:highlight w:val="none"/>
          <w:lang w:val="en-US" w:eastAsia="zh-CN"/>
        </w:rPr>
      </w:pPr>
    </w:p>
    <w:p w14:paraId="545D99FC">
      <w:pPr>
        <w:numPr>
          <w:ilvl w:val="0"/>
          <w:numId w:val="0"/>
        </w:numPr>
        <w:rPr>
          <w:rFonts w:hint="default"/>
          <w:color w:val="auto"/>
          <w:highlight w:val="none"/>
          <w:lang w:val="en-US" w:eastAsia="zh-CN"/>
        </w:rPr>
      </w:pPr>
    </w:p>
    <w:p w14:paraId="19156D8E">
      <w:pPr>
        <w:numPr>
          <w:ilvl w:val="0"/>
          <w:numId w:val="0"/>
        </w:numPr>
        <w:rPr>
          <w:rFonts w:hint="default"/>
          <w:color w:val="auto"/>
          <w:highlight w:val="none"/>
          <w:lang w:val="en-US" w:eastAsia="zh-CN"/>
        </w:rPr>
      </w:pPr>
    </w:p>
    <w:p w14:paraId="4B3DD73D">
      <w:pPr>
        <w:numPr>
          <w:ilvl w:val="0"/>
          <w:numId w:val="0"/>
        </w:numPr>
        <w:rPr>
          <w:rFonts w:hint="default"/>
          <w:color w:val="auto"/>
          <w:highlight w:val="none"/>
          <w:lang w:val="en-US" w:eastAsia="zh-CN"/>
        </w:rPr>
      </w:pPr>
    </w:p>
    <w:p w14:paraId="623C54A3">
      <w:pPr>
        <w:numPr>
          <w:ilvl w:val="0"/>
          <w:numId w:val="0"/>
        </w:numPr>
        <w:rPr>
          <w:rFonts w:hint="default"/>
          <w:color w:val="auto"/>
          <w:highlight w:val="none"/>
          <w:lang w:val="en-US" w:eastAsia="zh-CN"/>
        </w:rPr>
      </w:pPr>
    </w:p>
    <w:p w14:paraId="7B2D94FB">
      <w:pPr>
        <w:numPr>
          <w:ilvl w:val="0"/>
          <w:numId w:val="0"/>
        </w:numPr>
        <w:rPr>
          <w:rFonts w:hint="default"/>
          <w:color w:val="auto"/>
          <w:highlight w:val="none"/>
          <w:lang w:val="en-US" w:eastAsia="zh-CN"/>
        </w:rPr>
      </w:pPr>
    </w:p>
    <w:p w14:paraId="5275BDA4">
      <w:pPr>
        <w:numPr>
          <w:ilvl w:val="0"/>
          <w:numId w:val="0"/>
        </w:numPr>
        <w:rPr>
          <w:rFonts w:hint="default"/>
          <w:color w:val="auto"/>
          <w:highlight w:val="none"/>
          <w:lang w:val="en-US" w:eastAsia="zh-CN"/>
        </w:rPr>
      </w:pPr>
    </w:p>
    <w:p w14:paraId="09C8C80A">
      <w:pPr>
        <w:numPr>
          <w:ilvl w:val="0"/>
          <w:numId w:val="0"/>
        </w:numPr>
        <w:rPr>
          <w:rFonts w:hint="default"/>
          <w:color w:val="auto"/>
          <w:highlight w:val="none"/>
          <w:lang w:val="en-US" w:eastAsia="zh-CN"/>
        </w:rPr>
      </w:pPr>
    </w:p>
    <w:p w14:paraId="51A635E1">
      <w:pPr>
        <w:numPr>
          <w:ilvl w:val="0"/>
          <w:numId w:val="0"/>
        </w:numPr>
        <w:ind w:leftChars="0"/>
        <w:jc w:val="both"/>
        <w:outlineLvl w:val="9"/>
        <w:rPr>
          <w:rStyle w:val="19"/>
          <w:rFonts w:hint="default" w:ascii="Times New Roman" w:hAnsi="Times New Roman" w:eastAsia="宋体" w:cs="Times New Roman"/>
          <w:color w:val="auto"/>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722F45B">
      <w:pPr>
        <w:numPr>
          <w:ilvl w:val="0"/>
          <w:numId w:val="2"/>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20" w:name="_Toc23303"/>
      <w:bookmarkStart w:id="21" w:name="_Toc24019"/>
      <w:bookmarkStart w:id="22" w:name="_Toc13787"/>
      <w:r>
        <w:rPr>
          <w:rStyle w:val="19"/>
          <w:rFonts w:hint="default" w:ascii="Times New Roman" w:hAnsi="Times New Roman" w:eastAsia="宋体" w:cs="Times New Roman"/>
          <w:color w:val="auto"/>
          <w:highlight w:val="none"/>
          <w:lang w:val="en-US" w:eastAsia="zh-CN"/>
        </w:rPr>
        <w:t>总</w:t>
      </w:r>
      <w:r>
        <w:rPr>
          <w:rStyle w:val="19"/>
          <w:rFonts w:hint="eastAsia" w:ascii="Times New Roman" w:hAnsi="Times New Roman" w:eastAsia="宋体" w:cs="Times New Roman"/>
          <w:color w:val="auto"/>
          <w:highlight w:val="none"/>
          <w:lang w:val="en-US" w:eastAsia="zh-CN"/>
        </w:rPr>
        <w:t xml:space="preserve">  </w:t>
      </w:r>
      <w:r>
        <w:rPr>
          <w:rStyle w:val="19"/>
          <w:rFonts w:hint="default" w:ascii="Times New Roman" w:hAnsi="Times New Roman" w:eastAsia="宋体" w:cs="Times New Roman"/>
          <w:color w:val="auto"/>
          <w:highlight w:val="none"/>
          <w:lang w:val="en-US" w:eastAsia="zh-CN"/>
        </w:rPr>
        <w:t>则</w:t>
      </w:r>
      <w:bookmarkEnd w:id="20"/>
      <w:bookmarkEnd w:id="21"/>
      <w:bookmarkEnd w:id="22"/>
    </w:p>
    <w:p w14:paraId="1004396F">
      <w:pPr>
        <w:numPr>
          <w:ilvl w:val="0"/>
          <w:numId w:val="0"/>
        </w:numPr>
        <w:jc w:val="center"/>
        <w:rPr>
          <w:rStyle w:val="19"/>
          <w:rFonts w:hint="default" w:ascii="Times New Roman" w:hAnsi="Times New Roman" w:eastAsia="宋体" w:cs="Times New Roman"/>
          <w:color w:val="auto"/>
          <w:highlight w:val="none"/>
          <w:lang w:val="en-US" w:eastAsia="zh-CN"/>
        </w:rPr>
      </w:pPr>
    </w:p>
    <w:p w14:paraId="17DB9C01">
      <w:pPr>
        <w:numPr>
          <w:ilvl w:val="2"/>
          <w:numId w:val="3"/>
        </w:numPr>
        <w:ind w:left="7" w:leftChars="0" w:hanging="7" w:firstLineChars="0"/>
        <w:rPr>
          <w:rFonts w:hint="default"/>
          <w:color w:val="auto"/>
          <w:highlight w:val="none"/>
          <w:lang w:val="en-US" w:eastAsia="zh-CN"/>
        </w:rPr>
      </w:pPr>
      <w:r>
        <w:rPr>
          <w:rFonts w:hint="default"/>
          <w:color w:val="auto"/>
          <w:highlight w:val="none"/>
          <w:lang w:val="en-US" w:eastAsia="zh-CN"/>
        </w:rPr>
        <w:t>为规范</w:t>
      </w:r>
      <w:r>
        <w:rPr>
          <w:rFonts w:hint="eastAsia"/>
          <w:color w:val="auto"/>
          <w:highlight w:val="none"/>
          <w:lang w:val="en-US" w:eastAsia="zh"/>
        </w:rPr>
        <w:t>老年人照料设施</w:t>
      </w:r>
      <w:r>
        <w:rPr>
          <w:rFonts w:hint="eastAsia"/>
          <w:color w:val="auto"/>
          <w:highlight w:val="none"/>
          <w:lang w:val="en-US" w:eastAsia="zh-CN"/>
        </w:rPr>
        <w:t>建筑</w:t>
      </w:r>
      <w:r>
        <w:rPr>
          <w:rFonts w:hint="default"/>
          <w:color w:val="auto"/>
          <w:highlight w:val="none"/>
          <w:lang w:val="en-US" w:eastAsia="zh-CN"/>
        </w:rPr>
        <w:t>设计，使</w:t>
      </w:r>
      <w:r>
        <w:rPr>
          <w:rFonts w:hint="eastAsia"/>
          <w:color w:val="auto"/>
          <w:highlight w:val="none"/>
          <w:lang w:val="en-US" w:eastAsia="zh"/>
        </w:rPr>
        <w:t>老年人照料设施</w:t>
      </w:r>
      <w:r>
        <w:rPr>
          <w:rFonts w:hint="eastAsia"/>
          <w:color w:val="auto"/>
          <w:highlight w:val="none"/>
          <w:lang w:val="en-US" w:eastAsia="zh-CN"/>
        </w:rPr>
        <w:t>建筑</w:t>
      </w:r>
      <w:r>
        <w:rPr>
          <w:rFonts w:hint="default"/>
          <w:color w:val="auto"/>
          <w:highlight w:val="none"/>
          <w:lang w:val="en-US" w:eastAsia="zh-CN"/>
        </w:rPr>
        <w:t>适应老年人体能变化和行为</w:t>
      </w:r>
      <w:r>
        <w:rPr>
          <w:rFonts w:hint="eastAsia"/>
          <w:color w:val="auto"/>
          <w:highlight w:val="none"/>
          <w:lang w:val="en-US" w:eastAsia="zh"/>
          <w:woUserID w:val="1"/>
        </w:rPr>
        <w:t>及心理</w:t>
      </w:r>
      <w:r>
        <w:rPr>
          <w:rFonts w:hint="default"/>
          <w:color w:val="auto"/>
          <w:highlight w:val="none"/>
          <w:lang w:val="en-US" w:eastAsia="zh-CN"/>
        </w:rPr>
        <w:t>特征，结合</w:t>
      </w:r>
      <w:r>
        <w:rPr>
          <w:rFonts w:hint="eastAsia"/>
          <w:color w:val="auto"/>
          <w:highlight w:val="none"/>
          <w:lang w:val="en-US" w:eastAsia="zh-CN"/>
        </w:rPr>
        <w:t>四川</w:t>
      </w:r>
      <w:r>
        <w:rPr>
          <w:rFonts w:hint="default"/>
          <w:color w:val="auto"/>
          <w:highlight w:val="none"/>
          <w:lang w:val="en-US" w:eastAsia="zh-CN"/>
        </w:rPr>
        <w:t>省实际情况，制定本</w:t>
      </w:r>
      <w:r>
        <w:rPr>
          <w:rFonts w:hint="eastAsia"/>
          <w:color w:val="auto"/>
          <w:highlight w:val="none"/>
          <w:lang w:val="en-US" w:eastAsia="zh-CN"/>
        </w:rPr>
        <w:t>标准</w:t>
      </w:r>
      <w:r>
        <w:rPr>
          <w:rFonts w:hint="default"/>
          <w:color w:val="auto"/>
          <w:highlight w:val="none"/>
          <w:lang w:val="en-US" w:eastAsia="zh-CN"/>
        </w:rPr>
        <w:t xml:space="preserve">。 </w:t>
      </w:r>
    </w:p>
    <w:p w14:paraId="3470A233">
      <w:pPr>
        <w:numPr>
          <w:ilvl w:val="2"/>
          <w:numId w:val="3"/>
        </w:numPr>
        <w:ind w:left="7" w:leftChars="0" w:hanging="7" w:firstLineChars="0"/>
        <w:rPr>
          <w:rFonts w:hint="default"/>
          <w:color w:val="auto"/>
          <w:highlight w:val="none"/>
          <w:lang w:val="en-US" w:eastAsia="zh-CN"/>
        </w:rPr>
      </w:pPr>
      <w:r>
        <w:rPr>
          <w:rFonts w:hint="default"/>
          <w:color w:val="auto"/>
          <w:highlight w:val="none"/>
          <w:lang w:val="en-US" w:eastAsia="zh-CN"/>
        </w:rPr>
        <w:t>本</w:t>
      </w:r>
      <w:r>
        <w:rPr>
          <w:rFonts w:hint="eastAsia"/>
          <w:color w:val="auto"/>
          <w:highlight w:val="none"/>
          <w:lang w:val="en-US" w:eastAsia="zh"/>
          <w:woUserID w:val="1"/>
        </w:rPr>
        <w:t>标准</w:t>
      </w:r>
      <w:r>
        <w:rPr>
          <w:rFonts w:hint="default"/>
          <w:color w:val="auto"/>
          <w:highlight w:val="none"/>
          <w:lang w:val="en-US" w:eastAsia="zh-CN"/>
        </w:rPr>
        <w:t>适用于四川省范围内新建、改建及扩建的</w:t>
      </w:r>
      <w:r>
        <w:rPr>
          <w:rFonts w:hint="eastAsia"/>
          <w:color w:val="auto"/>
          <w:highlight w:val="none"/>
          <w:lang w:val="en-US" w:eastAsia="zh"/>
          <w:woUserID w:val="1"/>
        </w:rPr>
        <w:t>设计总床位数或老年人总数不少于20床（人）的</w:t>
      </w:r>
      <w:r>
        <w:rPr>
          <w:rFonts w:hint="eastAsia"/>
          <w:color w:val="auto"/>
          <w:highlight w:val="none"/>
          <w:lang w:val="en-US" w:eastAsia="zh"/>
        </w:rPr>
        <w:t>老年人照料设施</w:t>
      </w:r>
      <w:r>
        <w:rPr>
          <w:rFonts w:hint="eastAsia"/>
          <w:color w:val="auto"/>
          <w:highlight w:val="none"/>
          <w:lang w:val="en-US" w:eastAsia="zh-CN"/>
        </w:rPr>
        <w:t>建筑</w:t>
      </w:r>
      <w:r>
        <w:rPr>
          <w:rFonts w:hint="default"/>
          <w:color w:val="auto"/>
          <w:highlight w:val="none"/>
          <w:lang w:val="en-US" w:eastAsia="zh-CN"/>
        </w:rPr>
        <w:t xml:space="preserve">设计。 </w:t>
      </w:r>
    </w:p>
    <w:p w14:paraId="501A51A0">
      <w:pPr>
        <w:numPr>
          <w:ilvl w:val="2"/>
          <w:numId w:val="3"/>
        </w:numPr>
        <w:ind w:left="7" w:leftChars="0" w:hanging="7" w:firstLineChars="0"/>
        <w:rPr>
          <w:rFonts w:hint="default"/>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建筑</w:t>
      </w:r>
      <w:r>
        <w:rPr>
          <w:rFonts w:hint="default"/>
          <w:color w:val="auto"/>
          <w:highlight w:val="none"/>
          <w:lang w:val="en-US" w:eastAsia="zh-CN"/>
        </w:rPr>
        <w:t>设计应与城市经济发展水平相适应，贯彻以人为本的原则，</w:t>
      </w:r>
      <w:r>
        <w:rPr>
          <w:rFonts w:hint="eastAsia"/>
          <w:color w:val="auto"/>
          <w:highlight w:val="none"/>
          <w:lang w:val="en-US" w:eastAsia="zh"/>
          <w:woUserID w:val="1"/>
        </w:rPr>
        <w:t>以安全、舒适、绿色、智慧为目标，</w:t>
      </w:r>
      <w:r>
        <w:rPr>
          <w:rFonts w:hint="default"/>
          <w:color w:val="auto"/>
          <w:highlight w:val="none"/>
          <w:lang w:val="en-US" w:eastAsia="zh-CN"/>
        </w:rPr>
        <w:t xml:space="preserve">注意人文环境的和谐，按照老年人生理、心理特点进行设计，为老年人住养、生活护理提供方便的设施和服务。 </w:t>
      </w:r>
    </w:p>
    <w:p w14:paraId="3190BF14">
      <w:pPr>
        <w:numPr>
          <w:ilvl w:val="2"/>
          <w:numId w:val="3"/>
        </w:numPr>
        <w:ind w:left="7" w:leftChars="0" w:hanging="7" w:firstLineChars="0"/>
        <w:rPr>
          <w:rFonts w:hint="default"/>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建筑</w:t>
      </w:r>
      <w:r>
        <w:rPr>
          <w:rFonts w:hint="default"/>
          <w:color w:val="auto"/>
          <w:highlight w:val="none"/>
          <w:lang w:val="en-US" w:eastAsia="zh-CN"/>
        </w:rPr>
        <w:t>设计除应符合本</w:t>
      </w:r>
      <w:r>
        <w:rPr>
          <w:rFonts w:hint="eastAsia"/>
          <w:color w:val="auto"/>
          <w:highlight w:val="none"/>
          <w:lang w:val="en-US" w:eastAsia="zh"/>
          <w:woUserID w:val="1"/>
        </w:rPr>
        <w:t>标准</w:t>
      </w:r>
      <w:r>
        <w:rPr>
          <w:rFonts w:hint="default"/>
          <w:color w:val="auto"/>
          <w:highlight w:val="none"/>
          <w:lang w:val="en-US" w:eastAsia="zh-CN"/>
        </w:rPr>
        <w:t xml:space="preserve">外，尚应符合国家现行有关标准的规定。 </w:t>
      </w:r>
    </w:p>
    <w:p w14:paraId="36835F81">
      <w:pPr>
        <w:numPr>
          <w:ilvl w:val="0"/>
          <w:numId w:val="0"/>
        </w:numPr>
        <w:rPr>
          <w:rFonts w:hint="default"/>
          <w:color w:val="auto"/>
          <w:highlight w:val="none"/>
          <w:lang w:val="en-US" w:eastAsia="zh-CN"/>
        </w:rPr>
      </w:pPr>
    </w:p>
    <w:p w14:paraId="5A06E584">
      <w:pPr>
        <w:numPr>
          <w:ilvl w:val="0"/>
          <w:numId w:val="2"/>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23" w:name="_Toc1367"/>
      <w:bookmarkStart w:id="24" w:name="_Toc15453"/>
      <w:bookmarkStart w:id="25" w:name="_Toc9475"/>
      <w:r>
        <w:rPr>
          <w:rStyle w:val="19"/>
          <w:rFonts w:hint="default" w:ascii="Times New Roman" w:hAnsi="Times New Roman" w:eastAsia="宋体" w:cs="Times New Roman"/>
          <w:color w:val="auto"/>
          <w:highlight w:val="none"/>
          <w:lang w:val="en-US" w:eastAsia="zh-CN"/>
        </w:rPr>
        <w:t>术</w:t>
      </w:r>
      <w:r>
        <w:rPr>
          <w:rStyle w:val="19"/>
          <w:rFonts w:hint="eastAsia" w:ascii="Times New Roman" w:hAnsi="Times New Roman" w:eastAsia="宋体" w:cs="Times New Roman"/>
          <w:color w:val="auto"/>
          <w:highlight w:val="none"/>
          <w:lang w:val="en-US" w:eastAsia="zh-CN"/>
        </w:rPr>
        <w:t xml:space="preserve">  </w:t>
      </w:r>
      <w:r>
        <w:rPr>
          <w:rStyle w:val="19"/>
          <w:rFonts w:hint="default" w:ascii="Times New Roman" w:hAnsi="Times New Roman" w:eastAsia="宋体" w:cs="Times New Roman"/>
          <w:color w:val="auto"/>
          <w:highlight w:val="none"/>
          <w:lang w:val="en-US" w:eastAsia="zh-CN"/>
        </w:rPr>
        <w:t>语</w:t>
      </w:r>
      <w:bookmarkEnd w:id="23"/>
      <w:bookmarkEnd w:id="24"/>
      <w:bookmarkEnd w:id="25"/>
      <w:r>
        <w:rPr>
          <w:rStyle w:val="19"/>
          <w:rFonts w:hint="default" w:ascii="Times New Roman" w:hAnsi="Times New Roman" w:eastAsia="宋体" w:cs="Times New Roman"/>
          <w:color w:val="auto"/>
          <w:highlight w:val="none"/>
          <w:lang w:val="en-US" w:eastAsia="zh-CN"/>
        </w:rPr>
        <w:t xml:space="preserve"> </w:t>
      </w:r>
    </w:p>
    <w:p w14:paraId="41913AAB">
      <w:pPr>
        <w:numPr>
          <w:ilvl w:val="0"/>
          <w:numId w:val="0"/>
        </w:numPr>
        <w:ind w:leftChars="0"/>
        <w:jc w:val="both"/>
        <w:rPr>
          <w:rStyle w:val="19"/>
          <w:rFonts w:hint="default" w:ascii="Times New Roman" w:hAnsi="Times New Roman" w:eastAsia="宋体" w:cs="Times New Roman"/>
          <w:color w:val="auto"/>
          <w:highlight w:val="none"/>
          <w:lang w:val="en-US" w:eastAsia="zh-CN"/>
        </w:rPr>
      </w:pPr>
    </w:p>
    <w:p w14:paraId="01CF0C4D">
      <w:pPr>
        <w:numPr>
          <w:ilvl w:val="2"/>
          <w:numId w:val="4"/>
        </w:numPr>
        <w:ind w:left="567" w:leftChars="0" w:hanging="567" w:firstLineChars="0"/>
        <w:rPr>
          <w:rFonts w:hint="default"/>
          <w:color w:val="auto"/>
          <w:highlight w:val="none"/>
          <w:lang w:val="en-US" w:eastAsia="zh-CN"/>
        </w:rPr>
      </w:pPr>
      <w:r>
        <w:rPr>
          <w:rFonts w:hint="eastAsia"/>
          <w:color w:val="auto"/>
          <w:highlight w:val="none"/>
          <w:lang w:val="en-US" w:eastAsia="zh"/>
          <w:woUserID w:val="1"/>
        </w:rPr>
        <w:t>老年人照料</w:t>
      </w:r>
      <w:r>
        <w:rPr>
          <w:rFonts w:hint="eastAsia"/>
          <w:color w:val="auto"/>
          <w:highlight w:val="none"/>
          <w:lang w:val="en-US" w:eastAsia="zh-CN"/>
        </w:rPr>
        <w:t>设施</w:t>
      </w:r>
      <w:r>
        <w:rPr>
          <w:rFonts w:hint="default"/>
          <w:color w:val="auto"/>
          <w:highlight w:val="none"/>
          <w:lang w:val="en-US" w:eastAsia="zh-CN"/>
        </w:rPr>
        <w:t xml:space="preserve"> care </w:t>
      </w:r>
      <w:r>
        <w:rPr>
          <w:rFonts w:hint="eastAsia"/>
          <w:color w:val="auto"/>
          <w:highlight w:val="none"/>
          <w:lang w:val="en-US" w:eastAsia="zh"/>
          <w:woUserID w:val="1"/>
        </w:rPr>
        <w:t>f</w:t>
      </w:r>
      <w:r>
        <w:rPr>
          <w:rFonts w:hint="eastAsia"/>
          <w:color w:val="auto"/>
          <w:highlight w:val="none"/>
          <w:lang w:val="en-US" w:eastAsia="zh-CN"/>
        </w:rPr>
        <w:t>acilitie</w:t>
      </w:r>
      <w:r>
        <w:rPr>
          <w:rFonts w:hint="default"/>
          <w:color w:val="auto"/>
          <w:highlight w:val="none"/>
          <w:lang w:val="en-US" w:eastAsia="zh-CN"/>
        </w:rPr>
        <w:t>s</w:t>
      </w:r>
      <w:r>
        <w:rPr>
          <w:rFonts w:hint="eastAsia"/>
          <w:color w:val="auto"/>
          <w:highlight w:val="none"/>
          <w:lang w:val="en-US" w:eastAsia="zh"/>
          <w:woUserID w:val="1"/>
        </w:rPr>
        <w:t xml:space="preserve"> for the aged</w:t>
      </w:r>
    </w:p>
    <w:p w14:paraId="7441B12E">
      <w:pPr>
        <w:numPr>
          <w:ilvl w:val="0"/>
          <w:numId w:val="0"/>
        </w:numPr>
        <w:ind w:firstLine="420" w:firstLineChars="200"/>
        <w:rPr>
          <w:rFonts w:hint="default"/>
          <w:b w:val="0"/>
          <w:bCs w:val="0"/>
          <w:color w:val="auto"/>
          <w:highlight w:val="none"/>
          <w:lang w:val="en-US" w:eastAsia="zh-CN"/>
        </w:rPr>
      </w:pPr>
      <w:r>
        <w:rPr>
          <w:rFonts w:hint="eastAsia"/>
          <w:b w:val="0"/>
          <w:bCs w:val="0"/>
          <w:color w:val="auto"/>
          <w:sz w:val="21"/>
          <w:szCs w:val="21"/>
          <w:highlight w:val="none"/>
          <w:lang w:val="en-US" w:eastAsia="zh"/>
          <w:woUserID w:val="1"/>
        </w:rPr>
        <w:t>为老年人提供集中照料服务的设施，是老年人全日照料设施和老年人日间照料设施的统称，属于公共建筑</w:t>
      </w:r>
      <w:r>
        <w:rPr>
          <w:rFonts w:hint="default"/>
          <w:b w:val="0"/>
          <w:bCs w:val="0"/>
          <w:color w:val="auto"/>
          <w:sz w:val="21"/>
          <w:szCs w:val="21"/>
          <w:highlight w:val="none"/>
          <w:lang w:val="en-US" w:eastAsia="zh-CN"/>
        </w:rPr>
        <w:t>。</w:t>
      </w:r>
    </w:p>
    <w:p w14:paraId="645166C7">
      <w:pPr>
        <w:numPr>
          <w:ilvl w:val="2"/>
          <w:numId w:val="4"/>
        </w:numPr>
        <w:ind w:left="567" w:leftChars="0" w:hanging="567" w:firstLineChars="0"/>
        <w:outlineLvl w:val="1"/>
        <w:rPr>
          <w:rFonts w:hint="default"/>
          <w:color w:val="auto"/>
          <w:highlight w:val="none"/>
          <w:lang w:val="en-US" w:eastAsia="zh-CN"/>
        </w:rPr>
      </w:pPr>
      <w:bookmarkStart w:id="26" w:name="_Toc28924"/>
      <w:bookmarkStart w:id="27" w:name="_Toc19908"/>
      <w:r>
        <w:rPr>
          <w:rFonts w:hint="eastAsia"/>
          <w:color w:val="auto"/>
          <w:highlight w:val="none"/>
          <w:lang w:val="en-US" w:eastAsia="zh-CN"/>
        </w:rPr>
        <w:t xml:space="preserve">照料单元 </w:t>
      </w:r>
      <w:r>
        <w:rPr>
          <w:rFonts w:hint="eastAsia"/>
          <w:color w:val="auto"/>
          <w:highlight w:val="none"/>
          <w:lang w:val="en-US" w:eastAsia="zh"/>
          <w:woUserID w:val="1"/>
        </w:rPr>
        <w:t>c</w:t>
      </w:r>
      <w:r>
        <w:rPr>
          <w:rFonts w:hint="eastAsia"/>
          <w:color w:val="auto"/>
          <w:highlight w:val="none"/>
          <w:lang w:val="en-US" w:eastAsia="zh-CN"/>
        </w:rPr>
        <w:t>are unit</w:t>
      </w:r>
      <w:bookmarkEnd w:id="26"/>
      <w:bookmarkEnd w:id="27"/>
    </w:p>
    <w:p w14:paraId="3C5D025E">
      <w:pPr>
        <w:numPr>
          <w:ilvl w:val="0"/>
          <w:numId w:val="0"/>
        </w:numPr>
        <w:ind w:firstLine="420" w:firstLineChars="200"/>
        <w:rPr>
          <w:rFonts w:hint="default"/>
          <w:color w:val="auto"/>
          <w:highlight w:val="none"/>
          <w:lang w:val="en-US" w:eastAsia="zh-CN"/>
        </w:rPr>
      </w:pPr>
      <w:r>
        <w:rPr>
          <w:rFonts w:hint="eastAsia"/>
          <w:color w:val="auto"/>
          <w:highlight w:val="none"/>
          <w:lang w:val="en-US" w:eastAsia="zh"/>
          <w:woUserID w:val="1"/>
        </w:rPr>
        <w:t>主要为一定数量护理型床位而设的生活空间组团，包含居室、单元起居厅和为其配套的护理站等居住及交通空间，一般相对独立，并有护理人员对此区域内的老年人提供照料服务。</w:t>
      </w:r>
    </w:p>
    <w:p w14:paraId="4A6E9A4E">
      <w:pPr>
        <w:numPr>
          <w:ilvl w:val="2"/>
          <w:numId w:val="4"/>
        </w:numPr>
        <w:ind w:left="567" w:leftChars="0" w:hanging="567" w:firstLineChars="0"/>
        <w:rPr>
          <w:rFonts w:hint="default"/>
          <w:color w:val="auto"/>
          <w:highlight w:val="none"/>
          <w:lang w:val="en-US" w:eastAsia="zh-CN"/>
        </w:rPr>
      </w:pPr>
      <w:r>
        <w:rPr>
          <w:rFonts w:hint="eastAsia"/>
          <w:color w:val="auto"/>
          <w:highlight w:val="none"/>
          <w:lang w:val="en-US" w:eastAsia="zh-CN"/>
        </w:rPr>
        <w:t>老年人用房 space for the aged</w:t>
      </w:r>
    </w:p>
    <w:p w14:paraId="51D3D15D">
      <w:pPr>
        <w:numPr>
          <w:ilvl w:val="0"/>
          <w:numId w:val="0"/>
        </w:numPr>
        <w:ind w:firstLine="420" w:firstLineChars="200"/>
        <w:rPr>
          <w:rFonts w:hint="eastAsia"/>
          <w:color w:val="auto"/>
          <w:highlight w:val="none"/>
          <w:lang w:val="en-US" w:eastAsia="zh-CN"/>
        </w:rPr>
      </w:pPr>
      <w:r>
        <w:rPr>
          <w:rFonts w:hint="eastAsia"/>
          <w:color w:val="auto"/>
          <w:highlight w:val="none"/>
          <w:lang w:val="en-US" w:eastAsia="zh-CN"/>
        </w:rPr>
        <w:t>指</w:t>
      </w:r>
      <w:r>
        <w:rPr>
          <w:rFonts w:hint="eastAsia"/>
          <w:color w:val="auto"/>
          <w:highlight w:val="none"/>
          <w:lang w:val="en-US" w:eastAsia="zh"/>
        </w:rPr>
        <w:t>老年人照料设施</w:t>
      </w:r>
      <w:r>
        <w:rPr>
          <w:rFonts w:hint="eastAsia"/>
          <w:color w:val="auto"/>
          <w:highlight w:val="none"/>
          <w:lang w:val="en-US" w:eastAsia="zh-CN"/>
        </w:rPr>
        <w:t>中供老年人使用的主要用房，包括生活用房、文娱与健身用房、康复与医疗用房。</w:t>
      </w:r>
    </w:p>
    <w:p w14:paraId="17D56780">
      <w:pPr>
        <w:numPr>
          <w:ilvl w:val="2"/>
          <w:numId w:val="4"/>
        </w:numPr>
        <w:ind w:left="567" w:hanging="567" w:firstLineChars="0"/>
        <w:rPr>
          <w:rFonts w:hint="default"/>
          <w:color w:val="auto"/>
          <w:highlight w:val="none"/>
          <w:lang w:val="en-US" w:eastAsia="zh-CN"/>
        </w:rPr>
      </w:pPr>
      <w:r>
        <w:rPr>
          <w:rFonts w:hint="eastAsia"/>
          <w:color w:val="auto"/>
          <w:highlight w:val="none"/>
          <w:lang w:val="en-US" w:eastAsia="zh"/>
          <w:woUserID w:val="1"/>
        </w:rPr>
        <w:t>生活用房 living space</w:t>
      </w:r>
    </w:p>
    <w:p w14:paraId="5064797F">
      <w:pPr>
        <w:numPr>
          <w:ilvl w:val="-1"/>
          <w:numId w:val="0"/>
        </w:numPr>
        <w:ind w:left="0" w:firstLine="0" w:firstLineChars="0"/>
        <w:rPr>
          <w:rFonts w:hint="eastAsia" w:eastAsiaTheme="minorEastAsia"/>
          <w:color w:val="auto"/>
          <w:highlight w:val="none"/>
          <w:lang w:val="en-US" w:eastAsia="zh"/>
          <w:woUserID w:val="1"/>
        </w:rPr>
      </w:pPr>
      <w:r>
        <w:rPr>
          <w:rFonts w:hint="eastAsia"/>
          <w:color w:val="auto"/>
          <w:highlight w:val="none"/>
          <w:lang w:val="en-US" w:eastAsia="zh"/>
          <w:woUserID w:val="1"/>
        </w:rPr>
        <w:t>指为满足老年人居住、就餐等基本生活需求以及为其提供生活照料服务而设置的用房。</w:t>
      </w:r>
    </w:p>
    <w:p w14:paraId="5335647B">
      <w:pPr>
        <w:numPr>
          <w:ilvl w:val="2"/>
          <w:numId w:val="4"/>
        </w:numPr>
        <w:ind w:left="567" w:hanging="567" w:firstLineChars="0"/>
        <w:rPr>
          <w:rFonts w:hint="default"/>
          <w:color w:val="auto"/>
          <w:highlight w:val="none"/>
          <w:lang w:val="en-US" w:eastAsia="zh-CN"/>
        </w:rPr>
      </w:pPr>
      <w:r>
        <w:rPr>
          <w:rFonts w:hint="eastAsia"/>
          <w:color w:val="auto"/>
          <w:highlight w:val="none"/>
          <w:lang w:val="en-US" w:eastAsia="zh-CN"/>
          <w:woUserID w:val="1"/>
        </w:rPr>
        <w:t>文娱与健身用房</w:t>
      </w:r>
      <w:r>
        <w:rPr>
          <w:rFonts w:hint="eastAsia"/>
          <w:color w:val="auto"/>
          <w:highlight w:val="none"/>
          <w:lang w:val="en-US" w:eastAsia="zh"/>
          <w:woUserID w:val="1"/>
        </w:rPr>
        <w:t xml:space="preserve"> entertainment and fitness space</w:t>
      </w:r>
    </w:p>
    <w:p w14:paraId="5CF16D34">
      <w:pPr>
        <w:numPr>
          <w:ilvl w:val="-1"/>
          <w:numId w:val="0"/>
        </w:numPr>
        <w:ind w:left="0" w:firstLine="0" w:firstLineChars="0"/>
        <w:rPr>
          <w:rFonts w:hint="eastAsia" w:eastAsiaTheme="minorEastAsia"/>
          <w:color w:val="auto"/>
          <w:highlight w:val="none"/>
          <w:lang w:val="en-US" w:eastAsia="zh"/>
          <w:woUserID w:val="1"/>
        </w:rPr>
      </w:pPr>
      <w:r>
        <w:rPr>
          <w:rFonts w:hint="eastAsia"/>
          <w:color w:val="auto"/>
          <w:highlight w:val="none"/>
          <w:lang w:val="en-US" w:eastAsia="zh"/>
          <w:woUserID w:val="1"/>
        </w:rPr>
        <w:t>指为满足老年人文娱、健身活动需求而设置的用房。</w:t>
      </w:r>
    </w:p>
    <w:p w14:paraId="23F1D0D6">
      <w:pPr>
        <w:numPr>
          <w:ilvl w:val="2"/>
          <w:numId w:val="4"/>
        </w:numPr>
        <w:ind w:left="567" w:hanging="567" w:firstLineChars="0"/>
        <w:rPr>
          <w:rFonts w:hint="default"/>
          <w:color w:val="auto"/>
          <w:highlight w:val="none"/>
          <w:lang w:val="en-US" w:eastAsia="zh-CN"/>
        </w:rPr>
      </w:pPr>
      <w:r>
        <w:rPr>
          <w:rFonts w:hint="eastAsia"/>
          <w:color w:val="auto"/>
          <w:highlight w:val="none"/>
          <w:lang w:val="en-US" w:eastAsia="zh-CN"/>
          <w:woUserID w:val="1"/>
        </w:rPr>
        <w:t>康复与医疗用房</w:t>
      </w:r>
      <w:r>
        <w:rPr>
          <w:rFonts w:hint="eastAsia"/>
          <w:color w:val="auto"/>
          <w:highlight w:val="none"/>
          <w:lang w:val="en-US" w:eastAsia="zh"/>
          <w:woUserID w:val="1"/>
        </w:rPr>
        <w:t xml:space="preserve"> rehabilitation and medical space</w:t>
      </w:r>
    </w:p>
    <w:p w14:paraId="110E4A85">
      <w:pPr>
        <w:numPr>
          <w:ilvl w:val="-1"/>
          <w:numId w:val="0"/>
        </w:numPr>
        <w:ind w:left="0" w:firstLine="420" w:firstLineChars="200"/>
        <w:rPr>
          <w:rFonts w:hint="eastAsia" w:eastAsiaTheme="minorEastAsia"/>
          <w:color w:val="auto"/>
          <w:highlight w:val="none"/>
          <w:lang w:val="en-US" w:eastAsia="zh"/>
          <w:woUserID w:val="1"/>
        </w:rPr>
      </w:pPr>
      <w:r>
        <w:rPr>
          <w:rFonts w:hint="eastAsia"/>
          <w:color w:val="auto"/>
          <w:highlight w:val="none"/>
          <w:lang w:val="en-US" w:eastAsia="zh"/>
          <w:woUserID w:val="1"/>
        </w:rPr>
        <w:t>指为老年人提供康复服务及医疗服务而设置的用房。</w:t>
      </w:r>
    </w:p>
    <w:p w14:paraId="697A26B5">
      <w:pPr>
        <w:numPr>
          <w:ilvl w:val="2"/>
          <w:numId w:val="4"/>
        </w:numPr>
        <w:ind w:left="567" w:hanging="567" w:firstLineChars="0"/>
        <w:rPr>
          <w:rFonts w:hint="default"/>
          <w:color w:val="auto"/>
          <w:highlight w:val="none"/>
          <w:lang w:val="en-US" w:eastAsia="zh-CN"/>
        </w:rPr>
      </w:pPr>
      <w:r>
        <w:rPr>
          <w:rFonts w:hint="default"/>
          <w:color w:val="auto"/>
          <w:highlight w:val="none"/>
          <w:lang w:val="en-US" w:eastAsia="zh-CN"/>
        </w:rPr>
        <w:t xml:space="preserve">自理老人 self-helping aged people </w:t>
      </w:r>
    </w:p>
    <w:p w14:paraId="2F7738C7">
      <w:pPr>
        <w:numPr>
          <w:ilvl w:val="0"/>
          <w:numId w:val="0"/>
        </w:numPr>
        <w:rPr>
          <w:rFonts w:hint="default"/>
          <w:color w:val="auto"/>
          <w:highlight w:val="none"/>
          <w:lang w:val="en-US" w:eastAsia="zh-CN"/>
        </w:rPr>
      </w:pPr>
      <w:r>
        <w:rPr>
          <w:rFonts w:hint="default"/>
          <w:color w:val="auto"/>
          <w:highlight w:val="none"/>
          <w:lang w:val="en-US" w:eastAsia="zh-CN"/>
        </w:rPr>
        <w:t>生活行为基本可以独立进行，可以</w:t>
      </w:r>
      <w:r>
        <w:rPr>
          <w:rFonts w:hint="eastAsia"/>
          <w:color w:val="auto"/>
          <w:highlight w:val="none"/>
          <w:lang w:val="en-US" w:eastAsia="zh-CN"/>
        </w:rPr>
        <w:t>自行</w:t>
      </w:r>
      <w:r>
        <w:rPr>
          <w:rFonts w:hint="default"/>
          <w:color w:val="auto"/>
          <w:highlight w:val="none"/>
          <w:lang w:val="en-US" w:eastAsia="zh-CN"/>
        </w:rPr>
        <w:t xml:space="preserve">照料的老年人。 </w:t>
      </w:r>
    </w:p>
    <w:p w14:paraId="77C93926">
      <w:pPr>
        <w:numPr>
          <w:ilvl w:val="2"/>
          <w:numId w:val="4"/>
        </w:numPr>
        <w:ind w:left="567" w:leftChars="0" w:hanging="567" w:firstLineChars="0"/>
        <w:rPr>
          <w:rFonts w:hint="default"/>
          <w:color w:val="auto"/>
          <w:highlight w:val="none"/>
          <w:lang w:val="en-US" w:eastAsia="zh-CN"/>
        </w:rPr>
      </w:pPr>
      <w:r>
        <w:rPr>
          <w:rFonts w:hint="default"/>
          <w:color w:val="auto"/>
          <w:highlight w:val="none"/>
          <w:lang w:val="en-US" w:eastAsia="zh-CN"/>
        </w:rPr>
        <w:t xml:space="preserve">介助老人 device-helping aged people </w:t>
      </w:r>
    </w:p>
    <w:p w14:paraId="4AC93430">
      <w:pPr>
        <w:numPr>
          <w:ilvl w:val="0"/>
          <w:numId w:val="0"/>
        </w:numPr>
        <w:ind w:firstLine="420" w:firstLineChars="200"/>
        <w:rPr>
          <w:rFonts w:hint="default"/>
          <w:color w:val="auto"/>
          <w:highlight w:val="none"/>
          <w:lang w:val="en-US" w:eastAsia="zh-CN"/>
        </w:rPr>
      </w:pPr>
      <w:r>
        <w:rPr>
          <w:rFonts w:hint="default"/>
          <w:color w:val="auto"/>
          <w:highlight w:val="none"/>
          <w:lang w:val="en-US" w:eastAsia="zh-CN"/>
        </w:rPr>
        <w:t xml:space="preserve">生活行为需依赖他人和扶助设施帮助的老年人，主要指半失能老年人。 </w:t>
      </w:r>
    </w:p>
    <w:p w14:paraId="1D4BD508">
      <w:pPr>
        <w:numPr>
          <w:ilvl w:val="2"/>
          <w:numId w:val="4"/>
        </w:numPr>
        <w:ind w:left="567" w:leftChars="0" w:hanging="567" w:firstLineChars="0"/>
        <w:rPr>
          <w:rFonts w:hint="default"/>
          <w:color w:val="auto"/>
          <w:highlight w:val="none"/>
          <w:lang w:val="en-US" w:eastAsia="zh-CN"/>
        </w:rPr>
      </w:pPr>
      <w:r>
        <w:rPr>
          <w:rFonts w:hint="default"/>
          <w:color w:val="auto"/>
          <w:highlight w:val="none"/>
          <w:lang w:val="en-US" w:eastAsia="zh-CN"/>
        </w:rPr>
        <w:t xml:space="preserve">介护老人 under nursing aged people </w:t>
      </w:r>
    </w:p>
    <w:p w14:paraId="0F46CDE4">
      <w:pPr>
        <w:numPr>
          <w:ilvl w:val="0"/>
          <w:numId w:val="0"/>
        </w:numPr>
        <w:ind w:firstLine="420" w:firstLineChars="200"/>
        <w:rPr>
          <w:rFonts w:hint="default"/>
          <w:color w:val="auto"/>
          <w:highlight w:val="none"/>
          <w:lang w:val="en-US" w:eastAsia="zh-CN"/>
        </w:rPr>
      </w:pPr>
      <w:r>
        <w:rPr>
          <w:rFonts w:hint="default"/>
          <w:color w:val="auto"/>
          <w:highlight w:val="none"/>
          <w:lang w:val="en-US" w:eastAsia="zh-CN"/>
        </w:rPr>
        <w:t xml:space="preserve">生活行为需依赖他人护理的老年人，主要指失智和失能老年人。 </w:t>
      </w:r>
    </w:p>
    <w:p w14:paraId="635A0B0D">
      <w:pPr>
        <w:numPr>
          <w:ilvl w:val="2"/>
          <w:numId w:val="4"/>
        </w:numPr>
        <w:ind w:left="567" w:leftChars="0" w:hanging="567" w:firstLineChars="0"/>
        <w:rPr>
          <w:rFonts w:hint="default"/>
          <w:color w:val="auto"/>
          <w:highlight w:val="none"/>
          <w:lang w:val="en-US" w:eastAsia="zh-CN"/>
        </w:rPr>
      </w:pPr>
      <w:r>
        <w:rPr>
          <w:rFonts w:hint="default"/>
          <w:color w:val="auto"/>
          <w:highlight w:val="none"/>
          <w:lang w:val="en-US" w:eastAsia="zh-CN"/>
        </w:rPr>
        <w:t xml:space="preserve">亲情居室 living room for family members </w:t>
      </w:r>
    </w:p>
    <w:p w14:paraId="149B7ECC">
      <w:pPr>
        <w:numPr>
          <w:ilvl w:val="0"/>
          <w:numId w:val="0"/>
        </w:numPr>
        <w:ind w:firstLine="420" w:firstLineChars="200"/>
        <w:rPr>
          <w:rFonts w:hint="default"/>
          <w:color w:val="auto"/>
          <w:highlight w:val="none"/>
          <w:lang w:val="en-US" w:eastAsia="zh-CN"/>
        </w:rPr>
      </w:pPr>
      <w:r>
        <w:rPr>
          <w:rFonts w:hint="default"/>
          <w:color w:val="auto"/>
          <w:highlight w:val="none"/>
          <w:lang w:val="en-US" w:eastAsia="zh-CN"/>
        </w:rPr>
        <w:t xml:space="preserve">供入住老年人与前来探望的亲人短暂共同居住，感受家庭亲情需要的居住用房。 </w:t>
      </w:r>
    </w:p>
    <w:p w14:paraId="51C07737">
      <w:pPr>
        <w:numPr>
          <w:ilvl w:val="0"/>
          <w:numId w:val="0"/>
        </w:numPr>
        <w:rPr>
          <w:rFonts w:hint="default"/>
          <w:color w:val="auto"/>
          <w:highlight w:val="none"/>
          <w:lang w:val="en-US" w:eastAsia="zh-CN"/>
        </w:rPr>
      </w:pPr>
    </w:p>
    <w:p w14:paraId="66CE432D">
      <w:pPr>
        <w:numPr>
          <w:ilvl w:val="0"/>
          <w:numId w:val="0"/>
        </w:numPr>
        <w:rPr>
          <w:rFonts w:hint="default"/>
          <w:color w:val="auto"/>
          <w:highlight w:val="none"/>
          <w:lang w:val="en-US" w:eastAsia="zh-CN"/>
        </w:rPr>
      </w:pPr>
    </w:p>
    <w:p w14:paraId="4141B2D1">
      <w:pPr>
        <w:numPr>
          <w:ilvl w:val="0"/>
          <w:numId w:val="0"/>
        </w:numPr>
        <w:rPr>
          <w:rFonts w:hint="default"/>
          <w:color w:val="auto"/>
          <w:highlight w:val="none"/>
          <w:lang w:val="en-US" w:eastAsia="zh-CN"/>
        </w:rPr>
      </w:pPr>
    </w:p>
    <w:p w14:paraId="7A333ECD">
      <w:pPr>
        <w:numPr>
          <w:ilvl w:val="0"/>
          <w:numId w:val="0"/>
        </w:numPr>
        <w:rPr>
          <w:rFonts w:hint="default"/>
          <w:color w:val="auto"/>
          <w:highlight w:val="none"/>
          <w:lang w:val="en-US" w:eastAsia="zh-CN"/>
        </w:rPr>
      </w:pPr>
    </w:p>
    <w:p w14:paraId="2CF79DE9">
      <w:pPr>
        <w:numPr>
          <w:ilvl w:val="0"/>
          <w:numId w:val="2"/>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28" w:name="_Toc5376"/>
      <w:bookmarkStart w:id="29" w:name="_Toc17283"/>
      <w:bookmarkStart w:id="30" w:name="_Toc17055"/>
      <w:r>
        <w:rPr>
          <w:rStyle w:val="19"/>
          <w:rFonts w:hint="default" w:ascii="Times New Roman" w:hAnsi="Times New Roman" w:eastAsia="宋体" w:cs="Times New Roman"/>
          <w:color w:val="auto"/>
          <w:highlight w:val="none"/>
          <w:lang w:val="en-US" w:eastAsia="zh-CN"/>
        </w:rPr>
        <w:t>基本规定</w:t>
      </w:r>
      <w:bookmarkEnd w:id="28"/>
      <w:bookmarkEnd w:id="29"/>
      <w:bookmarkEnd w:id="30"/>
      <w:r>
        <w:rPr>
          <w:rStyle w:val="19"/>
          <w:rFonts w:hint="default" w:ascii="Times New Roman" w:hAnsi="Times New Roman" w:eastAsia="宋体" w:cs="Times New Roman"/>
          <w:color w:val="auto"/>
          <w:highlight w:val="none"/>
          <w:lang w:val="en-US" w:eastAsia="zh-CN"/>
        </w:rPr>
        <w:t xml:space="preserve"> </w:t>
      </w:r>
    </w:p>
    <w:p w14:paraId="29F8E1B0">
      <w:pPr>
        <w:numPr>
          <w:ilvl w:val="0"/>
          <w:numId w:val="0"/>
        </w:numPr>
        <w:ind w:leftChars="0"/>
        <w:jc w:val="both"/>
        <w:rPr>
          <w:rStyle w:val="19"/>
          <w:rFonts w:hint="default" w:ascii="Times New Roman" w:hAnsi="Times New Roman" w:eastAsia="宋体" w:cs="Times New Roman"/>
          <w:color w:val="auto"/>
          <w:highlight w:val="none"/>
          <w:lang w:val="en-US" w:eastAsia="zh-CN"/>
        </w:rPr>
      </w:pPr>
    </w:p>
    <w:p w14:paraId="473AD364">
      <w:pPr>
        <w:numPr>
          <w:ilvl w:val="2"/>
          <w:numId w:val="5"/>
        </w:numPr>
        <w:ind w:left="0" w:leftChars="0" w:firstLine="0" w:firstLineChars="0"/>
        <w:rPr>
          <w:rFonts w:hint="default"/>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的服务对象是</w:t>
      </w:r>
      <w:r>
        <w:rPr>
          <w:rFonts w:hint="eastAsia"/>
          <w:color w:val="auto"/>
          <w:highlight w:val="none"/>
          <w:lang w:val="en-US" w:eastAsia="zh"/>
          <w:woUserID w:val="1"/>
        </w:rPr>
        <w:t>能力完好老年人、轻度失能老年人、中度失能老年人、重度失能老年人</w:t>
      </w:r>
      <w:r>
        <w:rPr>
          <w:rFonts w:hint="default"/>
          <w:color w:val="auto"/>
          <w:highlight w:val="none"/>
          <w:lang w:val="en-US" w:eastAsia="zh-CN"/>
        </w:rPr>
        <w:t>，基本服务配建内容有生活</w:t>
      </w:r>
      <w:r>
        <w:rPr>
          <w:rFonts w:hint="eastAsia"/>
          <w:color w:val="auto"/>
          <w:highlight w:val="none"/>
          <w:lang w:val="en-US" w:eastAsia="zh"/>
          <w:woUserID w:val="1"/>
        </w:rPr>
        <w:t>照料</w:t>
      </w:r>
      <w:r>
        <w:rPr>
          <w:rFonts w:hint="default"/>
          <w:color w:val="auto"/>
          <w:highlight w:val="none"/>
          <w:lang w:val="en-US" w:eastAsia="zh-CN"/>
        </w:rPr>
        <w:t>、</w:t>
      </w:r>
      <w:r>
        <w:rPr>
          <w:rFonts w:hint="eastAsia"/>
          <w:color w:val="auto"/>
          <w:highlight w:val="none"/>
          <w:lang w:val="en-US" w:eastAsia="zh"/>
          <w:woUserID w:val="1"/>
        </w:rPr>
        <w:t>膳食</w:t>
      </w:r>
      <w:r>
        <w:rPr>
          <w:rFonts w:hint="default"/>
          <w:color w:val="auto"/>
          <w:highlight w:val="none"/>
          <w:lang w:val="en-US" w:eastAsia="zh-CN"/>
        </w:rPr>
        <w:t>服务、</w:t>
      </w:r>
      <w:r>
        <w:rPr>
          <w:rFonts w:hint="eastAsia"/>
          <w:color w:val="auto"/>
          <w:highlight w:val="none"/>
          <w:lang w:val="en-US" w:eastAsia="zh"/>
          <w:woUserID w:val="1"/>
        </w:rPr>
        <w:t>清洁卫生、</w:t>
      </w:r>
      <w:r>
        <w:rPr>
          <w:rFonts w:hint="default"/>
          <w:color w:val="auto"/>
          <w:highlight w:val="none"/>
          <w:lang w:val="en-US" w:eastAsia="zh-CN"/>
        </w:rPr>
        <w:t>医疗</w:t>
      </w:r>
      <w:r>
        <w:rPr>
          <w:rFonts w:hint="eastAsia"/>
          <w:color w:val="auto"/>
          <w:highlight w:val="none"/>
          <w:lang w:val="en-US" w:eastAsia="zh"/>
          <w:woUserID w:val="1"/>
        </w:rPr>
        <w:t>护理</w:t>
      </w:r>
      <w:r>
        <w:rPr>
          <w:rFonts w:hint="default"/>
          <w:color w:val="auto"/>
          <w:highlight w:val="none"/>
          <w:lang w:val="en-US" w:eastAsia="zh-CN"/>
        </w:rPr>
        <w:t>、</w:t>
      </w:r>
      <w:r>
        <w:rPr>
          <w:rFonts w:hint="eastAsia"/>
          <w:color w:val="auto"/>
          <w:highlight w:val="none"/>
          <w:lang w:val="en-US" w:eastAsia="zh"/>
          <w:woUserID w:val="1"/>
        </w:rPr>
        <w:t>心理/精神支持、</w:t>
      </w:r>
      <w:r>
        <w:rPr>
          <w:rFonts w:hint="default"/>
          <w:color w:val="auto"/>
          <w:highlight w:val="none"/>
          <w:lang w:val="en-US" w:eastAsia="zh-CN"/>
        </w:rPr>
        <w:t>文化娱乐</w:t>
      </w:r>
      <w:r>
        <w:rPr>
          <w:rFonts w:hint="eastAsia"/>
          <w:color w:val="auto"/>
          <w:highlight w:val="none"/>
          <w:lang w:val="en-US" w:eastAsia="zh"/>
          <w:woUserID w:val="1"/>
        </w:rPr>
        <w:t>、安宁服务</w:t>
      </w:r>
      <w:r>
        <w:rPr>
          <w:rFonts w:hint="default"/>
          <w:color w:val="auto"/>
          <w:highlight w:val="none"/>
          <w:lang w:val="en-US" w:eastAsia="zh-CN"/>
        </w:rPr>
        <w:t>等综合服务用房、场地及附属设施。其中场地包括道路、绿地、室外活动场地及停车场等；附属设施有供电、供暖、给排水、污水处理、垃圾及污物收集等。</w:t>
      </w:r>
    </w:p>
    <w:p w14:paraId="73D00D5D">
      <w:pPr>
        <w:numPr>
          <w:ilvl w:val="2"/>
          <w:numId w:val="5"/>
        </w:numPr>
        <w:ind w:left="0" w:leftChars="0" w:firstLine="0" w:firstLineChars="0"/>
        <w:rPr>
          <w:rFonts w:hint="default"/>
          <w:color w:val="auto"/>
          <w:highlight w:val="none"/>
          <w:lang w:val="en-US" w:eastAsia="zh-CN"/>
        </w:rPr>
      </w:pPr>
      <w:r>
        <w:rPr>
          <w:rFonts w:hint="eastAsia"/>
          <w:b w:val="0"/>
          <w:bCs w:val="0"/>
          <w:color w:val="auto"/>
          <w:sz w:val="21"/>
          <w:szCs w:val="21"/>
          <w:highlight w:val="none"/>
          <w:lang w:val="en-US" w:eastAsia="zh-CN"/>
        </w:rPr>
        <w:t>既有建筑改扩建为</w:t>
      </w:r>
      <w:r>
        <w:rPr>
          <w:rFonts w:hint="eastAsia"/>
          <w:b w:val="0"/>
          <w:bCs w:val="0"/>
          <w:color w:val="auto"/>
          <w:sz w:val="21"/>
          <w:szCs w:val="21"/>
          <w:highlight w:val="none"/>
          <w:lang w:val="en-US" w:eastAsia="zh"/>
        </w:rPr>
        <w:t>老年人照料设施</w:t>
      </w:r>
      <w:r>
        <w:rPr>
          <w:rFonts w:hint="eastAsia"/>
          <w:b w:val="0"/>
          <w:bCs w:val="0"/>
          <w:color w:val="auto"/>
          <w:sz w:val="21"/>
          <w:szCs w:val="21"/>
          <w:highlight w:val="none"/>
          <w:lang w:val="en-US" w:eastAsia="zh-CN"/>
        </w:rPr>
        <w:t>建筑时，应预先进行可行性评估，并根据评估结果进行设计。</w:t>
      </w:r>
    </w:p>
    <w:p w14:paraId="6EDEC156">
      <w:pPr>
        <w:numPr>
          <w:ilvl w:val="2"/>
          <w:numId w:val="5"/>
        </w:numPr>
        <w:ind w:left="0" w:leftChars="0" w:firstLine="0" w:firstLineChars="0"/>
        <w:rPr>
          <w:rFonts w:hint="default"/>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可按其配置的床位数量进行分级，且规模划分宜符合表 3.0.</w:t>
      </w:r>
      <w:r>
        <w:rPr>
          <w:rFonts w:hint="eastAsia"/>
          <w:b/>
          <w:bCs/>
          <w:color w:val="auto"/>
          <w:sz w:val="21"/>
          <w:szCs w:val="21"/>
          <w:highlight w:val="none"/>
          <w:lang w:val="en-US" w:eastAsia="zh-CN"/>
        </w:rPr>
        <w:t>3</w:t>
      </w:r>
      <w:r>
        <w:rPr>
          <w:rFonts w:hint="default"/>
          <w:color w:val="auto"/>
          <w:highlight w:val="none"/>
          <w:lang w:val="en-US" w:eastAsia="zh-CN"/>
        </w:rPr>
        <w:t xml:space="preserve"> 的规定。 </w:t>
      </w:r>
    </w:p>
    <w:p w14:paraId="51C7FF86">
      <w:pPr>
        <w:numPr>
          <w:ilvl w:val="0"/>
          <w:numId w:val="0"/>
        </w:numPr>
        <w:jc w:val="center"/>
        <w:rPr>
          <w:rFonts w:hint="default"/>
          <w:color w:val="auto"/>
          <w:highlight w:val="none"/>
          <w:lang w:val="en-US" w:eastAsia="zh-CN"/>
        </w:rPr>
      </w:pPr>
      <w:r>
        <w:rPr>
          <w:rFonts w:hint="default"/>
          <w:b/>
          <w:bCs/>
          <w:color w:val="auto"/>
          <w:sz w:val="18"/>
          <w:szCs w:val="21"/>
          <w:highlight w:val="none"/>
          <w:lang w:val="en-US" w:eastAsia="zh-CN"/>
        </w:rPr>
        <w:t>表3.0.</w:t>
      </w:r>
      <w:r>
        <w:rPr>
          <w:rFonts w:hint="eastAsia"/>
          <w:b/>
          <w:bCs/>
          <w:color w:val="auto"/>
          <w:sz w:val="20"/>
          <w:szCs w:val="20"/>
          <w:highlight w:val="none"/>
          <w:lang w:val="en-US" w:eastAsia="zh-CN"/>
        </w:rPr>
        <w:t>3</w:t>
      </w:r>
      <w:r>
        <w:rPr>
          <w:rFonts w:hint="default"/>
          <w:b/>
          <w:bCs/>
          <w:color w:val="auto"/>
          <w:sz w:val="18"/>
          <w:szCs w:val="21"/>
          <w:highlight w:val="none"/>
          <w:lang w:val="en-US" w:eastAsia="zh-CN"/>
        </w:rPr>
        <w:t xml:space="preserve"> </w:t>
      </w:r>
      <w:r>
        <w:rPr>
          <w:rFonts w:hint="eastAsia"/>
          <w:b/>
          <w:bCs/>
          <w:color w:val="auto"/>
          <w:sz w:val="18"/>
          <w:szCs w:val="21"/>
          <w:highlight w:val="none"/>
          <w:lang w:val="en-US" w:eastAsia="zh"/>
        </w:rPr>
        <w:t>老年人照料设施</w:t>
      </w:r>
      <w:r>
        <w:rPr>
          <w:rFonts w:hint="default"/>
          <w:b/>
          <w:bCs/>
          <w:color w:val="auto"/>
          <w:sz w:val="18"/>
          <w:szCs w:val="21"/>
          <w:highlight w:val="none"/>
          <w:lang w:val="en-US" w:eastAsia="zh-CN"/>
        </w:rPr>
        <w:t>规模划分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D4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F3DABDD">
            <w:pPr>
              <w:numPr>
                <w:ilvl w:val="0"/>
                <w:numId w:val="0"/>
              </w:numPr>
              <w:jc w:val="center"/>
              <w:rPr>
                <w:rFonts w:hint="default"/>
                <w:color w:val="auto"/>
                <w:sz w:val="20"/>
                <w:szCs w:val="22"/>
                <w:highlight w:val="none"/>
                <w:vertAlign w:val="baseline"/>
                <w:lang w:val="en-US" w:eastAsia="zh-CN"/>
              </w:rPr>
            </w:pPr>
            <w:r>
              <w:rPr>
                <w:rFonts w:hint="default"/>
                <w:color w:val="auto"/>
                <w:sz w:val="20"/>
                <w:szCs w:val="22"/>
                <w:highlight w:val="none"/>
                <w:lang w:val="en-US" w:eastAsia="zh-CN"/>
              </w:rPr>
              <w:t>规模</w:t>
            </w:r>
          </w:p>
        </w:tc>
        <w:tc>
          <w:tcPr>
            <w:tcW w:w="4261" w:type="dxa"/>
          </w:tcPr>
          <w:p w14:paraId="1C527CD0">
            <w:pPr>
              <w:numPr>
                <w:ilvl w:val="0"/>
                <w:numId w:val="0"/>
              </w:numPr>
              <w:jc w:val="center"/>
              <w:rPr>
                <w:rFonts w:hint="default"/>
                <w:color w:val="auto"/>
                <w:sz w:val="20"/>
                <w:szCs w:val="22"/>
                <w:highlight w:val="none"/>
                <w:vertAlign w:val="baseline"/>
                <w:lang w:val="en-US" w:eastAsia="zh-CN"/>
              </w:rPr>
            </w:pPr>
            <w:r>
              <w:rPr>
                <w:rFonts w:hint="default"/>
                <w:color w:val="auto"/>
                <w:sz w:val="20"/>
                <w:szCs w:val="22"/>
                <w:highlight w:val="none"/>
                <w:lang w:val="en-US" w:eastAsia="zh-CN"/>
              </w:rPr>
              <w:t>床位数（床）</w:t>
            </w:r>
          </w:p>
        </w:tc>
      </w:tr>
      <w:tr w14:paraId="2408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2C9916">
            <w:pPr>
              <w:numPr>
                <w:ilvl w:val="0"/>
                <w:numId w:val="0"/>
              </w:numPr>
              <w:jc w:val="center"/>
              <w:rPr>
                <w:rFonts w:hint="default"/>
                <w:color w:val="auto"/>
                <w:sz w:val="20"/>
                <w:szCs w:val="22"/>
                <w:highlight w:val="none"/>
                <w:vertAlign w:val="baseline"/>
                <w:lang w:val="en-US" w:eastAsia="zh-CN"/>
              </w:rPr>
            </w:pPr>
            <w:r>
              <w:rPr>
                <w:rFonts w:hint="default"/>
                <w:color w:val="auto"/>
                <w:sz w:val="20"/>
                <w:szCs w:val="22"/>
                <w:highlight w:val="none"/>
                <w:lang w:val="en-US" w:eastAsia="zh-CN"/>
              </w:rPr>
              <w:t>小型</w:t>
            </w:r>
          </w:p>
        </w:tc>
        <w:tc>
          <w:tcPr>
            <w:tcW w:w="4261" w:type="dxa"/>
          </w:tcPr>
          <w:p w14:paraId="0E61308F">
            <w:pPr>
              <w:numPr>
                <w:ilvl w:val="0"/>
                <w:numId w:val="0"/>
              </w:numPr>
              <w:jc w:val="center"/>
              <w:rPr>
                <w:rFonts w:hint="default"/>
                <w:b w:val="0"/>
                <w:bCs w:val="0"/>
                <w:color w:val="auto"/>
                <w:sz w:val="20"/>
                <w:szCs w:val="22"/>
                <w:highlight w:val="none"/>
                <w:vertAlign w:val="baseline"/>
                <w:lang w:val="en-US" w:eastAsia="zh-CN"/>
              </w:rPr>
            </w:pPr>
            <w:r>
              <w:rPr>
                <w:rFonts w:hint="default"/>
                <w:b w:val="0"/>
                <w:bCs w:val="0"/>
                <w:color w:val="auto"/>
                <w:sz w:val="20"/>
                <w:szCs w:val="22"/>
                <w:highlight w:val="none"/>
                <w:lang w:val="en-US" w:eastAsia="zh-CN"/>
              </w:rPr>
              <w:t>≤1</w:t>
            </w:r>
            <w:r>
              <w:rPr>
                <w:rFonts w:hint="eastAsia"/>
                <w:b w:val="0"/>
                <w:bCs w:val="0"/>
                <w:color w:val="auto"/>
                <w:sz w:val="20"/>
                <w:szCs w:val="22"/>
                <w:highlight w:val="none"/>
                <w:lang w:val="en-US" w:eastAsia="zh-CN"/>
              </w:rPr>
              <w:t>0</w:t>
            </w:r>
            <w:r>
              <w:rPr>
                <w:rFonts w:hint="default"/>
                <w:b w:val="0"/>
                <w:bCs w:val="0"/>
                <w:color w:val="auto"/>
                <w:sz w:val="20"/>
                <w:szCs w:val="22"/>
                <w:highlight w:val="none"/>
                <w:lang w:val="en-US" w:eastAsia="zh-CN"/>
              </w:rPr>
              <w:t>0</w:t>
            </w:r>
          </w:p>
        </w:tc>
      </w:tr>
      <w:tr w14:paraId="1145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14:paraId="7266D040">
            <w:pPr>
              <w:numPr>
                <w:ilvl w:val="0"/>
                <w:numId w:val="0"/>
              </w:numPr>
              <w:jc w:val="center"/>
              <w:rPr>
                <w:rFonts w:hint="default"/>
                <w:color w:val="auto"/>
                <w:sz w:val="20"/>
                <w:szCs w:val="22"/>
                <w:highlight w:val="none"/>
                <w:vertAlign w:val="baseline"/>
                <w:lang w:val="en-US" w:eastAsia="zh-CN"/>
              </w:rPr>
            </w:pPr>
            <w:r>
              <w:rPr>
                <w:rFonts w:hint="default"/>
                <w:color w:val="auto"/>
                <w:sz w:val="20"/>
                <w:szCs w:val="22"/>
                <w:highlight w:val="none"/>
                <w:lang w:val="en-US" w:eastAsia="zh-CN"/>
              </w:rPr>
              <w:t>中型</w:t>
            </w:r>
          </w:p>
        </w:tc>
        <w:tc>
          <w:tcPr>
            <w:tcW w:w="4261" w:type="dxa"/>
          </w:tcPr>
          <w:p w14:paraId="12B523CD">
            <w:pPr>
              <w:numPr>
                <w:ilvl w:val="0"/>
                <w:numId w:val="0"/>
              </w:numPr>
              <w:jc w:val="center"/>
              <w:rPr>
                <w:rFonts w:hint="default"/>
                <w:b w:val="0"/>
                <w:bCs w:val="0"/>
                <w:color w:val="auto"/>
                <w:sz w:val="20"/>
                <w:szCs w:val="22"/>
                <w:highlight w:val="none"/>
                <w:vertAlign w:val="baseline"/>
                <w:lang w:val="en-US" w:eastAsia="zh-CN"/>
              </w:rPr>
            </w:pPr>
            <w:r>
              <w:rPr>
                <w:rFonts w:hint="default"/>
                <w:b w:val="0"/>
                <w:bCs w:val="0"/>
                <w:color w:val="auto"/>
                <w:sz w:val="20"/>
                <w:szCs w:val="22"/>
                <w:highlight w:val="none"/>
                <w:lang w:val="en-US" w:eastAsia="zh-CN"/>
              </w:rPr>
              <w:t>1</w:t>
            </w:r>
            <w:r>
              <w:rPr>
                <w:rFonts w:hint="eastAsia"/>
                <w:b w:val="0"/>
                <w:bCs w:val="0"/>
                <w:color w:val="auto"/>
                <w:sz w:val="20"/>
                <w:szCs w:val="22"/>
                <w:highlight w:val="none"/>
                <w:lang w:val="en-US" w:eastAsia="zh-CN"/>
              </w:rPr>
              <w:t>0</w:t>
            </w:r>
            <w:r>
              <w:rPr>
                <w:rFonts w:hint="default"/>
                <w:b w:val="0"/>
                <w:bCs w:val="0"/>
                <w:color w:val="auto"/>
                <w:sz w:val="20"/>
                <w:szCs w:val="22"/>
                <w:highlight w:val="none"/>
                <w:lang w:val="en-US" w:eastAsia="zh-CN"/>
              </w:rPr>
              <w:t>1～300</w:t>
            </w:r>
          </w:p>
        </w:tc>
      </w:tr>
      <w:tr w14:paraId="6C4E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84C8C6D">
            <w:pPr>
              <w:numPr>
                <w:ilvl w:val="0"/>
                <w:numId w:val="0"/>
              </w:numPr>
              <w:jc w:val="center"/>
              <w:rPr>
                <w:rFonts w:hint="default"/>
                <w:color w:val="auto"/>
                <w:sz w:val="20"/>
                <w:szCs w:val="22"/>
                <w:highlight w:val="none"/>
                <w:vertAlign w:val="baseline"/>
                <w:lang w:val="en-US" w:eastAsia="zh-CN"/>
              </w:rPr>
            </w:pPr>
            <w:r>
              <w:rPr>
                <w:rFonts w:hint="default"/>
                <w:color w:val="auto"/>
                <w:sz w:val="20"/>
                <w:szCs w:val="22"/>
                <w:highlight w:val="none"/>
                <w:lang w:val="en-US" w:eastAsia="zh-CN"/>
              </w:rPr>
              <w:t>大型</w:t>
            </w:r>
          </w:p>
        </w:tc>
        <w:tc>
          <w:tcPr>
            <w:tcW w:w="4261" w:type="dxa"/>
          </w:tcPr>
          <w:p w14:paraId="3C8BD681">
            <w:pPr>
              <w:numPr>
                <w:ilvl w:val="0"/>
                <w:numId w:val="0"/>
              </w:numPr>
              <w:jc w:val="center"/>
              <w:rPr>
                <w:rFonts w:hint="default"/>
                <w:b w:val="0"/>
                <w:bCs w:val="0"/>
                <w:color w:val="auto"/>
                <w:sz w:val="20"/>
                <w:szCs w:val="22"/>
                <w:highlight w:val="none"/>
                <w:vertAlign w:val="baseline"/>
                <w:lang w:val="en-US" w:eastAsia="zh-CN"/>
              </w:rPr>
            </w:pPr>
            <w:r>
              <w:rPr>
                <w:rFonts w:hint="default"/>
                <w:b w:val="0"/>
                <w:bCs w:val="0"/>
                <w:color w:val="auto"/>
                <w:sz w:val="20"/>
                <w:szCs w:val="22"/>
                <w:highlight w:val="none"/>
                <w:lang w:val="en-US" w:eastAsia="zh-CN"/>
              </w:rPr>
              <w:t>301～500</w:t>
            </w:r>
          </w:p>
        </w:tc>
      </w:tr>
      <w:tr w14:paraId="5E33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7A3FAD">
            <w:pPr>
              <w:numPr>
                <w:ilvl w:val="0"/>
                <w:numId w:val="0"/>
              </w:numPr>
              <w:jc w:val="center"/>
              <w:rPr>
                <w:rFonts w:hint="default"/>
                <w:color w:val="auto"/>
                <w:sz w:val="20"/>
                <w:szCs w:val="22"/>
                <w:highlight w:val="none"/>
                <w:vertAlign w:val="baseline"/>
                <w:lang w:val="en-US" w:eastAsia="zh-CN"/>
              </w:rPr>
            </w:pPr>
            <w:r>
              <w:rPr>
                <w:rFonts w:hint="default"/>
                <w:color w:val="auto"/>
                <w:sz w:val="20"/>
                <w:szCs w:val="22"/>
                <w:highlight w:val="none"/>
                <w:lang w:val="en-US" w:eastAsia="zh-CN"/>
              </w:rPr>
              <w:t>特大型</w:t>
            </w:r>
          </w:p>
        </w:tc>
        <w:tc>
          <w:tcPr>
            <w:tcW w:w="4261" w:type="dxa"/>
          </w:tcPr>
          <w:p w14:paraId="618D13AC">
            <w:pPr>
              <w:numPr>
                <w:ilvl w:val="0"/>
                <w:numId w:val="0"/>
              </w:numPr>
              <w:jc w:val="center"/>
              <w:rPr>
                <w:rFonts w:hint="default"/>
                <w:b w:val="0"/>
                <w:bCs w:val="0"/>
                <w:color w:val="auto"/>
                <w:sz w:val="20"/>
                <w:szCs w:val="22"/>
                <w:highlight w:val="none"/>
                <w:vertAlign w:val="baseline"/>
                <w:lang w:val="en-US" w:eastAsia="zh-CN"/>
              </w:rPr>
            </w:pPr>
            <w:r>
              <w:rPr>
                <w:rFonts w:hint="default"/>
                <w:b w:val="0"/>
                <w:bCs w:val="0"/>
                <w:color w:val="auto"/>
                <w:sz w:val="20"/>
                <w:szCs w:val="22"/>
                <w:highlight w:val="none"/>
                <w:lang w:val="en-US" w:eastAsia="zh-CN"/>
              </w:rPr>
              <w:t>&gt;500</w:t>
            </w:r>
          </w:p>
        </w:tc>
      </w:tr>
    </w:tbl>
    <w:p w14:paraId="5CB684DD">
      <w:pPr>
        <w:numPr>
          <w:ilvl w:val="0"/>
          <w:numId w:val="0"/>
        </w:numPr>
        <w:rPr>
          <w:rFonts w:hint="default"/>
          <w:color w:val="auto"/>
          <w:highlight w:val="none"/>
          <w:lang w:val="en-US" w:eastAsia="zh-CN"/>
        </w:rPr>
      </w:pPr>
    </w:p>
    <w:p w14:paraId="125ADC33">
      <w:pPr>
        <w:numPr>
          <w:ilvl w:val="2"/>
          <w:numId w:val="5"/>
        </w:numPr>
        <w:ind w:left="0" w:leftChars="0" w:hanging="9" w:firstLineChars="0"/>
        <w:outlineLvl w:val="1"/>
        <w:rPr>
          <w:rFonts w:hint="default"/>
          <w:color w:val="auto"/>
          <w:highlight w:val="none"/>
          <w:lang w:val="en-US" w:eastAsia="zh-CN"/>
        </w:rPr>
      </w:pPr>
      <w:bookmarkStart w:id="31" w:name="_Toc19454"/>
      <w:bookmarkStart w:id="32" w:name="_Toc20034"/>
      <w:r>
        <w:rPr>
          <w:rFonts w:hint="eastAsia"/>
          <w:color w:val="auto"/>
          <w:highlight w:val="none"/>
          <w:lang w:val="en-US" w:eastAsia="zh"/>
        </w:rPr>
        <w:t>老年人照料设施</w:t>
      </w:r>
      <w:r>
        <w:rPr>
          <w:rFonts w:hint="default"/>
          <w:color w:val="auto"/>
          <w:highlight w:val="none"/>
          <w:lang w:val="en-US" w:eastAsia="zh-CN"/>
        </w:rPr>
        <w:t>选址应符合下列规定：</w:t>
      </w:r>
      <w:bookmarkEnd w:id="31"/>
      <w:bookmarkEnd w:id="32"/>
      <w:r>
        <w:rPr>
          <w:rFonts w:hint="default"/>
          <w:color w:val="auto"/>
          <w:highlight w:val="none"/>
          <w:lang w:val="en-US" w:eastAsia="zh-CN"/>
        </w:rPr>
        <w:t xml:space="preserve"> </w:t>
      </w:r>
    </w:p>
    <w:p w14:paraId="12026612">
      <w:pPr>
        <w:keepNext w:val="0"/>
        <w:keepLines w:val="0"/>
        <w:widowControl w:val="0"/>
        <w:numPr>
          <w:ilvl w:val="0"/>
          <w:numId w:val="0"/>
        </w:numPr>
        <w:suppressLineNumbers w:val="0"/>
        <w:spacing w:before="0" w:beforeAutospacing="0" w:after="0" w:afterAutospacing="0"/>
        <w:ind w:left="0" w:leftChars="0" w:right="0" w:hanging="9" w:firstLineChars="0"/>
        <w:jc w:val="both"/>
        <w:rPr>
          <w:rFonts w:hint="default"/>
          <w:color w:val="auto"/>
          <w:highlight w:val="none"/>
          <w:lang w:val="en-US" w:eastAsia="zh-CN"/>
        </w:rPr>
      </w:pPr>
      <w:r>
        <w:rPr>
          <w:rFonts w:hint="default"/>
          <w:color w:val="auto"/>
          <w:highlight w:val="none"/>
          <w:lang w:val="en-US" w:eastAsia="zh-CN"/>
        </w:rPr>
        <w:t xml:space="preserve">1 </w:t>
      </w:r>
      <w:r>
        <w:rPr>
          <w:rFonts w:hint="default"/>
          <w:color w:val="auto"/>
          <w:highlight w:val="none"/>
          <w:lang w:val="en-US" w:eastAsia="zh-CN"/>
          <w:woUserID w:val="1"/>
        </w:rPr>
        <w:t>工程地质条件稳定。宜选择对建筑抗震有利地段或一般地段；对不利地段应尽量避开，当无法避开时应采取有效的抗震措施；严禁选择危险地段</w:t>
      </w:r>
      <w:r>
        <w:rPr>
          <w:rFonts w:hint="default"/>
          <w:color w:val="auto"/>
          <w:highlight w:val="none"/>
          <w:lang w:val="en-US" w:eastAsia="zh-CN"/>
        </w:rPr>
        <w:t xml:space="preserve">； </w:t>
      </w:r>
    </w:p>
    <w:p w14:paraId="1C04FCFB">
      <w:pPr>
        <w:numPr>
          <w:ilvl w:val="0"/>
          <w:numId w:val="0"/>
        </w:numPr>
        <w:ind w:left="0" w:leftChars="0" w:hanging="9" w:firstLineChars="0"/>
        <w:rPr>
          <w:rFonts w:hint="default"/>
          <w:color w:val="auto"/>
          <w:highlight w:val="none"/>
          <w:lang w:val="en-US" w:eastAsia="zh-CN"/>
        </w:rPr>
      </w:pPr>
      <w:r>
        <w:rPr>
          <w:rFonts w:hint="default"/>
          <w:color w:val="auto"/>
          <w:highlight w:val="none"/>
          <w:lang w:val="en-US" w:eastAsia="zh-CN"/>
        </w:rPr>
        <w:t xml:space="preserve">2 日照充足、通风良好、交通方便，宜邻近医疗设施及公共服务设施，远离污染源、噪声源及危险品生产、储运的区域。 </w:t>
      </w:r>
    </w:p>
    <w:p w14:paraId="360DB4A8">
      <w:pPr>
        <w:numPr>
          <w:ilvl w:val="2"/>
          <w:numId w:val="5"/>
        </w:numPr>
        <w:ind w:left="0" w:leftChars="0" w:hanging="9" w:firstLineChars="0"/>
        <w:rPr>
          <w:rFonts w:hint="default"/>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宜为多层，且宜独立设置。小型</w:t>
      </w:r>
      <w:r>
        <w:rPr>
          <w:rFonts w:hint="eastAsia"/>
          <w:color w:val="auto"/>
          <w:highlight w:val="none"/>
          <w:lang w:val="en-US" w:eastAsia="zh"/>
        </w:rPr>
        <w:t>老年人照料设施</w:t>
      </w:r>
      <w:r>
        <w:rPr>
          <w:rFonts w:hint="default"/>
          <w:color w:val="auto"/>
          <w:highlight w:val="none"/>
          <w:lang w:val="en-US" w:eastAsia="zh-CN"/>
        </w:rPr>
        <w:t xml:space="preserve">可与居住区中其他公共建筑合并设置，其交通系统应独立设置。   </w:t>
      </w:r>
    </w:p>
    <w:p w14:paraId="1BCCD447">
      <w:pPr>
        <w:numPr>
          <w:ilvl w:val="2"/>
          <w:numId w:val="5"/>
        </w:numPr>
        <w:ind w:left="0" w:leftChars="0" w:hanging="9" w:firstLineChars="0"/>
        <w:rPr>
          <w:rFonts w:hint="default"/>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中老年人用房的主要房间的采光窗洞口面积与该房间楼（地）面面积之比，自然通风开口面积与该房间楼（地）面面积之比，宜符合表 3.0.</w:t>
      </w:r>
      <w:r>
        <w:rPr>
          <w:rFonts w:hint="eastAsia"/>
          <w:color w:val="auto"/>
          <w:highlight w:val="none"/>
          <w:lang w:val="en-US" w:eastAsia="zh-CN"/>
        </w:rPr>
        <w:t>6</w:t>
      </w:r>
      <w:r>
        <w:rPr>
          <w:rFonts w:hint="default"/>
          <w:color w:val="auto"/>
          <w:highlight w:val="none"/>
          <w:lang w:val="en-US" w:eastAsia="zh-CN"/>
        </w:rPr>
        <w:t>-1、表 3.0.</w:t>
      </w:r>
      <w:r>
        <w:rPr>
          <w:rFonts w:hint="eastAsia"/>
          <w:color w:val="auto"/>
          <w:highlight w:val="none"/>
          <w:lang w:val="en-US" w:eastAsia="zh-CN"/>
        </w:rPr>
        <w:t>6</w:t>
      </w:r>
      <w:r>
        <w:rPr>
          <w:rFonts w:hint="default"/>
          <w:color w:val="auto"/>
          <w:highlight w:val="none"/>
          <w:lang w:val="en-US" w:eastAsia="zh-CN"/>
        </w:rPr>
        <w:t>-2 的规定。</w:t>
      </w:r>
    </w:p>
    <w:p w14:paraId="7C41BF2F">
      <w:pPr>
        <w:numPr>
          <w:ilvl w:val="0"/>
          <w:numId w:val="0"/>
        </w:numPr>
        <w:jc w:val="center"/>
        <w:rPr>
          <w:rFonts w:hint="default"/>
          <w:color w:val="auto"/>
          <w:highlight w:val="none"/>
          <w:lang w:val="en-US" w:eastAsia="zh-CN"/>
        </w:rPr>
      </w:pPr>
      <w:r>
        <w:rPr>
          <w:rFonts w:hint="default"/>
          <w:b/>
          <w:bCs/>
          <w:color w:val="auto"/>
          <w:sz w:val="18"/>
          <w:szCs w:val="21"/>
          <w:highlight w:val="none"/>
          <w:lang w:val="en-US" w:eastAsia="zh-CN"/>
        </w:rPr>
        <w:t xml:space="preserve">  表 3.0.</w:t>
      </w:r>
      <w:r>
        <w:rPr>
          <w:rFonts w:hint="eastAsia"/>
          <w:b/>
          <w:bCs/>
          <w:color w:val="auto"/>
          <w:sz w:val="21"/>
          <w:szCs w:val="21"/>
          <w:highlight w:val="none"/>
          <w:lang w:val="en-US" w:eastAsia="zh-CN"/>
        </w:rPr>
        <w:t>6</w:t>
      </w:r>
      <w:r>
        <w:rPr>
          <w:rFonts w:hint="default"/>
          <w:b/>
          <w:bCs/>
          <w:color w:val="auto"/>
          <w:sz w:val="18"/>
          <w:szCs w:val="21"/>
          <w:highlight w:val="none"/>
          <w:lang w:val="en-US" w:eastAsia="zh-CN"/>
        </w:rPr>
        <w:t>-1 老年人用房的主要房间的采光窗洞口面积与该房间楼（地）面面积之比</w:t>
      </w:r>
    </w:p>
    <w:tbl>
      <w:tblPr>
        <w:tblStyle w:val="11"/>
        <w:tblW w:w="0" w:type="auto"/>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4"/>
        <w:gridCol w:w="2392"/>
      </w:tblGrid>
      <w:tr w14:paraId="1025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334" w:type="dxa"/>
          </w:tcPr>
          <w:p w14:paraId="64602A9B">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房间名称</w:t>
            </w:r>
          </w:p>
        </w:tc>
        <w:tc>
          <w:tcPr>
            <w:tcW w:w="2392" w:type="dxa"/>
          </w:tcPr>
          <w:p w14:paraId="3DC571E6">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窗地面积之比</w:t>
            </w:r>
          </w:p>
        </w:tc>
      </w:tr>
      <w:tr w14:paraId="4020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34" w:type="dxa"/>
          </w:tcPr>
          <w:p w14:paraId="71568258">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活动室</w:t>
            </w:r>
            <w:r>
              <w:rPr>
                <w:rFonts w:hint="eastAsia"/>
                <w:color w:val="auto"/>
                <w:kern w:val="0"/>
                <w:sz w:val="20"/>
                <w:szCs w:val="22"/>
                <w:highlight w:val="none"/>
                <w:lang w:eastAsia="zh-CN"/>
              </w:rPr>
              <w:t>、</w:t>
            </w:r>
            <w:r>
              <w:rPr>
                <w:rFonts w:hint="eastAsia"/>
                <w:color w:val="auto"/>
                <w:kern w:val="0"/>
                <w:sz w:val="20"/>
                <w:szCs w:val="22"/>
                <w:highlight w:val="none"/>
              </w:rPr>
              <w:t>起居室、卧室、公共餐厅、</w:t>
            </w:r>
            <w:r>
              <w:rPr>
                <w:rFonts w:hint="eastAsia"/>
                <w:color w:val="auto"/>
                <w:kern w:val="0"/>
                <w:sz w:val="20"/>
                <w:szCs w:val="22"/>
                <w:highlight w:val="none"/>
                <w:lang w:eastAsia="zh"/>
                <w:woUserID w:val="1"/>
              </w:rPr>
              <w:t>文娱健身用房、</w:t>
            </w:r>
            <w:r>
              <w:rPr>
                <w:rFonts w:hint="eastAsia"/>
                <w:color w:val="auto"/>
                <w:kern w:val="0"/>
                <w:sz w:val="20"/>
                <w:szCs w:val="22"/>
                <w:highlight w:val="none"/>
              </w:rPr>
              <w:t>医疗用房、保健用房</w:t>
            </w:r>
          </w:p>
        </w:tc>
        <w:tc>
          <w:tcPr>
            <w:tcW w:w="2392" w:type="dxa"/>
          </w:tcPr>
          <w:p w14:paraId="46CEECAF">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1:6</w:t>
            </w:r>
          </w:p>
        </w:tc>
      </w:tr>
      <w:tr w14:paraId="2BC1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334" w:type="dxa"/>
          </w:tcPr>
          <w:p w14:paraId="6A7F8D8D">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公用自助厨房</w:t>
            </w:r>
          </w:p>
        </w:tc>
        <w:tc>
          <w:tcPr>
            <w:tcW w:w="2392" w:type="dxa"/>
          </w:tcPr>
          <w:p w14:paraId="37B38D45">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1:7</w:t>
            </w:r>
          </w:p>
        </w:tc>
      </w:tr>
      <w:tr w14:paraId="4BF7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334" w:type="dxa"/>
          </w:tcPr>
          <w:p w14:paraId="670D30AE">
            <w:pPr>
              <w:autoSpaceDN w:val="0"/>
              <w:spacing w:beforeAutospacing="1" w:afterAutospacing="1" w:line="330" w:lineRule="atLeast"/>
              <w:jc w:val="center"/>
              <w:rPr>
                <w:color w:val="auto"/>
                <w:kern w:val="0"/>
                <w:sz w:val="20"/>
                <w:szCs w:val="22"/>
                <w:highlight w:val="none"/>
              </w:rPr>
            </w:pPr>
            <w:r>
              <w:rPr>
                <w:rFonts w:hint="eastAsia"/>
                <w:color w:val="auto"/>
                <w:kern w:val="0"/>
                <w:sz w:val="20"/>
                <w:szCs w:val="22"/>
                <w:highlight w:val="none"/>
              </w:rPr>
              <w:t>公用卫生间、公用淋浴间、老年人专用浴室</w:t>
            </w:r>
          </w:p>
        </w:tc>
        <w:tc>
          <w:tcPr>
            <w:tcW w:w="2392" w:type="dxa"/>
          </w:tcPr>
          <w:p w14:paraId="71B322BC">
            <w:pPr>
              <w:autoSpaceDN w:val="0"/>
              <w:spacing w:beforeAutospacing="1" w:afterAutospacing="1" w:line="330" w:lineRule="atLeast"/>
              <w:jc w:val="center"/>
              <w:rPr>
                <w:rFonts w:hint="eastAsia" w:eastAsiaTheme="minorEastAsia"/>
                <w:color w:val="auto"/>
                <w:kern w:val="0"/>
                <w:sz w:val="20"/>
                <w:szCs w:val="22"/>
                <w:highlight w:val="none"/>
                <w:lang w:eastAsia="zh-CN"/>
              </w:rPr>
            </w:pPr>
            <w:r>
              <w:rPr>
                <w:rFonts w:hint="eastAsia"/>
                <w:color w:val="auto"/>
                <w:kern w:val="0"/>
                <w:sz w:val="20"/>
                <w:szCs w:val="22"/>
                <w:highlight w:val="none"/>
              </w:rPr>
              <w:t>1:9</w:t>
            </w:r>
          </w:p>
        </w:tc>
      </w:tr>
    </w:tbl>
    <w:p w14:paraId="3C9552A5">
      <w:pPr>
        <w:numPr>
          <w:ilvl w:val="0"/>
          <w:numId w:val="0"/>
        </w:numPr>
        <w:rPr>
          <w:rFonts w:hint="default"/>
          <w:color w:val="auto"/>
          <w:sz w:val="20"/>
          <w:szCs w:val="22"/>
          <w:highlight w:val="none"/>
          <w:lang w:val="en-US" w:eastAsia="zh-CN"/>
        </w:rPr>
      </w:pPr>
      <w:r>
        <w:rPr>
          <w:rFonts w:hint="default"/>
          <w:color w:val="auto"/>
          <w:sz w:val="20"/>
          <w:szCs w:val="22"/>
          <w:highlight w:val="none"/>
          <w:lang w:val="en-US" w:eastAsia="zh-CN"/>
        </w:rPr>
        <w:t>注：其他房间的窗地面积之比参考国家相关规范执行。</w:t>
      </w:r>
    </w:p>
    <w:p w14:paraId="32B1E629">
      <w:pPr>
        <w:numPr>
          <w:ilvl w:val="0"/>
          <w:numId w:val="0"/>
        </w:numPr>
        <w:jc w:val="center"/>
        <w:rPr>
          <w:rFonts w:hint="default"/>
          <w:b/>
          <w:bCs/>
          <w:color w:val="auto"/>
          <w:sz w:val="18"/>
          <w:szCs w:val="21"/>
          <w:highlight w:val="none"/>
          <w:lang w:val="en-US" w:eastAsia="zh-CN"/>
        </w:rPr>
      </w:pPr>
      <w:r>
        <w:rPr>
          <w:rFonts w:hint="default"/>
          <w:b/>
          <w:bCs/>
          <w:color w:val="auto"/>
          <w:sz w:val="18"/>
          <w:szCs w:val="21"/>
          <w:highlight w:val="none"/>
          <w:lang w:val="en-US" w:eastAsia="zh-CN"/>
        </w:rPr>
        <w:t>表 3.0.</w:t>
      </w:r>
      <w:r>
        <w:rPr>
          <w:rFonts w:hint="eastAsia"/>
          <w:b/>
          <w:bCs/>
          <w:color w:val="auto"/>
          <w:sz w:val="21"/>
          <w:szCs w:val="21"/>
          <w:highlight w:val="none"/>
          <w:lang w:val="en-US" w:eastAsia="zh-CN"/>
        </w:rPr>
        <w:t>6</w:t>
      </w:r>
      <w:r>
        <w:rPr>
          <w:rFonts w:hint="default"/>
          <w:b/>
          <w:bCs/>
          <w:color w:val="auto"/>
          <w:sz w:val="18"/>
          <w:szCs w:val="21"/>
          <w:highlight w:val="none"/>
          <w:lang w:val="en-US" w:eastAsia="zh-CN"/>
        </w:rPr>
        <w:t xml:space="preserve">-2 老年人用房的主要房间的自然通风开口面积与 </w:t>
      </w:r>
    </w:p>
    <w:p w14:paraId="48086807">
      <w:pPr>
        <w:numPr>
          <w:ilvl w:val="0"/>
          <w:numId w:val="0"/>
        </w:numPr>
        <w:jc w:val="center"/>
        <w:rPr>
          <w:rFonts w:hint="default"/>
          <w:b/>
          <w:bCs/>
          <w:color w:val="auto"/>
          <w:sz w:val="18"/>
          <w:szCs w:val="21"/>
          <w:highlight w:val="none"/>
          <w:lang w:val="en-US" w:eastAsia="zh-CN"/>
        </w:rPr>
      </w:pPr>
      <w:r>
        <w:rPr>
          <w:rFonts w:hint="default"/>
          <w:b/>
          <w:bCs/>
          <w:color w:val="auto"/>
          <w:sz w:val="18"/>
          <w:szCs w:val="21"/>
          <w:highlight w:val="none"/>
          <w:lang w:val="en-US" w:eastAsia="zh-CN"/>
        </w:rPr>
        <w:t xml:space="preserve">该房间楼（地）面面积之比 </w:t>
      </w:r>
    </w:p>
    <w:tbl>
      <w:tblPr>
        <w:tblStyle w:val="11"/>
        <w:tblW w:w="0" w:type="auto"/>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4654"/>
      </w:tblGrid>
      <w:tr w14:paraId="1D8A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3072" w:type="dxa"/>
          </w:tcPr>
          <w:p w14:paraId="6BD44046">
            <w:pPr>
              <w:autoSpaceDN w:val="0"/>
              <w:spacing w:beforeAutospacing="1" w:afterAutospacing="1" w:line="330" w:lineRule="atLeast"/>
              <w:jc w:val="center"/>
              <w:rPr>
                <w:rFonts w:hint="eastAsia"/>
                <w:color w:val="auto"/>
                <w:kern w:val="0"/>
                <w:sz w:val="20"/>
                <w:szCs w:val="22"/>
                <w:highlight w:val="none"/>
              </w:rPr>
            </w:pPr>
            <w:r>
              <w:rPr>
                <w:rFonts w:hint="eastAsia"/>
                <w:color w:val="auto"/>
                <w:kern w:val="0"/>
                <w:sz w:val="20"/>
                <w:szCs w:val="22"/>
                <w:highlight w:val="none"/>
              </w:rPr>
              <w:t>房间名称</w:t>
            </w:r>
          </w:p>
        </w:tc>
        <w:tc>
          <w:tcPr>
            <w:tcW w:w="4654" w:type="dxa"/>
          </w:tcPr>
          <w:p w14:paraId="568C3181">
            <w:pPr>
              <w:autoSpaceDN w:val="0"/>
              <w:spacing w:beforeAutospacing="1" w:afterAutospacing="1" w:line="330" w:lineRule="atLeast"/>
              <w:jc w:val="center"/>
              <w:rPr>
                <w:rFonts w:hint="eastAsia"/>
                <w:color w:val="auto"/>
                <w:kern w:val="0"/>
                <w:sz w:val="20"/>
                <w:szCs w:val="22"/>
                <w:highlight w:val="none"/>
              </w:rPr>
            </w:pPr>
            <w:r>
              <w:rPr>
                <w:rFonts w:hint="eastAsia"/>
                <w:color w:val="auto"/>
                <w:kern w:val="0"/>
                <w:sz w:val="20"/>
                <w:szCs w:val="22"/>
                <w:highlight w:val="none"/>
              </w:rPr>
              <w:t>自然通风开口面积与该房间</w:t>
            </w:r>
            <w:r>
              <w:rPr>
                <w:rFonts w:hint="default"/>
                <w:color w:val="auto"/>
                <w:kern w:val="0"/>
                <w:sz w:val="20"/>
                <w:szCs w:val="22"/>
                <w:highlight w:val="none"/>
              </w:rPr>
              <w:t>楼（地）面面积之比</w:t>
            </w:r>
          </w:p>
        </w:tc>
      </w:tr>
      <w:tr w14:paraId="1387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72" w:type="dxa"/>
          </w:tcPr>
          <w:p w14:paraId="407F7FC5">
            <w:pPr>
              <w:autoSpaceDN w:val="0"/>
              <w:spacing w:beforeAutospacing="1" w:afterAutospacing="1" w:line="330" w:lineRule="atLeast"/>
              <w:jc w:val="center"/>
              <w:rPr>
                <w:rFonts w:hint="eastAsia"/>
                <w:color w:val="auto"/>
                <w:kern w:val="0"/>
                <w:sz w:val="20"/>
                <w:szCs w:val="22"/>
                <w:highlight w:val="none"/>
              </w:rPr>
            </w:pPr>
            <w:r>
              <w:rPr>
                <w:rFonts w:hint="eastAsia"/>
                <w:color w:val="auto"/>
                <w:kern w:val="0"/>
                <w:sz w:val="20"/>
                <w:szCs w:val="22"/>
                <w:highlight w:val="none"/>
              </w:rPr>
              <w:t>卧室、起居室</w:t>
            </w:r>
          </w:p>
        </w:tc>
        <w:tc>
          <w:tcPr>
            <w:tcW w:w="4654" w:type="dxa"/>
          </w:tcPr>
          <w:p w14:paraId="4A21777E">
            <w:pPr>
              <w:autoSpaceDN w:val="0"/>
              <w:spacing w:beforeAutospacing="1" w:afterAutospacing="1" w:line="330" w:lineRule="atLeast"/>
              <w:jc w:val="center"/>
              <w:rPr>
                <w:rFonts w:hint="eastAsia"/>
                <w:color w:val="auto"/>
                <w:kern w:val="0"/>
                <w:sz w:val="20"/>
                <w:szCs w:val="22"/>
                <w:highlight w:val="none"/>
              </w:rPr>
            </w:pPr>
            <w:r>
              <w:rPr>
                <w:rFonts w:hint="eastAsia"/>
                <w:color w:val="auto"/>
                <w:kern w:val="0"/>
                <w:sz w:val="20"/>
                <w:szCs w:val="22"/>
                <w:highlight w:val="none"/>
              </w:rPr>
              <w:t xml:space="preserve">1∶20 </w:t>
            </w:r>
          </w:p>
        </w:tc>
      </w:tr>
      <w:tr w14:paraId="4369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72" w:type="dxa"/>
          </w:tcPr>
          <w:p w14:paraId="4FBD9487">
            <w:pPr>
              <w:autoSpaceDN w:val="0"/>
              <w:spacing w:beforeAutospacing="1" w:afterAutospacing="1" w:line="330" w:lineRule="atLeast"/>
              <w:jc w:val="center"/>
              <w:rPr>
                <w:rFonts w:hint="eastAsia"/>
                <w:color w:val="auto"/>
                <w:kern w:val="0"/>
                <w:sz w:val="20"/>
                <w:szCs w:val="22"/>
                <w:highlight w:val="none"/>
              </w:rPr>
            </w:pPr>
            <w:r>
              <w:rPr>
                <w:rFonts w:hint="eastAsia"/>
                <w:color w:val="auto"/>
                <w:kern w:val="0"/>
                <w:sz w:val="20"/>
                <w:szCs w:val="22"/>
                <w:highlight w:val="none"/>
              </w:rPr>
              <w:t>公用自助厨房</w:t>
            </w:r>
          </w:p>
        </w:tc>
        <w:tc>
          <w:tcPr>
            <w:tcW w:w="4654" w:type="dxa"/>
          </w:tcPr>
          <w:p w14:paraId="5BB9DA56">
            <w:pPr>
              <w:autoSpaceDN w:val="0"/>
              <w:spacing w:beforeAutospacing="1" w:afterAutospacing="1" w:line="330" w:lineRule="atLeast"/>
              <w:jc w:val="center"/>
              <w:rPr>
                <w:rFonts w:hint="eastAsia"/>
                <w:color w:val="auto"/>
                <w:kern w:val="0"/>
                <w:sz w:val="20"/>
                <w:szCs w:val="22"/>
                <w:highlight w:val="none"/>
              </w:rPr>
            </w:pPr>
            <w:r>
              <w:rPr>
                <w:rFonts w:hint="eastAsia"/>
                <w:color w:val="auto"/>
                <w:kern w:val="0"/>
                <w:sz w:val="20"/>
                <w:szCs w:val="22"/>
                <w:highlight w:val="none"/>
              </w:rPr>
              <w:t>1∶10，并不得小于 0.60 m</w:t>
            </w:r>
            <w:r>
              <w:rPr>
                <w:rFonts w:hint="eastAsia"/>
                <w:color w:val="auto"/>
                <w:kern w:val="0"/>
                <w:sz w:val="20"/>
                <w:szCs w:val="22"/>
                <w:highlight w:val="none"/>
                <w:vertAlign w:val="superscript"/>
              </w:rPr>
              <w:t>2</w:t>
            </w:r>
          </w:p>
        </w:tc>
      </w:tr>
    </w:tbl>
    <w:p w14:paraId="14088FED">
      <w:pPr>
        <w:numPr>
          <w:ilvl w:val="0"/>
          <w:numId w:val="0"/>
        </w:numPr>
        <w:rPr>
          <w:rFonts w:hint="default"/>
          <w:color w:val="auto"/>
          <w:sz w:val="20"/>
          <w:szCs w:val="22"/>
          <w:highlight w:val="none"/>
          <w:lang w:val="en-US" w:eastAsia="zh-CN"/>
        </w:rPr>
      </w:pPr>
      <w:r>
        <w:rPr>
          <w:rFonts w:hint="default"/>
          <w:color w:val="auto"/>
          <w:sz w:val="20"/>
          <w:szCs w:val="22"/>
          <w:highlight w:val="none"/>
          <w:lang w:val="en-US" w:eastAsia="zh-CN"/>
        </w:rPr>
        <w:t>注：当厨房外设置阳台时，阳台的自然通风开口面积不应小于厨房和阳台地板面积总和的 1</w:t>
      </w:r>
      <w:r>
        <w:rPr>
          <w:rFonts w:hint="eastAsia"/>
          <w:color w:val="auto"/>
          <w:sz w:val="20"/>
          <w:szCs w:val="22"/>
          <w:highlight w:val="none"/>
          <w:lang w:val="en-US" w:eastAsia="zh-CN"/>
        </w:rPr>
        <w:t>：</w:t>
      </w:r>
      <w:r>
        <w:rPr>
          <w:rFonts w:hint="default"/>
          <w:color w:val="auto"/>
          <w:sz w:val="20"/>
          <w:szCs w:val="22"/>
          <w:highlight w:val="none"/>
          <w:lang w:val="en-US" w:eastAsia="zh-CN"/>
        </w:rPr>
        <w:t>10，并不得小于 0.60 m</w:t>
      </w:r>
      <w:r>
        <w:rPr>
          <w:rFonts w:hint="default"/>
          <w:color w:val="auto"/>
          <w:sz w:val="20"/>
          <w:szCs w:val="22"/>
          <w:highlight w:val="none"/>
          <w:vertAlign w:val="superscript"/>
          <w:lang w:val="en-US" w:eastAsia="zh-CN"/>
        </w:rPr>
        <w:t>2</w:t>
      </w:r>
      <w:r>
        <w:rPr>
          <w:rFonts w:hint="default"/>
          <w:color w:val="auto"/>
          <w:sz w:val="20"/>
          <w:szCs w:val="22"/>
          <w:highlight w:val="none"/>
          <w:lang w:val="en-US" w:eastAsia="zh-CN"/>
        </w:rPr>
        <w:t xml:space="preserve"> 。</w:t>
      </w:r>
    </w:p>
    <w:p w14:paraId="256D8ADF">
      <w:pPr>
        <w:numPr>
          <w:ilvl w:val="2"/>
          <w:numId w:val="5"/>
        </w:numPr>
        <w:ind w:left="0" w:leftChars="0" w:hanging="9" w:firstLineChars="0"/>
        <w:rPr>
          <w:rFonts w:hint="default" w:asciiTheme="minorHAnsi" w:hAnsiTheme="minorHAnsi" w:eastAsiaTheme="minorEastAsia" w:cstheme="minorBidi"/>
          <w:b w:val="0"/>
          <w:bCs w:val="0"/>
          <w:color w:val="auto"/>
          <w:kern w:val="2"/>
          <w:sz w:val="21"/>
          <w:szCs w:val="24"/>
          <w:highlight w:val="none"/>
          <w:lang w:val="en-US" w:eastAsia="zh-CN" w:bidi="ar-SA"/>
        </w:rPr>
      </w:pPr>
      <w:r>
        <w:rPr>
          <w:rFonts w:hint="default"/>
          <w:b/>
          <w:bCs/>
          <w:color w:val="auto"/>
          <w:sz w:val="21"/>
          <w:szCs w:val="21"/>
          <w:highlight w:val="none"/>
          <w:lang w:val="en-US" w:eastAsia="zh-CN"/>
        </w:rPr>
        <w:t>二层及以上楼层设有老年人生活用房、</w:t>
      </w:r>
      <w:r>
        <w:rPr>
          <w:rFonts w:hint="eastAsia"/>
          <w:b/>
          <w:bCs/>
          <w:color w:val="auto"/>
          <w:szCs w:val="21"/>
          <w:highlight w:val="none"/>
          <w:lang w:val="en-US" w:eastAsia="zh-CN"/>
          <w:woUserID w:val="1"/>
        </w:rPr>
        <w:t>康复与医疗用房</w:t>
      </w:r>
      <w:r>
        <w:rPr>
          <w:rFonts w:hint="default"/>
          <w:b/>
          <w:bCs/>
          <w:color w:val="auto"/>
          <w:sz w:val="21"/>
          <w:szCs w:val="21"/>
          <w:highlight w:val="none"/>
          <w:lang w:val="en-US" w:eastAsia="zh-CN"/>
        </w:rPr>
        <w:t>、</w:t>
      </w:r>
      <w:r>
        <w:rPr>
          <w:rFonts w:hint="eastAsia"/>
          <w:b/>
          <w:bCs/>
          <w:color w:val="auto"/>
          <w:szCs w:val="21"/>
          <w:highlight w:val="none"/>
          <w:lang w:val="en-US" w:eastAsia="zh-CN"/>
          <w:woUserID w:val="1"/>
        </w:rPr>
        <w:t>文娱与健身用房</w:t>
      </w:r>
      <w:r>
        <w:rPr>
          <w:rFonts w:hint="default"/>
          <w:b/>
          <w:bCs/>
          <w:color w:val="auto"/>
          <w:sz w:val="21"/>
          <w:szCs w:val="21"/>
          <w:highlight w:val="none"/>
          <w:lang w:val="en-US" w:eastAsia="zh-CN"/>
        </w:rPr>
        <w:t>的</w:t>
      </w:r>
      <w:r>
        <w:rPr>
          <w:rFonts w:hint="eastAsia"/>
          <w:b/>
          <w:bCs/>
          <w:color w:val="auto"/>
          <w:sz w:val="21"/>
          <w:szCs w:val="21"/>
          <w:highlight w:val="none"/>
          <w:lang w:val="en-US" w:eastAsia="zh"/>
        </w:rPr>
        <w:t>老年人照料设施</w:t>
      </w:r>
      <w:r>
        <w:rPr>
          <w:rFonts w:hint="default"/>
          <w:b/>
          <w:bCs/>
          <w:color w:val="auto"/>
          <w:sz w:val="21"/>
          <w:szCs w:val="21"/>
          <w:highlight w:val="none"/>
          <w:lang w:val="en-US" w:eastAsia="zh-CN"/>
        </w:rPr>
        <w:t>应设无障碍电梯，且至少1台为医用电梯</w:t>
      </w:r>
      <w:r>
        <w:rPr>
          <w:rFonts w:hint="default"/>
          <w:b/>
          <w:bCs/>
          <w:color w:val="auto"/>
          <w:sz w:val="20"/>
          <w:szCs w:val="22"/>
          <w:highlight w:val="none"/>
          <w:lang w:val="en-US" w:eastAsia="zh-CN"/>
        </w:rPr>
        <w:t>。</w:t>
      </w:r>
    </w:p>
    <w:p w14:paraId="0CCABCE0">
      <w:pPr>
        <w:numPr>
          <w:ilvl w:val="2"/>
          <w:numId w:val="5"/>
        </w:numPr>
        <w:ind w:left="9" w:leftChars="0" w:hanging="9" w:firstLineChars="0"/>
        <w:rPr>
          <w:rFonts w:hint="default"/>
          <w:color w:val="auto"/>
          <w:highlight w:val="none"/>
          <w:lang w:val="en-US" w:eastAsia="zh-CN"/>
        </w:rPr>
      </w:pPr>
      <w:r>
        <w:rPr>
          <w:rFonts w:hint="default"/>
          <w:color w:val="auto"/>
          <w:highlight w:val="none"/>
          <w:lang w:val="en-US" w:eastAsia="zh-CN"/>
        </w:rPr>
        <w:t>在满足洁污分流的原则下，</w:t>
      </w:r>
      <w:r>
        <w:rPr>
          <w:rFonts w:hint="eastAsia"/>
          <w:color w:val="auto"/>
          <w:highlight w:val="none"/>
          <w:lang w:val="en-US" w:eastAsia="zh"/>
        </w:rPr>
        <w:t>老年人照料设施</w:t>
      </w:r>
      <w:r>
        <w:rPr>
          <w:rFonts w:hint="default"/>
          <w:color w:val="auto"/>
          <w:highlight w:val="none"/>
          <w:lang w:val="en-US" w:eastAsia="zh-CN"/>
        </w:rPr>
        <w:t>宜分别设置专用配餐、污物电梯。</w:t>
      </w:r>
    </w:p>
    <w:p w14:paraId="62CC31B9">
      <w:pPr>
        <w:numPr>
          <w:ilvl w:val="2"/>
          <w:numId w:val="5"/>
        </w:numPr>
        <w:ind w:left="9" w:leftChars="0" w:hanging="9" w:firstLineChars="0"/>
        <w:rPr>
          <w:rFonts w:hint="eastAsia"/>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的地面应采用耐磨、防滑、平整、不易</w:t>
      </w:r>
      <w:r>
        <w:rPr>
          <w:rFonts w:hint="eastAsia"/>
          <w:b w:val="0"/>
          <w:bCs w:val="0"/>
          <w:color w:val="auto"/>
          <w:sz w:val="21"/>
          <w:szCs w:val="21"/>
          <w:highlight w:val="none"/>
          <w:lang w:val="en-US" w:eastAsia="zh-CN"/>
        </w:rPr>
        <w:t>起尘，易于清洁</w:t>
      </w:r>
      <w:r>
        <w:rPr>
          <w:rFonts w:hint="default"/>
          <w:color w:val="auto"/>
          <w:highlight w:val="none"/>
          <w:lang w:val="en-US" w:eastAsia="zh-CN"/>
        </w:rPr>
        <w:t>的材料，墙面阳角处应做安全防护处理。</w:t>
      </w:r>
      <w:r>
        <w:rPr>
          <w:rFonts w:hint="eastAsia"/>
          <w:color w:val="auto"/>
          <w:highlight w:val="none"/>
          <w:lang w:val="en-US" w:eastAsia="zh-CN"/>
        </w:rPr>
        <w:t>地面防滑性能应满足《</w:t>
      </w:r>
      <w:r>
        <w:rPr>
          <w:rFonts w:hint="eastAsia" w:asciiTheme="minorHAnsi" w:hAnsiTheme="minorHAnsi" w:eastAsiaTheme="minorEastAsia" w:cstheme="minorBidi"/>
          <w:b w:val="0"/>
          <w:bCs w:val="0"/>
          <w:color w:val="auto"/>
          <w:kern w:val="2"/>
          <w:sz w:val="21"/>
          <w:szCs w:val="24"/>
          <w:highlight w:val="none"/>
          <w:lang w:val="en-US" w:eastAsia="zh-CN" w:bidi="ar-SA"/>
        </w:rPr>
        <w:t>建筑地面工程防滑技术规程</w:t>
      </w:r>
      <w:r>
        <w:rPr>
          <w:rFonts w:hint="eastAsia" w:cstheme="minorBidi"/>
          <w:b w:val="0"/>
          <w:bCs w:val="0"/>
          <w:color w:val="auto"/>
          <w:kern w:val="2"/>
          <w:sz w:val="21"/>
          <w:szCs w:val="24"/>
          <w:highlight w:val="none"/>
          <w:lang w:val="en-US" w:eastAsia="zh-CN" w:bidi="ar-SA"/>
        </w:rPr>
        <w:t>》（</w:t>
      </w:r>
      <w:r>
        <w:rPr>
          <w:rFonts w:hint="eastAsia" w:asciiTheme="minorHAnsi" w:hAnsiTheme="minorHAnsi" w:eastAsiaTheme="minorEastAsia" w:cstheme="minorBidi"/>
          <w:b w:val="0"/>
          <w:bCs w:val="0"/>
          <w:color w:val="auto"/>
          <w:kern w:val="2"/>
          <w:sz w:val="21"/>
          <w:szCs w:val="24"/>
          <w:highlight w:val="none"/>
          <w:lang w:val="en-US" w:eastAsia="zh-CN" w:bidi="ar-SA"/>
        </w:rPr>
        <w:t>JGJ/T331</w:t>
      </w:r>
      <w:r>
        <w:rPr>
          <w:rFonts w:hint="eastAsia" w:cstheme="minorBidi"/>
          <w:b w:val="0"/>
          <w:bCs w:val="0"/>
          <w:color w:val="auto"/>
          <w:kern w:val="2"/>
          <w:sz w:val="21"/>
          <w:szCs w:val="24"/>
          <w:highlight w:val="none"/>
          <w:lang w:val="en-US" w:eastAsia="zh-CN" w:bidi="ar-SA"/>
        </w:rPr>
        <w:t>），及</w:t>
      </w:r>
      <w:r>
        <w:rPr>
          <w:rFonts w:hint="eastAsia" w:asciiTheme="minorHAnsi" w:hAnsiTheme="minorHAnsi" w:eastAsiaTheme="minorEastAsia" w:cstheme="minorBidi"/>
          <w:b w:val="0"/>
          <w:bCs w:val="0"/>
          <w:color w:val="auto"/>
          <w:kern w:val="2"/>
          <w:sz w:val="21"/>
          <w:szCs w:val="24"/>
          <w:highlight w:val="none"/>
          <w:lang w:val="en-US" w:eastAsia="zh-CN" w:bidi="ar-SA"/>
        </w:rPr>
        <w:t>《老年人照料设施建筑设计标准</w:t>
      </w:r>
      <w:r>
        <w:rPr>
          <w:rFonts w:hint="eastAsia" w:cstheme="minorBidi"/>
          <w:b w:val="0"/>
          <w:bCs w:val="0"/>
          <w:color w:val="auto"/>
          <w:kern w:val="2"/>
          <w:sz w:val="21"/>
          <w:szCs w:val="24"/>
          <w:highlight w:val="none"/>
          <w:lang w:val="en-US" w:eastAsia="zh-CN" w:bidi="ar-SA"/>
        </w:rPr>
        <w:t>》（</w:t>
      </w:r>
      <w:r>
        <w:rPr>
          <w:rFonts w:hint="eastAsia" w:asciiTheme="minorHAnsi" w:hAnsiTheme="minorHAnsi" w:eastAsiaTheme="minorEastAsia" w:cstheme="minorBidi"/>
          <w:b w:val="0"/>
          <w:bCs w:val="0"/>
          <w:color w:val="auto"/>
          <w:kern w:val="2"/>
          <w:sz w:val="21"/>
          <w:szCs w:val="24"/>
          <w:highlight w:val="none"/>
          <w:lang w:val="en-US" w:eastAsia="zh-CN" w:bidi="ar-SA"/>
        </w:rPr>
        <w:t>JGJ 450）</w:t>
      </w:r>
      <w:r>
        <w:rPr>
          <w:rFonts w:hint="eastAsia" w:cstheme="minorBidi"/>
          <w:b w:val="0"/>
          <w:bCs w:val="0"/>
          <w:color w:val="auto"/>
          <w:kern w:val="2"/>
          <w:sz w:val="21"/>
          <w:szCs w:val="24"/>
          <w:highlight w:val="none"/>
          <w:lang w:val="en-US" w:eastAsia="zh-CN" w:bidi="ar-SA"/>
        </w:rPr>
        <w:t>等相关规定。</w:t>
      </w:r>
    </w:p>
    <w:p w14:paraId="61D3D366">
      <w:pPr>
        <w:numPr>
          <w:ilvl w:val="2"/>
          <w:numId w:val="5"/>
        </w:numPr>
        <w:ind w:left="9" w:leftChars="0" w:hanging="9" w:firstLineChars="0"/>
        <w:rPr>
          <w:rFonts w:hint="default"/>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及其场地均应进行无障碍设计，并应符合现行国家标准</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建筑与市政工程无障碍通用规范</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GB</w:t>
      </w:r>
      <w:r>
        <w:rPr>
          <w:rFonts w:hint="eastAsia"/>
          <w:b w:val="0"/>
          <w:bCs w:val="0"/>
          <w:color w:val="auto"/>
          <w:sz w:val="21"/>
          <w:szCs w:val="21"/>
          <w:highlight w:val="none"/>
          <w:lang w:val="en-US" w:eastAsia="zh-CN"/>
        </w:rPr>
        <w:t xml:space="preserve"> </w:t>
      </w:r>
      <w:r>
        <w:rPr>
          <w:rFonts w:hint="default"/>
          <w:b w:val="0"/>
          <w:bCs w:val="0"/>
          <w:color w:val="auto"/>
          <w:sz w:val="21"/>
          <w:szCs w:val="21"/>
          <w:highlight w:val="none"/>
          <w:lang w:val="en-US" w:eastAsia="zh-CN"/>
        </w:rPr>
        <w:t>55019</w:t>
      </w:r>
      <w:r>
        <w:rPr>
          <w:rFonts w:hint="eastAsia"/>
          <w:b w:val="0"/>
          <w:bCs w:val="0"/>
          <w:color w:val="auto"/>
          <w:sz w:val="21"/>
          <w:szCs w:val="21"/>
          <w:highlight w:val="none"/>
          <w:lang w:val="en-US" w:eastAsia="zh-CN"/>
        </w:rPr>
        <w:t>、</w:t>
      </w:r>
      <w:r>
        <w:rPr>
          <w:rFonts w:hint="default"/>
          <w:color w:val="auto"/>
          <w:highlight w:val="none"/>
          <w:lang w:val="en-US" w:eastAsia="zh-CN"/>
        </w:rPr>
        <w:t>《无障碍设计规范》</w:t>
      </w:r>
      <w:r>
        <w:rPr>
          <w:rFonts w:hint="default"/>
          <w:b w:val="0"/>
          <w:bCs w:val="0"/>
          <w:color w:val="auto"/>
          <w:highlight w:val="none"/>
          <w:lang w:val="en-US" w:eastAsia="zh-CN"/>
        </w:rPr>
        <w:t>GB</w:t>
      </w:r>
      <w:r>
        <w:rPr>
          <w:rFonts w:hint="eastAsia"/>
          <w:b w:val="0"/>
          <w:bCs w:val="0"/>
          <w:color w:val="auto"/>
          <w:highlight w:val="none"/>
          <w:lang w:val="en-US" w:eastAsia="zh-CN"/>
        </w:rPr>
        <w:t xml:space="preserve"> </w:t>
      </w:r>
      <w:r>
        <w:rPr>
          <w:rFonts w:hint="default"/>
          <w:b w:val="0"/>
          <w:bCs w:val="0"/>
          <w:color w:val="auto"/>
          <w:highlight w:val="none"/>
          <w:lang w:val="en-US" w:eastAsia="zh-CN"/>
        </w:rPr>
        <w:t>50763</w:t>
      </w:r>
      <w:r>
        <w:rPr>
          <w:rFonts w:hint="eastAsia"/>
          <w:b w:val="0"/>
          <w:bCs w:val="0"/>
          <w:color w:val="auto"/>
          <w:highlight w:val="none"/>
          <w:lang w:val="en-US" w:eastAsia="zh-CN"/>
        </w:rPr>
        <w:t>、</w:t>
      </w:r>
      <w:r>
        <w:rPr>
          <w:rFonts w:hint="eastAsia"/>
          <w:b w:val="0"/>
          <w:bCs w:val="0"/>
          <w:color w:val="auto"/>
          <w:sz w:val="21"/>
          <w:szCs w:val="21"/>
          <w:highlight w:val="none"/>
          <w:lang w:val="en-US" w:eastAsia="zh-CN"/>
        </w:rPr>
        <w:t>《四川省建筑与市政工程无障碍设计标准》DBJ51/T279</w:t>
      </w:r>
      <w:r>
        <w:rPr>
          <w:rFonts w:hint="default"/>
          <w:b w:val="0"/>
          <w:bCs w:val="0"/>
          <w:color w:val="auto"/>
          <w:highlight w:val="none"/>
          <w:lang w:val="en-US" w:eastAsia="zh-CN"/>
        </w:rPr>
        <w:t>的规定，无障碍设计具体部位应符合表 3.0</w:t>
      </w:r>
      <w:r>
        <w:rPr>
          <w:rFonts w:hint="eastAsia"/>
          <w:b w:val="0"/>
          <w:bCs w:val="0"/>
          <w:color w:val="auto"/>
          <w:highlight w:val="none"/>
          <w:lang w:val="en-US" w:eastAsia="zh-CN"/>
        </w:rPr>
        <w:t>.</w:t>
      </w:r>
      <w:r>
        <w:rPr>
          <w:rFonts w:hint="eastAsia"/>
          <w:b w:val="0"/>
          <w:bCs w:val="0"/>
          <w:color w:val="auto"/>
          <w:sz w:val="21"/>
          <w:szCs w:val="21"/>
          <w:highlight w:val="none"/>
          <w:lang w:val="en-US" w:eastAsia="zh-CN"/>
        </w:rPr>
        <w:t>11</w:t>
      </w:r>
      <w:r>
        <w:rPr>
          <w:rFonts w:hint="default"/>
          <w:b w:val="0"/>
          <w:bCs w:val="0"/>
          <w:color w:val="auto"/>
          <w:highlight w:val="none"/>
          <w:lang w:val="en-US" w:eastAsia="zh-CN"/>
        </w:rPr>
        <w:t xml:space="preserve"> 的规定。 </w:t>
      </w:r>
    </w:p>
    <w:p w14:paraId="625EDD09">
      <w:pPr>
        <w:numPr>
          <w:ilvl w:val="0"/>
          <w:numId w:val="0"/>
        </w:numPr>
        <w:jc w:val="center"/>
        <w:rPr>
          <w:rFonts w:hint="default"/>
          <w:b/>
          <w:bCs/>
          <w:color w:val="auto"/>
          <w:sz w:val="18"/>
          <w:szCs w:val="21"/>
          <w:highlight w:val="none"/>
          <w:lang w:val="en-US" w:eastAsia="zh-CN"/>
        </w:rPr>
      </w:pPr>
      <w:r>
        <w:rPr>
          <w:rFonts w:hint="default"/>
          <w:b/>
          <w:bCs/>
          <w:color w:val="auto"/>
          <w:sz w:val="18"/>
          <w:szCs w:val="21"/>
          <w:highlight w:val="none"/>
          <w:lang w:val="en-US" w:eastAsia="zh-CN"/>
        </w:rPr>
        <w:t>表3.0.</w:t>
      </w:r>
      <w:r>
        <w:rPr>
          <w:rFonts w:hint="eastAsia"/>
          <w:b/>
          <w:bCs/>
          <w:color w:val="auto"/>
          <w:sz w:val="21"/>
          <w:szCs w:val="21"/>
          <w:highlight w:val="none"/>
          <w:lang w:val="en-US" w:eastAsia="zh-CN"/>
        </w:rPr>
        <w:t>11</w:t>
      </w:r>
      <w:r>
        <w:rPr>
          <w:rFonts w:hint="default"/>
          <w:b/>
          <w:bCs/>
          <w:color w:val="auto"/>
          <w:sz w:val="18"/>
          <w:szCs w:val="21"/>
          <w:highlight w:val="none"/>
          <w:lang w:val="en-US" w:eastAsia="zh-CN"/>
        </w:rPr>
        <w:t xml:space="preserve"> </w:t>
      </w:r>
      <w:r>
        <w:rPr>
          <w:rFonts w:hint="eastAsia"/>
          <w:b/>
          <w:bCs/>
          <w:color w:val="auto"/>
          <w:sz w:val="18"/>
          <w:szCs w:val="21"/>
          <w:highlight w:val="none"/>
          <w:lang w:val="en-US" w:eastAsia="zh"/>
        </w:rPr>
        <w:t>老年人照料设施</w:t>
      </w:r>
      <w:r>
        <w:rPr>
          <w:rFonts w:hint="default"/>
          <w:b/>
          <w:bCs/>
          <w:color w:val="auto"/>
          <w:sz w:val="18"/>
          <w:szCs w:val="21"/>
          <w:highlight w:val="none"/>
          <w:lang w:val="en-US" w:eastAsia="zh-CN"/>
        </w:rPr>
        <w:t>及其场地无障碍设计的具体部位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2046"/>
        <w:gridCol w:w="4678"/>
      </w:tblGrid>
      <w:tr w14:paraId="4203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restart"/>
            <w:vAlign w:val="center"/>
          </w:tcPr>
          <w:p w14:paraId="7189AD8B">
            <w:pPr>
              <w:autoSpaceDN w:val="0"/>
              <w:spacing w:beforeAutospacing="1" w:afterAutospacing="1" w:line="330" w:lineRule="atLeast"/>
              <w:jc w:val="center"/>
              <w:rPr>
                <w:b w:val="0"/>
                <w:bCs w:val="0"/>
                <w:color w:val="auto"/>
                <w:kern w:val="0"/>
                <w:sz w:val="20"/>
                <w:szCs w:val="20"/>
                <w:highlight w:val="none"/>
              </w:rPr>
            </w:pPr>
          </w:p>
          <w:p w14:paraId="3A37A8E9">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室外场地</w:t>
            </w:r>
          </w:p>
        </w:tc>
        <w:tc>
          <w:tcPr>
            <w:tcW w:w="2046" w:type="dxa"/>
            <w:vAlign w:val="center"/>
          </w:tcPr>
          <w:p w14:paraId="0F56121B">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道路及停车场</w:t>
            </w:r>
          </w:p>
        </w:tc>
        <w:tc>
          <w:tcPr>
            <w:tcW w:w="4678" w:type="dxa"/>
            <w:vAlign w:val="center"/>
          </w:tcPr>
          <w:p w14:paraId="589B7807">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主要出入口、人行道、停车场</w:t>
            </w:r>
          </w:p>
        </w:tc>
      </w:tr>
      <w:tr w14:paraId="061D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continue"/>
            <w:vAlign w:val="center"/>
          </w:tcPr>
          <w:p w14:paraId="14E636D3">
            <w:pPr>
              <w:autoSpaceDN w:val="0"/>
              <w:spacing w:beforeAutospacing="1" w:afterAutospacing="1" w:line="330" w:lineRule="atLeast"/>
              <w:jc w:val="center"/>
              <w:rPr>
                <w:b w:val="0"/>
                <w:bCs w:val="0"/>
                <w:color w:val="auto"/>
                <w:kern w:val="0"/>
                <w:sz w:val="20"/>
                <w:szCs w:val="20"/>
                <w:highlight w:val="none"/>
              </w:rPr>
            </w:pPr>
          </w:p>
        </w:tc>
        <w:tc>
          <w:tcPr>
            <w:tcW w:w="2046" w:type="dxa"/>
            <w:vAlign w:val="center"/>
          </w:tcPr>
          <w:p w14:paraId="30B4ACA8">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广场及绿地</w:t>
            </w:r>
          </w:p>
        </w:tc>
        <w:tc>
          <w:tcPr>
            <w:tcW w:w="4678" w:type="dxa"/>
            <w:vAlign w:val="center"/>
          </w:tcPr>
          <w:p w14:paraId="4AB3710E">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sz w:val="20"/>
                <w:szCs w:val="20"/>
                <w:highlight w:val="none"/>
                <w:lang w:val="en-US" w:eastAsia="zh-CN"/>
              </w:rPr>
              <w:t>散步道、</w:t>
            </w:r>
            <w:r>
              <w:rPr>
                <w:rFonts w:hint="eastAsia"/>
                <w:b w:val="0"/>
                <w:bCs w:val="0"/>
                <w:color w:val="auto"/>
                <w:kern w:val="0"/>
                <w:sz w:val="20"/>
                <w:szCs w:val="20"/>
                <w:highlight w:val="none"/>
              </w:rPr>
              <w:t>活动场地、服务设施、活动设施、休憩设施</w:t>
            </w:r>
          </w:p>
        </w:tc>
      </w:tr>
      <w:tr w14:paraId="1DBF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restart"/>
            <w:vAlign w:val="center"/>
          </w:tcPr>
          <w:p w14:paraId="366CDC9A">
            <w:pPr>
              <w:autoSpaceDN w:val="0"/>
              <w:spacing w:beforeAutospacing="1" w:afterAutospacing="1" w:line="330" w:lineRule="atLeast"/>
              <w:jc w:val="center"/>
              <w:rPr>
                <w:b w:val="0"/>
                <w:bCs w:val="0"/>
                <w:color w:val="auto"/>
                <w:kern w:val="0"/>
                <w:sz w:val="20"/>
                <w:szCs w:val="20"/>
                <w:highlight w:val="none"/>
              </w:rPr>
            </w:pPr>
          </w:p>
          <w:p w14:paraId="1E5A8686">
            <w:pPr>
              <w:autoSpaceDN w:val="0"/>
              <w:spacing w:beforeAutospacing="1" w:afterAutospacing="1" w:line="330" w:lineRule="atLeast"/>
              <w:jc w:val="center"/>
              <w:rPr>
                <w:b w:val="0"/>
                <w:bCs w:val="0"/>
                <w:color w:val="auto"/>
                <w:kern w:val="0"/>
                <w:sz w:val="20"/>
                <w:szCs w:val="20"/>
                <w:highlight w:val="none"/>
              </w:rPr>
            </w:pPr>
          </w:p>
          <w:p w14:paraId="71BCD35A">
            <w:pPr>
              <w:autoSpaceDN w:val="0"/>
              <w:spacing w:beforeAutospacing="1" w:afterAutospacing="1" w:line="330" w:lineRule="atLeast"/>
              <w:jc w:val="center"/>
              <w:rPr>
                <w:b w:val="0"/>
                <w:bCs w:val="0"/>
                <w:color w:val="auto"/>
                <w:kern w:val="0"/>
                <w:sz w:val="20"/>
                <w:szCs w:val="20"/>
                <w:highlight w:val="none"/>
              </w:rPr>
            </w:pPr>
          </w:p>
          <w:p w14:paraId="3D5DAF6A">
            <w:pPr>
              <w:autoSpaceDN w:val="0"/>
              <w:spacing w:beforeAutospacing="1" w:afterAutospacing="1" w:line="330" w:lineRule="atLeast"/>
              <w:jc w:val="center"/>
              <w:rPr>
                <w:b w:val="0"/>
                <w:bCs w:val="0"/>
                <w:color w:val="auto"/>
                <w:kern w:val="0"/>
                <w:sz w:val="20"/>
                <w:szCs w:val="20"/>
                <w:highlight w:val="none"/>
              </w:rPr>
            </w:pPr>
          </w:p>
          <w:p w14:paraId="2717DCF2">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建筑</w:t>
            </w:r>
          </w:p>
        </w:tc>
        <w:tc>
          <w:tcPr>
            <w:tcW w:w="2046" w:type="dxa"/>
            <w:vAlign w:val="center"/>
          </w:tcPr>
          <w:p w14:paraId="7C164999">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出入口</w:t>
            </w:r>
          </w:p>
        </w:tc>
        <w:tc>
          <w:tcPr>
            <w:tcW w:w="4678" w:type="dxa"/>
            <w:vAlign w:val="center"/>
          </w:tcPr>
          <w:p w14:paraId="2875E090">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主要出入口、门厅</w:t>
            </w:r>
          </w:p>
        </w:tc>
      </w:tr>
      <w:tr w14:paraId="5597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continue"/>
            <w:vAlign w:val="center"/>
          </w:tcPr>
          <w:p w14:paraId="747F260E">
            <w:pPr>
              <w:autoSpaceDN w:val="0"/>
              <w:spacing w:beforeAutospacing="1" w:afterAutospacing="1" w:line="330" w:lineRule="atLeast"/>
              <w:jc w:val="center"/>
              <w:rPr>
                <w:b w:val="0"/>
                <w:bCs w:val="0"/>
                <w:color w:val="auto"/>
                <w:kern w:val="0"/>
                <w:sz w:val="20"/>
                <w:szCs w:val="20"/>
                <w:highlight w:val="none"/>
              </w:rPr>
            </w:pPr>
          </w:p>
        </w:tc>
        <w:tc>
          <w:tcPr>
            <w:tcW w:w="2046" w:type="dxa"/>
            <w:vAlign w:val="center"/>
          </w:tcPr>
          <w:p w14:paraId="49AE81F1">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过厅和通道</w:t>
            </w:r>
          </w:p>
        </w:tc>
        <w:tc>
          <w:tcPr>
            <w:tcW w:w="4678" w:type="dxa"/>
            <w:vAlign w:val="center"/>
          </w:tcPr>
          <w:p w14:paraId="2E46A3F0">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lang w:val="en-US" w:eastAsia="zh-CN"/>
              </w:rPr>
              <w:t>室内外</w:t>
            </w:r>
            <w:r>
              <w:rPr>
                <w:rFonts w:hint="eastAsia"/>
                <w:b w:val="0"/>
                <w:bCs w:val="0"/>
                <w:color w:val="auto"/>
                <w:kern w:val="0"/>
                <w:sz w:val="20"/>
                <w:szCs w:val="20"/>
                <w:highlight w:val="none"/>
              </w:rPr>
              <w:t>平台、休息厅、公共走道</w:t>
            </w:r>
          </w:p>
        </w:tc>
      </w:tr>
      <w:tr w14:paraId="7806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continue"/>
            <w:vAlign w:val="center"/>
          </w:tcPr>
          <w:p w14:paraId="08DBE450">
            <w:pPr>
              <w:autoSpaceDN w:val="0"/>
              <w:spacing w:beforeAutospacing="1" w:afterAutospacing="1" w:line="330" w:lineRule="atLeast"/>
              <w:jc w:val="center"/>
              <w:rPr>
                <w:b w:val="0"/>
                <w:bCs w:val="0"/>
                <w:color w:val="auto"/>
                <w:kern w:val="0"/>
                <w:sz w:val="20"/>
                <w:szCs w:val="20"/>
                <w:highlight w:val="none"/>
              </w:rPr>
            </w:pPr>
          </w:p>
        </w:tc>
        <w:tc>
          <w:tcPr>
            <w:tcW w:w="2046" w:type="dxa"/>
            <w:vAlign w:val="center"/>
          </w:tcPr>
          <w:p w14:paraId="546CAE64">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垂直交通</w:t>
            </w:r>
          </w:p>
        </w:tc>
        <w:tc>
          <w:tcPr>
            <w:tcW w:w="4678" w:type="dxa"/>
            <w:vAlign w:val="center"/>
          </w:tcPr>
          <w:p w14:paraId="398B6FDD">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楼梯、坡道、电梯</w:t>
            </w:r>
          </w:p>
        </w:tc>
      </w:tr>
      <w:tr w14:paraId="5BEC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continue"/>
            <w:vAlign w:val="center"/>
          </w:tcPr>
          <w:p w14:paraId="7C277E28">
            <w:pPr>
              <w:autoSpaceDN w:val="0"/>
              <w:spacing w:beforeAutospacing="1" w:afterAutospacing="1" w:line="330" w:lineRule="atLeast"/>
              <w:jc w:val="center"/>
              <w:rPr>
                <w:b w:val="0"/>
                <w:bCs w:val="0"/>
                <w:color w:val="auto"/>
                <w:kern w:val="0"/>
                <w:sz w:val="20"/>
                <w:szCs w:val="20"/>
                <w:highlight w:val="none"/>
              </w:rPr>
            </w:pPr>
          </w:p>
        </w:tc>
        <w:tc>
          <w:tcPr>
            <w:tcW w:w="2046" w:type="dxa"/>
            <w:vAlign w:val="center"/>
          </w:tcPr>
          <w:p w14:paraId="5B997C80">
            <w:pPr>
              <w:autoSpaceDN w:val="0"/>
              <w:spacing w:beforeAutospacing="1" w:afterAutospacing="1" w:line="330" w:lineRule="atLeast"/>
              <w:ind w:firstLine="0" w:firstLineChars="0"/>
              <w:jc w:val="center"/>
              <w:rPr>
                <w:b w:val="0"/>
                <w:bCs w:val="0"/>
                <w:color w:val="auto"/>
                <w:kern w:val="0"/>
                <w:sz w:val="20"/>
                <w:szCs w:val="20"/>
                <w:highlight w:val="none"/>
              </w:rPr>
            </w:pPr>
            <w:r>
              <w:rPr>
                <w:rFonts w:hint="eastAsia"/>
                <w:b w:val="0"/>
                <w:bCs w:val="0"/>
                <w:color w:val="auto"/>
                <w:kern w:val="0"/>
                <w:sz w:val="20"/>
                <w:szCs w:val="20"/>
                <w:highlight w:val="none"/>
              </w:rPr>
              <w:t>生活用房</w:t>
            </w:r>
          </w:p>
        </w:tc>
        <w:tc>
          <w:tcPr>
            <w:tcW w:w="4678" w:type="dxa"/>
            <w:vAlign w:val="center"/>
          </w:tcPr>
          <w:p w14:paraId="7F587C14">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卧室、起居室、亲情居室、自用卫生间、公用卫生间、公用</w:t>
            </w:r>
            <w:r>
              <w:rPr>
                <w:rFonts w:hint="eastAsia"/>
                <w:b w:val="0"/>
                <w:bCs w:val="0"/>
                <w:color w:val="auto"/>
                <w:kern w:val="0"/>
                <w:sz w:val="20"/>
                <w:szCs w:val="20"/>
                <w:highlight w:val="none"/>
                <w:lang w:val="en-US" w:eastAsia="zh-CN"/>
              </w:rPr>
              <w:t>自助</w:t>
            </w:r>
            <w:r>
              <w:rPr>
                <w:rFonts w:hint="eastAsia"/>
                <w:b w:val="0"/>
                <w:bCs w:val="0"/>
                <w:color w:val="auto"/>
                <w:kern w:val="0"/>
                <w:sz w:val="20"/>
                <w:szCs w:val="20"/>
                <w:highlight w:val="none"/>
              </w:rPr>
              <w:t>厨房、老年人专用浴室、公用淋浴间、公共餐厅、交往厅</w:t>
            </w:r>
          </w:p>
        </w:tc>
      </w:tr>
      <w:tr w14:paraId="0292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continue"/>
            <w:vAlign w:val="center"/>
          </w:tcPr>
          <w:p w14:paraId="37CF9B3C">
            <w:pPr>
              <w:autoSpaceDN w:val="0"/>
              <w:spacing w:beforeAutospacing="1" w:afterAutospacing="1" w:line="330" w:lineRule="atLeast"/>
              <w:jc w:val="center"/>
              <w:rPr>
                <w:b w:val="0"/>
                <w:bCs w:val="0"/>
                <w:color w:val="auto"/>
                <w:kern w:val="0"/>
                <w:sz w:val="20"/>
                <w:szCs w:val="20"/>
                <w:highlight w:val="none"/>
              </w:rPr>
            </w:pPr>
          </w:p>
        </w:tc>
        <w:tc>
          <w:tcPr>
            <w:tcW w:w="2046" w:type="dxa"/>
            <w:vAlign w:val="center"/>
          </w:tcPr>
          <w:p w14:paraId="3D0F7B96">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lang w:eastAsia="zh"/>
                <w:woUserID w:val="1"/>
              </w:rPr>
              <w:t>文娱与健身</w:t>
            </w:r>
            <w:r>
              <w:rPr>
                <w:rFonts w:hint="eastAsia"/>
                <w:b w:val="0"/>
                <w:bCs w:val="0"/>
                <w:color w:val="auto"/>
                <w:kern w:val="0"/>
                <w:sz w:val="20"/>
                <w:szCs w:val="20"/>
                <w:highlight w:val="none"/>
              </w:rPr>
              <w:t>用房</w:t>
            </w:r>
          </w:p>
        </w:tc>
        <w:tc>
          <w:tcPr>
            <w:tcW w:w="4678" w:type="dxa"/>
            <w:vAlign w:val="center"/>
          </w:tcPr>
          <w:p w14:paraId="5979FCD9">
            <w:pPr>
              <w:autoSpaceDN w:val="0"/>
              <w:spacing w:beforeAutospacing="1" w:afterAutospacing="1" w:line="330" w:lineRule="atLeast"/>
              <w:jc w:val="center"/>
              <w:rPr>
                <w:rFonts w:hint="default" w:eastAsiaTheme="minorEastAsia"/>
                <w:b w:val="0"/>
                <w:bCs w:val="0"/>
                <w:color w:val="auto"/>
                <w:kern w:val="0"/>
                <w:sz w:val="20"/>
                <w:szCs w:val="20"/>
                <w:highlight w:val="none"/>
                <w:lang w:val="en-US" w:eastAsia="zh-CN"/>
              </w:rPr>
            </w:pPr>
            <w:r>
              <w:rPr>
                <w:rFonts w:hint="eastAsia"/>
                <w:b w:val="0"/>
                <w:bCs w:val="0"/>
                <w:color w:val="auto"/>
                <w:kern w:val="0"/>
                <w:sz w:val="20"/>
                <w:szCs w:val="20"/>
                <w:highlight w:val="none"/>
              </w:rPr>
              <w:t>阅览室、网络室、棋牌室、书画室、健身房、教室、多功能厅、阳光厅、风雨廊</w:t>
            </w:r>
            <w:r>
              <w:rPr>
                <w:rFonts w:hint="eastAsia"/>
                <w:b w:val="0"/>
                <w:bCs w:val="0"/>
                <w:color w:val="auto"/>
                <w:sz w:val="20"/>
                <w:szCs w:val="20"/>
                <w:highlight w:val="none"/>
                <w:lang w:val="en-US" w:eastAsia="zh-CN"/>
              </w:rPr>
              <w:t>等老年人使用的活动用房</w:t>
            </w:r>
          </w:p>
        </w:tc>
      </w:tr>
      <w:tr w14:paraId="480D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02" w:type="dxa"/>
            <w:vMerge w:val="continue"/>
            <w:vAlign w:val="center"/>
          </w:tcPr>
          <w:p w14:paraId="54333898">
            <w:pPr>
              <w:autoSpaceDN w:val="0"/>
              <w:spacing w:beforeAutospacing="1" w:afterAutospacing="1" w:line="330" w:lineRule="atLeast"/>
              <w:jc w:val="center"/>
              <w:rPr>
                <w:b w:val="0"/>
                <w:bCs w:val="0"/>
                <w:color w:val="auto"/>
                <w:kern w:val="0"/>
                <w:sz w:val="20"/>
                <w:szCs w:val="20"/>
                <w:highlight w:val="none"/>
              </w:rPr>
            </w:pPr>
          </w:p>
        </w:tc>
        <w:tc>
          <w:tcPr>
            <w:tcW w:w="2046" w:type="dxa"/>
            <w:vAlign w:val="center"/>
          </w:tcPr>
          <w:p w14:paraId="7364E16D">
            <w:pPr>
              <w:autoSpaceDN w:val="0"/>
              <w:spacing w:beforeAutospacing="1" w:afterAutospacing="1" w:line="330" w:lineRule="atLeast"/>
              <w:jc w:val="center"/>
              <w:rPr>
                <w:b w:val="0"/>
                <w:bCs w:val="0"/>
                <w:color w:val="auto"/>
                <w:kern w:val="0"/>
                <w:sz w:val="20"/>
                <w:szCs w:val="20"/>
                <w:highlight w:val="none"/>
              </w:rPr>
            </w:pPr>
            <w:r>
              <w:rPr>
                <w:rFonts w:hint="eastAsia"/>
                <w:color w:val="auto"/>
                <w:sz w:val="20"/>
                <w:szCs w:val="22"/>
                <w:highlight w:val="none"/>
                <w:lang w:val="en-US" w:eastAsia="zh-CN"/>
                <w:woUserID w:val="1"/>
              </w:rPr>
              <w:t>康复与医疗用房</w:t>
            </w:r>
          </w:p>
        </w:tc>
        <w:tc>
          <w:tcPr>
            <w:tcW w:w="4678" w:type="dxa"/>
            <w:vAlign w:val="center"/>
          </w:tcPr>
          <w:p w14:paraId="198CE6BD">
            <w:pPr>
              <w:autoSpaceDN w:val="0"/>
              <w:spacing w:beforeAutospacing="1" w:afterAutospacing="1" w:line="330" w:lineRule="atLeast"/>
              <w:jc w:val="center"/>
              <w:rPr>
                <w:b w:val="0"/>
                <w:bCs w:val="0"/>
                <w:color w:val="auto"/>
                <w:kern w:val="0"/>
                <w:sz w:val="20"/>
                <w:szCs w:val="20"/>
                <w:highlight w:val="none"/>
              </w:rPr>
            </w:pPr>
            <w:r>
              <w:rPr>
                <w:rFonts w:hint="eastAsia"/>
                <w:b w:val="0"/>
                <w:bCs w:val="0"/>
                <w:color w:val="auto"/>
                <w:kern w:val="0"/>
                <w:sz w:val="20"/>
                <w:szCs w:val="20"/>
                <w:highlight w:val="none"/>
              </w:rPr>
              <w:t>医务室、观察室、治疗室、处置室、临终关怀室、保健室、康复室、心理</w:t>
            </w:r>
            <w:r>
              <w:rPr>
                <w:rFonts w:hint="eastAsia"/>
                <w:b w:val="0"/>
                <w:bCs w:val="0"/>
                <w:color w:val="auto"/>
                <w:sz w:val="20"/>
                <w:szCs w:val="20"/>
                <w:highlight w:val="none"/>
                <w:lang w:val="en-US" w:eastAsia="zh-CN"/>
              </w:rPr>
              <w:t>咨询</w:t>
            </w:r>
            <w:r>
              <w:rPr>
                <w:rFonts w:hint="eastAsia"/>
                <w:b w:val="0"/>
                <w:bCs w:val="0"/>
                <w:color w:val="auto"/>
                <w:kern w:val="0"/>
                <w:sz w:val="20"/>
                <w:szCs w:val="20"/>
                <w:highlight w:val="none"/>
              </w:rPr>
              <w:t>室</w:t>
            </w:r>
            <w:r>
              <w:rPr>
                <w:rFonts w:hint="eastAsia"/>
                <w:b w:val="0"/>
                <w:bCs w:val="0"/>
                <w:color w:val="auto"/>
                <w:sz w:val="20"/>
                <w:szCs w:val="20"/>
                <w:highlight w:val="none"/>
                <w:lang w:val="en-US" w:eastAsia="zh-CN"/>
              </w:rPr>
              <w:t>等老年人使用的医疗服务用房</w:t>
            </w:r>
          </w:p>
        </w:tc>
      </w:tr>
    </w:tbl>
    <w:p w14:paraId="0F4688CC">
      <w:pPr>
        <w:numPr>
          <w:ilvl w:val="2"/>
          <w:numId w:val="5"/>
        </w:numPr>
        <w:ind w:left="9" w:leftChars="0" w:hanging="9" w:firstLineChars="0"/>
        <w:rPr>
          <w:rFonts w:hint="default"/>
          <w:b w:val="0"/>
          <w:bCs w:val="0"/>
          <w:color w:val="auto"/>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建筑</w:t>
      </w:r>
      <w:r>
        <w:rPr>
          <w:rFonts w:hint="default"/>
          <w:b w:val="0"/>
          <w:bCs w:val="0"/>
          <w:color w:val="auto"/>
          <w:highlight w:val="none"/>
          <w:lang w:val="en-US" w:eastAsia="zh-CN"/>
        </w:rPr>
        <w:t xml:space="preserve">应按现行国家及地方的公共建筑节能标准进行节能设计。 </w:t>
      </w:r>
    </w:p>
    <w:p w14:paraId="7EF88894">
      <w:pPr>
        <w:numPr>
          <w:ilvl w:val="2"/>
          <w:numId w:val="5"/>
        </w:numPr>
        <w:ind w:left="9" w:leftChars="0" w:hanging="9" w:firstLineChars="0"/>
        <w:rPr>
          <w:rFonts w:hint="default"/>
          <w:b w:val="0"/>
          <w:bCs w:val="0"/>
          <w:color w:val="auto"/>
          <w:highlight w:val="none"/>
          <w:lang w:val="en-US" w:eastAsia="zh-CN"/>
        </w:rPr>
      </w:pPr>
      <w:r>
        <w:rPr>
          <w:rFonts w:hint="default"/>
          <w:b w:val="0"/>
          <w:bCs w:val="0"/>
          <w:color w:val="auto"/>
          <w:highlight w:val="none"/>
          <w:lang w:val="en-US" w:eastAsia="zh-CN"/>
        </w:rPr>
        <w:t>为避免老年人用房地面出现返潮现象，夏热冬冷地区及温和地区应验算确定地面保温层厚度。</w:t>
      </w:r>
    </w:p>
    <w:p w14:paraId="2FA86594">
      <w:pPr>
        <w:numPr>
          <w:ilvl w:val="2"/>
          <w:numId w:val="5"/>
        </w:numPr>
        <w:ind w:left="9" w:leftChars="0" w:hanging="9" w:firstLineChars="0"/>
        <w:rPr>
          <w:rFonts w:hint="default"/>
          <w:b w:val="0"/>
          <w:bCs w:val="0"/>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建筑耐火等级应满足《建筑防火通用规范》GB55037要求。</w:t>
      </w:r>
    </w:p>
    <w:p w14:paraId="6D26A1EB">
      <w:pPr>
        <w:numPr>
          <w:ilvl w:val="0"/>
          <w:numId w:val="0"/>
        </w:numPr>
        <w:rPr>
          <w:rFonts w:hint="default"/>
          <w:color w:val="auto"/>
          <w:highlight w:val="none"/>
          <w:lang w:val="en-US" w:eastAsia="zh-CN"/>
        </w:rPr>
      </w:pPr>
    </w:p>
    <w:p w14:paraId="3C6B23F4">
      <w:pPr>
        <w:rPr>
          <w:color w:val="auto"/>
          <w:highlight w:val="none"/>
        </w:rPr>
      </w:pPr>
    </w:p>
    <w:p w14:paraId="58F1E0FF">
      <w:pPr>
        <w:numPr>
          <w:ilvl w:val="0"/>
          <w:numId w:val="2"/>
        </w:numPr>
        <w:jc w:val="center"/>
        <w:outlineLvl w:val="0"/>
        <w:rPr>
          <w:rStyle w:val="20"/>
          <w:rFonts w:ascii="Times New Roman" w:hAnsi="Times New Roman" w:eastAsia="宋体" w:cs="Times New Roman"/>
          <w:color w:val="auto"/>
          <w:highlight w:val="none"/>
        </w:rPr>
      </w:pPr>
      <w:bookmarkStart w:id="33" w:name="_Toc15180"/>
      <w:bookmarkStart w:id="34" w:name="_Toc2980"/>
      <w:bookmarkStart w:id="35" w:name="_Toc12557"/>
      <w:r>
        <w:rPr>
          <w:rStyle w:val="20"/>
          <w:rFonts w:ascii="Times New Roman" w:hAnsi="Times New Roman" w:eastAsia="宋体" w:cs="Times New Roman"/>
          <w:color w:val="auto"/>
          <w:highlight w:val="none"/>
        </w:rPr>
        <w:t>总 平 面</w:t>
      </w:r>
      <w:bookmarkEnd w:id="33"/>
      <w:bookmarkEnd w:id="34"/>
      <w:bookmarkEnd w:id="35"/>
      <w:r>
        <w:rPr>
          <w:rStyle w:val="20"/>
          <w:rFonts w:ascii="Times New Roman" w:hAnsi="Times New Roman" w:eastAsia="宋体" w:cs="Times New Roman"/>
          <w:color w:val="auto"/>
          <w:highlight w:val="none"/>
        </w:rPr>
        <w:t xml:space="preserve"> </w:t>
      </w:r>
      <w:bookmarkStart w:id="191" w:name="_GoBack"/>
      <w:bookmarkEnd w:id="191"/>
    </w:p>
    <w:p w14:paraId="665DC501">
      <w:pPr>
        <w:numPr>
          <w:ilvl w:val="0"/>
          <w:numId w:val="0"/>
        </w:numPr>
        <w:ind w:leftChars="0"/>
        <w:jc w:val="both"/>
        <w:rPr>
          <w:rStyle w:val="20"/>
          <w:rFonts w:ascii="Times New Roman" w:hAnsi="Times New Roman" w:eastAsia="宋体" w:cs="Times New Roman"/>
          <w:color w:val="auto"/>
          <w:highlight w:val="none"/>
        </w:rPr>
      </w:pPr>
    </w:p>
    <w:p w14:paraId="6C7A08A0">
      <w:pPr>
        <w:numPr>
          <w:ilvl w:val="2"/>
          <w:numId w:val="6"/>
        </w:numPr>
        <w:ind w:left="8" w:leftChars="-6" w:hanging="21" w:hangingChars="10"/>
        <w:rPr>
          <w:color w:val="auto"/>
          <w:highlight w:val="none"/>
        </w:rPr>
      </w:pPr>
      <w:r>
        <w:rPr>
          <w:color w:val="auto"/>
          <w:highlight w:val="none"/>
        </w:rPr>
        <w:t>总平面应合理布局，功能</w:t>
      </w:r>
      <w:r>
        <w:rPr>
          <w:rFonts w:hint="eastAsia"/>
          <w:color w:val="auto"/>
          <w:highlight w:val="none"/>
          <w:lang w:val="en-US" w:eastAsia="zh-CN"/>
        </w:rPr>
        <w:t>明确</w:t>
      </w:r>
      <w:r>
        <w:rPr>
          <w:rFonts w:hint="eastAsia"/>
          <w:color w:val="auto"/>
          <w:highlight w:val="none"/>
          <w:lang w:eastAsia="zh-CN"/>
        </w:rPr>
        <w:t>，</w:t>
      </w:r>
      <w:r>
        <w:rPr>
          <w:color w:val="auto"/>
          <w:highlight w:val="none"/>
        </w:rPr>
        <w:t>动静分区，交通组织便捷流畅。</w:t>
      </w:r>
    </w:p>
    <w:p w14:paraId="0C0E2FC7">
      <w:pPr>
        <w:numPr>
          <w:ilvl w:val="2"/>
          <w:numId w:val="6"/>
        </w:numPr>
        <w:ind w:left="8" w:leftChars="-6" w:hanging="21" w:hangingChars="10"/>
        <w:rPr>
          <w:color w:val="auto"/>
          <w:highlight w:val="none"/>
        </w:rPr>
      </w:pPr>
      <w:r>
        <w:rPr>
          <w:color w:val="auto"/>
          <w:highlight w:val="none"/>
        </w:rPr>
        <w:t>老年人</w:t>
      </w:r>
      <w:r>
        <w:rPr>
          <w:rFonts w:hint="eastAsia"/>
          <w:b w:val="0"/>
          <w:bCs w:val="0"/>
          <w:color w:val="auto"/>
          <w:sz w:val="21"/>
          <w:szCs w:val="21"/>
          <w:highlight w:val="none"/>
          <w:lang w:val="en-US" w:eastAsia="zh-CN"/>
        </w:rPr>
        <w:t>居室</w:t>
      </w:r>
      <w:r>
        <w:rPr>
          <w:color w:val="auto"/>
          <w:highlight w:val="none"/>
        </w:rPr>
        <w:t>和主要公共活动用房应布置在日照充足、通风良好的地段，</w:t>
      </w:r>
      <w:r>
        <w:rPr>
          <w:rFonts w:hint="eastAsia"/>
          <w:color w:val="auto"/>
          <w:highlight w:val="none"/>
          <w:lang w:val="en-US" w:eastAsia="zh-CN"/>
        </w:rPr>
        <w:t>且</w:t>
      </w:r>
      <w:r>
        <w:rPr>
          <w:color w:val="auto"/>
          <w:highlight w:val="none"/>
        </w:rPr>
        <w:t>满足下列要求：</w:t>
      </w:r>
    </w:p>
    <w:p w14:paraId="2F501D38">
      <w:pPr>
        <w:numPr>
          <w:ilvl w:val="0"/>
          <w:numId w:val="0"/>
        </w:numPr>
        <w:ind w:left="8" w:leftChars="0" w:firstLine="413" w:firstLineChars="196"/>
        <w:rPr>
          <w:rFonts w:hint="default"/>
          <w:color w:val="auto"/>
          <w:highlight w:val="none"/>
          <w:lang w:val="en-US" w:eastAsia="zh-CN"/>
        </w:rPr>
      </w:pPr>
      <w:r>
        <w:rPr>
          <w:rFonts w:hint="default"/>
          <w:b/>
          <w:bCs/>
          <w:color w:val="auto"/>
          <w:highlight w:val="none"/>
          <w:lang w:val="en-US" w:eastAsia="zh-CN"/>
        </w:rPr>
        <w:t>1</w:t>
      </w:r>
      <w:r>
        <w:rPr>
          <w:rFonts w:hint="eastAsia"/>
          <w:color w:val="auto"/>
          <w:highlight w:val="none"/>
          <w:lang w:val="en-US" w:eastAsia="zh-CN"/>
        </w:rPr>
        <w:t xml:space="preserve">  </w:t>
      </w:r>
      <w:r>
        <w:rPr>
          <w:rFonts w:hint="eastAsia"/>
          <w:b w:val="0"/>
          <w:bCs w:val="0"/>
          <w:color w:val="auto"/>
          <w:sz w:val="21"/>
          <w:szCs w:val="21"/>
          <w:highlight w:val="none"/>
          <w:lang w:val="en-US" w:eastAsia="zh-CN"/>
        </w:rPr>
        <w:t>居室日照标准不应低于</w:t>
      </w:r>
      <w:r>
        <w:rPr>
          <w:rFonts w:hint="eastAsia"/>
          <w:color w:val="auto"/>
          <w:highlight w:val="none"/>
          <w:lang w:val="en-US" w:eastAsia="zh-CN"/>
        </w:rPr>
        <w:t>冬至日日照时数2h</w:t>
      </w:r>
      <w:r>
        <w:rPr>
          <w:rFonts w:hint="default"/>
          <w:color w:val="auto"/>
          <w:highlight w:val="none"/>
          <w:lang w:val="en-US" w:eastAsia="zh-CN"/>
        </w:rPr>
        <w:t xml:space="preserve">； </w:t>
      </w:r>
    </w:p>
    <w:p w14:paraId="6DF866B5">
      <w:pPr>
        <w:numPr>
          <w:ilvl w:val="0"/>
          <w:numId w:val="0"/>
        </w:numPr>
        <w:ind w:left="8" w:leftChars="0" w:firstLine="413" w:firstLineChars="196"/>
        <w:outlineLvl w:val="0"/>
        <w:rPr>
          <w:rFonts w:hint="default"/>
          <w:color w:val="auto"/>
          <w:highlight w:val="none"/>
          <w:lang w:val="en-US" w:eastAsia="zh-CN"/>
        </w:rPr>
      </w:pPr>
      <w:bookmarkStart w:id="36" w:name="_Toc6320"/>
      <w:bookmarkStart w:id="37" w:name="_Toc19021"/>
      <w:bookmarkStart w:id="38" w:name="_Toc6373"/>
      <w:r>
        <w:rPr>
          <w:rFonts w:hint="default"/>
          <w:b/>
          <w:bCs/>
          <w:color w:val="auto"/>
          <w:highlight w:val="none"/>
          <w:lang w:val="en-US" w:eastAsia="zh-CN"/>
        </w:rPr>
        <w:t>2</w:t>
      </w:r>
      <w:r>
        <w:rPr>
          <w:rFonts w:hint="default"/>
          <w:color w:val="auto"/>
          <w:highlight w:val="none"/>
          <w:lang w:val="en-US" w:eastAsia="zh-CN"/>
        </w:rPr>
        <w:t xml:space="preserve"> </w:t>
      </w:r>
      <w:r>
        <w:rPr>
          <w:rFonts w:hint="eastAsia"/>
          <w:color w:val="auto"/>
          <w:highlight w:val="none"/>
          <w:lang w:val="en-US" w:eastAsia="zh-CN"/>
        </w:rPr>
        <w:t xml:space="preserve"> </w:t>
      </w:r>
      <w:r>
        <w:rPr>
          <w:rFonts w:hint="eastAsia"/>
          <w:color w:val="auto"/>
          <w:highlight w:val="none"/>
          <w:lang w:val="en-US" w:eastAsia="zh"/>
          <w:woUserID w:val="1"/>
        </w:rPr>
        <w:t>既有建筑改造或城市旧城区范围内新建的老年人照料设施，</w:t>
      </w:r>
      <w:r>
        <w:rPr>
          <w:rFonts w:hint="eastAsia"/>
          <w:color w:val="auto"/>
          <w:highlight w:val="none"/>
          <w:lang w:val="en-US" w:eastAsia="zh-CN"/>
        </w:rPr>
        <w:t>同一照料单元内的起居厅日照标准不应低于冬至日日照时数2h，且至少1个居室日照标准不应低于冬至日日照时数2h。</w:t>
      </w:r>
    </w:p>
    <w:p w14:paraId="7FFB8CBB">
      <w:pPr>
        <w:numPr>
          <w:ilvl w:val="0"/>
          <w:numId w:val="0"/>
        </w:numPr>
        <w:ind w:left="8" w:leftChars="0" w:firstLine="413" w:firstLineChars="196"/>
        <w:outlineLvl w:val="0"/>
        <w:rPr>
          <w:rFonts w:hint="default"/>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w:t>
      </w:r>
      <w:r>
        <w:rPr>
          <w:rFonts w:hint="default"/>
          <w:color w:val="auto"/>
          <w:highlight w:val="none"/>
          <w:lang w:val="en-US" w:eastAsia="zh-CN"/>
        </w:rPr>
        <w:t>主要</w:t>
      </w:r>
      <w:r>
        <w:rPr>
          <w:rFonts w:hint="eastAsia"/>
          <w:color w:val="auto"/>
          <w:highlight w:val="none"/>
          <w:lang w:val="en-US" w:eastAsia="zh-CN"/>
        </w:rPr>
        <w:t>居室</w:t>
      </w:r>
      <w:r>
        <w:rPr>
          <w:rFonts w:hint="default"/>
          <w:color w:val="auto"/>
          <w:highlight w:val="none"/>
          <w:lang w:val="en-US" w:eastAsia="zh-CN"/>
        </w:rPr>
        <w:t>与相邻建筑的最小间距不宜小于 12 m。</w:t>
      </w:r>
      <w:bookmarkEnd w:id="36"/>
      <w:bookmarkEnd w:id="37"/>
      <w:bookmarkEnd w:id="38"/>
      <w:r>
        <w:rPr>
          <w:rFonts w:hint="default"/>
          <w:color w:val="auto"/>
          <w:highlight w:val="none"/>
          <w:lang w:val="en-US" w:eastAsia="zh-CN"/>
        </w:rPr>
        <w:t xml:space="preserve"> </w:t>
      </w:r>
    </w:p>
    <w:p w14:paraId="683DCFC3">
      <w:pPr>
        <w:numPr>
          <w:ilvl w:val="2"/>
          <w:numId w:val="6"/>
        </w:numPr>
        <w:ind w:left="8" w:leftChars="-6" w:hanging="21" w:hangingChars="10"/>
        <w:rPr>
          <w:color w:val="auto"/>
          <w:highlight w:val="none"/>
        </w:rPr>
      </w:pPr>
      <w:r>
        <w:rPr>
          <w:rFonts w:hint="eastAsia"/>
          <w:color w:val="auto"/>
          <w:highlight w:val="none"/>
          <w:lang w:eastAsia="zh"/>
          <w:woUserID w:val="1"/>
        </w:rPr>
        <w:t>建筑面积大于3000㎡的</w:t>
      </w:r>
      <w:r>
        <w:rPr>
          <w:rFonts w:hint="eastAsia"/>
          <w:color w:val="auto"/>
          <w:highlight w:val="none"/>
          <w:lang w:eastAsia="zh"/>
        </w:rPr>
        <w:t>老年人照料设施</w:t>
      </w:r>
      <w:r>
        <w:rPr>
          <w:color w:val="auto"/>
          <w:highlight w:val="none"/>
        </w:rPr>
        <w:t>出入口不应少于 2 个，主要车行出入口不宜开向城市主干道。货物、垃圾、殡葬等运输宜设置单独的通道和出入口。</w:t>
      </w:r>
    </w:p>
    <w:p w14:paraId="08CC90A0">
      <w:pPr>
        <w:numPr>
          <w:ilvl w:val="2"/>
          <w:numId w:val="6"/>
        </w:numPr>
        <w:ind w:left="8" w:leftChars="-6" w:hanging="21" w:hangingChars="10"/>
        <w:rPr>
          <w:color w:val="auto"/>
          <w:highlight w:val="none"/>
        </w:rPr>
      </w:pPr>
      <w:r>
        <w:rPr>
          <w:color w:val="auto"/>
          <w:highlight w:val="none"/>
        </w:rPr>
        <w:t xml:space="preserve">总平面内的交通宜实行人车分流，除满足消防、疏散、运输等要求外，还应保证救护车辆通畅到达建筑物主要出入口。主要道路应有足够的夜间照明设施。 </w:t>
      </w:r>
    </w:p>
    <w:p w14:paraId="4DE2E174">
      <w:pPr>
        <w:numPr>
          <w:ilvl w:val="2"/>
          <w:numId w:val="6"/>
        </w:numPr>
        <w:ind w:left="8" w:leftChars="-6" w:hanging="21" w:hangingChars="10"/>
        <w:rPr>
          <w:color w:val="auto"/>
          <w:highlight w:val="none"/>
        </w:rPr>
      </w:pPr>
      <w:r>
        <w:rPr>
          <w:color w:val="auto"/>
          <w:highlight w:val="none"/>
        </w:rPr>
        <w:t xml:space="preserve">应设置机动车和非机动车停车场。在机动车停车场距建筑物主要出入口最近的位置上应设置供轮椅使用者专用的无障碍停车位，且无障碍停车位应与人行通道衔接。 </w:t>
      </w:r>
    </w:p>
    <w:p w14:paraId="775A8C35">
      <w:pPr>
        <w:numPr>
          <w:ilvl w:val="2"/>
          <w:numId w:val="6"/>
        </w:numPr>
        <w:ind w:left="8" w:leftChars="-6" w:hanging="21" w:hangingChars="10"/>
        <w:rPr>
          <w:color w:val="auto"/>
          <w:highlight w:val="none"/>
        </w:rPr>
      </w:pPr>
      <w:r>
        <w:rPr>
          <w:color w:val="auto"/>
          <w:highlight w:val="none"/>
        </w:rPr>
        <w:t xml:space="preserve">供老年人使用的主要步行道路应形成无障碍通道系统，道路的有效宽度不宜小于1.50 m；当坡度较大时宜设扶手， 并在变坡点予以提示，坡道设置排水沟时，水沟盖不应妨碍轮椅通行和拐杖使用。步行道路路面应选用平整、防滑、色彩鲜明的铺装材料。 </w:t>
      </w:r>
    </w:p>
    <w:p w14:paraId="0FD96D9F">
      <w:pPr>
        <w:numPr>
          <w:ilvl w:val="2"/>
          <w:numId w:val="6"/>
        </w:numPr>
        <w:ind w:left="8" w:leftChars="-6" w:hanging="21" w:hangingChars="10"/>
        <w:rPr>
          <w:color w:val="auto"/>
          <w:highlight w:val="none"/>
        </w:rPr>
      </w:pPr>
      <w:r>
        <w:rPr>
          <w:color w:val="auto"/>
          <w:highlight w:val="none"/>
        </w:rPr>
        <w:t>总平面内应设置供老年人休闲、健身、娱乐等活动的室外活动场地，并应符合下列规定：</w:t>
      </w:r>
    </w:p>
    <w:p w14:paraId="158EAAE5">
      <w:pPr>
        <w:ind w:left="8" w:leftChars="0" w:firstLine="413" w:firstLineChars="196"/>
        <w:rPr>
          <w:color w:val="auto"/>
          <w:highlight w:val="none"/>
        </w:rPr>
      </w:pPr>
      <w:r>
        <w:rPr>
          <w:b/>
          <w:bCs/>
          <w:color w:val="auto"/>
          <w:highlight w:val="none"/>
        </w:rPr>
        <w:t>1</w:t>
      </w:r>
      <w:r>
        <w:rPr>
          <w:rFonts w:hint="eastAsia"/>
          <w:color w:val="auto"/>
          <w:highlight w:val="none"/>
        </w:rPr>
        <w:t xml:space="preserve"> </w:t>
      </w:r>
      <w:r>
        <w:rPr>
          <w:color w:val="auto"/>
          <w:highlight w:val="none"/>
        </w:rPr>
        <w:t xml:space="preserve">活动场地的人均面积不宜低于1.20㎡； </w:t>
      </w:r>
    </w:p>
    <w:p w14:paraId="5E849B5B">
      <w:pPr>
        <w:ind w:left="8" w:leftChars="0" w:firstLine="413" w:firstLineChars="196"/>
        <w:rPr>
          <w:color w:val="auto"/>
          <w:highlight w:val="none"/>
        </w:rPr>
      </w:pPr>
      <w:r>
        <w:rPr>
          <w:b/>
          <w:bCs/>
          <w:color w:val="auto"/>
          <w:highlight w:val="none"/>
        </w:rPr>
        <w:t>2</w:t>
      </w:r>
      <w:r>
        <w:rPr>
          <w:color w:val="auto"/>
          <w:highlight w:val="none"/>
        </w:rPr>
        <w:t xml:space="preserve"> 活动场地位置宜选择在向阳、避风处；</w:t>
      </w:r>
    </w:p>
    <w:p w14:paraId="2CBA9387">
      <w:pPr>
        <w:ind w:left="8" w:leftChars="0" w:firstLine="413" w:firstLineChars="196"/>
        <w:rPr>
          <w:color w:val="auto"/>
          <w:highlight w:val="none"/>
        </w:rPr>
      </w:pPr>
      <w:r>
        <w:rPr>
          <w:b/>
          <w:bCs/>
          <w:color w:val="auto"/>
          <w:highlight w:val="none"/>
        </w:rPr>
        <w:t>3</w:t>
      </w:r>
      <w:r>
        <w:rPr>
          <w:color w:val="auto"/>
          <w:highlight w:val="none"/>
        </w:rPr>
        <w:t xml:space="preserve"> 活动场地表面应平整，排水措施合理有效，并采取防滑措施； </w:t>
      </w:r>
    </w:p>
    <w:p w14:paraId="4D1D2617">
      <w:pPr>
        <w:ind w:left="8" w:leftChars="0" w:firstLine="413" w:firstLineChars="196"/>
        <w:rPr>
          <w:color w:val="auto"/>
          <w:highlight w:val="none"/>
        </w:rPr>
      </w:pPr>
      <w:r>
        <w:rPr>
          <w:b/>
          <w:bCs/>
          <w:color w:val="auto"/>
          <w:highlight w:val="none"/>
        </w:rPr>
        <w:t>4</w:t>
      </w:r>
      <w:r>
        <w:rPr>
          <w:color w:val="auto"/>
          <w:highlight w:val="none"/>
        </w:rPr>
        <w:t xml:space="preserve"> 活动场地应设置健身运动器材和休息座椅，宜布置在冬季向阳、夏季遮荫处。</w:t>
      </w:r>
    </w:p>
    <w:p w14:paraId="6CDA25CB">
      <w:pPr>
        <w:numPr>
          <w:ilvl w:val="2"/>
          <w:numId w:val="6"/>
        </w:numPr>
        <w:ind w:left="8" w:leftChars="-6" w:hanging="21" w:hangingChars="10"/>
        <w:rPr>
          <w:color w:val="auto"/>
          <w:highlight w:val="none"/>
        </w:rPr>
      </w:pPr>
      <w:r>
        <w:rPr>
          <w:color w:val="auto"/>
          <w:highlight w:val="none"/>
        </w:rPr>
        <w:t xml:space="preserve">总平面布置应进行场地景观环境和园林绿化设计。宜乔灌木、草地相结合，并宜以落叶乔木为主，不应种植有毒、有刺和刺激呼吸系统的花粉类植物。 </w:t>
      </w:r>
    </w:p>
    <w:p w14:paraId="5C37C031">
      <w:pPr>
        <w:numPr>
          <w:ilvl w:val="2"/>
          <w:numId w:val="6"/>
        </w:numPr>
        <w:ind w:left="8" w:leftChars="-6" w:hanging="21" w:hangingChars="10"/>
        <w:rPr>
          <w:color w:val="auto"/>
          <w:highlight w:val="none"/>
        </w:rPr>
      </w:pPr>
      <w:r>
        <w:rPr>
          <w:color w:val="auto"/>
          <w:highlight w:val="none"/>
        </w:rPr>
        <w:t xml:space="preserve">绿地与基地面积之比，新区不应小于35%，中心城旧区不宜小于30%，应设置集中绿地。 </w:t>
      </w:r>
    </w:p>
    <w:p w14:paraId="1B997819">
      <w:pPr>
        <w:numPr>
          <w:ilvl w:val="2"/>
          <w:numId w:val="6"/>
        </w:numPr>
        <w:ind w:left="8" w:leftChars="-6" w:hanging="21" w:hangingChars="10"/>
        <w:rPr>
          <w:color w:val="auto"/>
          <w:highlight w:val="none"/>
        </w:rPr>
      </w:pPr>
      <w:r>
        <w:rPr>
          <w:color w:val="auto"/>
          <w:highlight w:val="none"/>
        </w:rPr>
        <w:t>总平面内设置观赏水景的水池水深不宜大于0.30 m，并应有安全提示与安全防护措施。</w:t>
      </w:r>
    </w:p>
    <w:p w14:paraId="0D69C292">
      <w:pPr>
        <w:numPr>
          <w:ilvl w:val="2"/>
          <w:numId w:val="6"/>
        </w:numPr>
        <w:ind w:left="8" w:leftChars="-6" w:hanging="21" w:hangingChars="10"/>
        <w:rPr>
          <w:color w:val="auto"/>
          <w:highlight w:val="none"/>
        </w:rPr>
      </w:pPr>
      <w:r>
        <w:rPr>
          <w:color w:val="auto"/>
          <w:highlight w:val="none"/>
        </w:rPr>
        <w:t>老年人室外活动场地100m服务半径内宜设置公共厕所，且应配置无障碍厕位。</w:t>
      </w:r>
    </w:p>
    <w:p w14:paraId="4830F1DF">
      <w:pPr>
        <w:numPr>
          <w:ilvl w:val="2"/>
          <w:numId w:val="6"/>
        </w:numPr>
        <w:ind w:left="8" w:leftChars="-6" w:hanging="21" w:hangingChars="10"/>
        <w:rPr>
          <w:color w:val="auto"/>
          <w:highlight w:val="none"/>
        </w:rPr>
      </w:pPr>
      <w:r>
        <w:rPr>
          <w:color w:val="auto"/>
          <w:highlight w:val="none"/>
        </w:rPr>
        <w:t>应设置专用的晒衣场地。当地面布置困难时，晒衣场地也可布置</w:t>
      </w:r>
      <w:r>
        <w:rPr>
          <w:rFonts w:hint="eastAsia"/>
          <w:color w:val="auto"/>
          <w:highlight w:val="none"/>
          <w:lang w:val="en-US" w:eastAsia="zh-CN"/>
        </w:rPr>
        <w:t>于</w:t>
      </w:r>
      <w:r>
        <w:rPr>
          <w:color w:val="auto"/>
          <w:highlight w:val="none"/>
        </w:rPr>
        <w:t>上人屋面，并应设置门禁和防护设施。</w:t>
      </w:r>
    </w:p>
    <w:p w14:paraId="2DE681E9">
      <w:pPr>
        <w:numPr>
          <w:ilvl w:val="0"/>
          <w:numId w:val="0"/>
        </w:numPr>
        <w:ind w:left="-14" w:leftChars="0"/>
        <w:rPr>
          <w:color w:val="auto"/>
          <w:highlight w:val="none"/>
        </w:rPr>
      </w:pPr>
    </w:p>
    <w:p w14:paraId="3C997697">
      <w:pPr>
        <w:numPr>
          <w:ilvl w:val="0"/>
          <w:numId w:val="0"/>
        </w:numPr>
        <w:ind w:left="-14" w:leftChars="0"/>
        <w:rPr>
          <w:color w:val="auto"/>
          <w:highlight w:val="none"/>
        </w:rPr>
      </w:pPr>
    </w:p>
    <w:p w14:paraId="08F34AC2">
      <w:pPr>
        <w:numPr>
          <w:ilvl w:val="0"/>
          <w:numId w:val="2"/>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39" w:name="_Toc1318"/>
      <w:bookmarkStart w:id="40" w:name="_Toc1579"/>
      <w:bookmarkStart w:id="41" w:name="_Toc6512"/>
      <w:r>
        <w:rPr>
          <w:rStyle w:val="19"/>
          <w:rFonts w:hint="eastAsia" w:ascii="Times New Roman" w:hAnsi="Times New Roman" w:eastAsia="宋体" w:cs="Times New Roman"/>
          <w:color w:val="auto"/>
          <w:highlight w:val="none"/>
          <w:lang w:val="en-US" w:eastAsia="zh-CN"/>
        </w:rPr>
        <w:t>建筑设计</w:t>
      </w:r>
      <w:bookmarkEnd w:id="39"/>
      <w:bookmarkEnd w:id="40"/>
      <w:bookmarkEnd w:id="41"/>
    </w:p>
    <w:p w14:paraId="5DADD3D4">
      <w:pPr>
        <w:numPr>
          <w:ilvl w:val="0"/>
          <w:numId w:val="0"/>
        </w:numPr>
        <w:ind w:leftChars="0"/>
        <w:jc w:val="both"/>
        <w:rPr>
          <w:rStyle w:val="19"/>
          <w:rFonts w:hint="default" w:ascii="Times New Roman" w:hAnsi="Times New Roman" w:eastAsia="宋体" w:cs="Times New Roman"/>
          <w:color w:val="auto"/>
          <w:highlight w:val="none"/>
          <w:lang w:val="en-US" w:eastAsia="zh-CN"/>
        </w:rPr>
      </w:pPr>
    </w:p>
    <w:p w14:paraId="72F8C0A1">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42" w:name="_Toc16081"/>
      <w:bookmarkStart w:id="43" w:name="_Toc4919"/>
      <w:bookmarkStart w:id="44" w:name="_Toc23942"/>
      <w:r>
        <w:rPr>
          <w:rStyle w:val="19"/>
          <w:rFonts w:hint="eastAsia" w:ascii="Times New Roman" w:hAnsi="Times New Roman" w:eastAsia="宋体" w:cs="Times New Roman"/>
          <w:color w:val="auto"/>
          <w:sz w:val="28"/>
          <w:szCs w:val="40"/>
          <w:highlight w:val="none"/>
          <w:lang w:val="en-US" w:eastAsia="zh-CN"/>
        </w:rPr>
        <w:t xml:space="preserve">5.1 </w:t>
      </w:r>
      <w:r>
        <w:rPr>
          <w:rStyle w:val="19"/>
          <w:rFonts w:hint="eastAsia" w:ascii="黑体" w:hAnsi="黑体" w:eastAsia="黑体" w:cs="黑体"/>
          <w:color w:val="auto"/>
          <w:sz w:val="28"/>
          <w:szCs w:val="40"/>
          <w:highlight w:val="none"/>
          <w:lang w:val="en-US" w:eastAsia="zh-CN"/>
        </w:rPr>
        <w:t>用房设置</w:t>
      </w:r>
      <w:bookmarkEnd w:id="42"/>
      <w:bookmarkEnd w:id="43"/>
    </w:p>
    <w:bookmarkEnd w:id="44"/>
    <w:p w14:paraId="6928FD63">
      <w:pPr>
        <w:numPr>
          <w:ilvl w:val="2"/>
          <w:numId w:val="7"/>
        </w:numPr>
        <w:tabs>
          <w:tab w:val="left" w:pos="0"/>
        </w:tabs>
        <w:bidi w:val="0"/>
        <w:ind w:left="0" w:leftChars="0" w:firstLine="0" w:firstLineChars="0"/>
        <w:outlineLvl w:val="9"/>
        <w:rPr>
          <w:b w:val="0"/>
          <w:bCs w:val="0"/>
          <w:color w:val="auto"/>
          <w:highlight w:val="none"/>
        </w:rPr>
      </w:pPr>
      <w:r>
        <w:rPr>
          <w:rFonts w:hint="eastAsia"/>
          <w:b w:val="0"/>
          <w:bCs w:val="0"/>
          <w:color w:val="auto"/>
          <w:highlight w:val="none"/>
          <w:lang w:eastAsia="zh"/>
        </w:rPr>
        <w:t>老年人照料设施</w:t>
      </w:r>
      <w:r>
        <w:rPr>
          <w:rFonts w:hint="eastAsia"/>
          <w:b w:val="0"/>
          <w:bCs w:val="0"/>
          <w:color w:val="auto"/>
          <w:highlight w:val="none"/>
          <w:lang w:val="en-US" w:eastAsia="zh-CN"/>
        </w:rPr>
        <w:t>建筑</w:t>
      </w:r>
      <w:r>
        <w:rPr>
          <w:b w:val="0"/>
          <w:bCs w:val="0"/>
          <w:color w:val="auto"/>
          <w:highlight w:val="none"/>
        </w:rPr>
        <w:t>应设置老年人用房和管理服务用房，其中老年人用房应包括生活用房、</w:t>
      </w:r>
      <w:r>
        <w:rPr>
          <w:b w:val="0"/>
          <w:bCs w:val="0"/>
          <w:color w:val="auto"/>
          <w:highlight w:val="none"/>
          <w:woUserID w:val="1"/>
        </w:rPr>
        <w:t>医疗保健用房</w:t>
      </w:r>
      <w:r>
        <w:rPr>
          <w:b w:val="0"/>
          <w:bCs w:val="0"/>
          <w:color w:val="auto"/>
          <w:highlight w:val="none"/>
        </w:rPr>
        <w:t>、</w:t>
      </w:r>
      <w:r>
        <w:rPr>
          <w:rFonts w:hint="eastAsia" w:asciiTheme="minorEastAsia" w:hAnsiTheme="minorEastAsia" w:cstheme="minorEastAsia"/>
          <w:b w:val="0"/>
          <w:bCs w:val="0"/>
          <w:color w:val="auto"/>
          <w:kern w:val="0"/>
          <w:sz w:val="21"/>
          <w:szCs w:val="21"/>
          <w:highlight w:val="none"/>
          <w:lang w:eastAsia="zh"/>
          <w:woUserID w:val="1"/>
        </w:rPr>
        <w:t>文娱与健身用房</w:t>
      </w:r>
      <w:r>
        <w:rPr>
          <w:b w:val="0"/>
          <w:bCs w:val="0"/>
          <w:color w:val="auto"/>
          <w:highlight w:val="none"/>
        </w:rPr>
        <w:t xml:space="preserve">。 </w:t>
      </w:r>
      <w:r>
        <w:rPr>
          <w:rFonts w:hint="eastAsia"/>
          <w:b w:val="0"/>
          <w:bCs w:val="0"/>
          <w:color w:val="auto"/>
          <w:highlight w:val="none"/>
          <w:lang w:eastAsia="zh"/>
        </w:rPr>
        <w:t>老年人照料设施</w:t>
      </w:r>
      <w:r>
        <w:rPr>
          <w:rFonts w:hint="eastAsia"/>
          <w:b w:val="0"/>
          <w:bCs w:val="0"/>
          <w:color w:val="auto"/>
          <w:highlight w:val="none"/>
          <w:lang w:val="en-US" w:eastAsia="zh-CN"/>
        </w:rPr>
        <w:t>建筑</w:t>
      </w:r>
      <w:r>
        <w:rPr>
          <w:b w:val="0"/>
          <w:bCs w:val="0"/>
          <w:color w:val="auto"/>
          <w:highlight w:val="none"/>
        </w:rPr>
        <w:t>各类房间设置宜符合表 5.1.1 的规定。</w:t>
      </w:r>
    </w:p>
    <w:p w14:paraId="22C265D9">
      <w:pPr>
        <w:numPr>
          <w:ilvl w:val="0"/>
          <w:numId w:val="0"/>
        </w:numPr>
        <w:jc w:val="center"/>
        <w:rPr>
          <w:rFonts w:hint="eastAsia"/>
          <w:b/>
          <w:bCs/>
          <w:color w:val="auto"/>
          <w:sz w:val="18"/>
          <w:szCs w:val="21"/>
          <w:highlight w:val="none"/>
          <w:lang w:val="en-US" w:eastAsia="zh-CN"/>
        </w:rPr>
      </w:pPr>
      <w:r>
        <w:rPr>
          <w:rFonts w:hint="eastAsia"/>
          <w:b/>
          <w:bCs/>
          <w:color w:val="auto"/>
          <w:sz w:val="18"/>
          <w:szCs w:val="21"/>
          <w:highlight w:val="none"/>
          <w:lang w:val="en-US" w:eastAsia="zh-CN"/>
        </w:rPr>
        <w:t xml:space="preserve">表5．1．1 </w:t>
      </w:r>
      <w:r>
        <w:rPr>
          <w:rFonts w:hint="eastAsia"/>
          <w:b/>
          <w:bCs/>
          <w:color w:val="auto"/>
          <w:sz w:val="18"/>
          <w:szCs w:val="21"/>
          <w:highlight w:val="none"/>
          <w:lang w:val="en-US" w:eastAsia="zh"/>
        </w:rPr>
        <w:t>老年人照料设施</w:t>
      </w:r>
      <w:r>
        <w:rPr>
          <w:rFonts w:hint="eastAsia"/>
          <w:b/>
          <w:bCs/>
          <w:color w:val="auto"/>
          <w:sz w:val="18"/>
          <w:szCs w:val="21"/>
          <w:highlight w:val="none"/>
          <w:lang w:val="en-US" w:eastAsia="zh"/>
          <w:woUserID w:val="1"/>
        </w:rPr>
        <w:t>建筑</w:t>
      </w:r>
      <w:r>
        <w:rPr>
          <w:rFonts w:hint="eastAsia"/>
          <w:b/>
          <w:bCs/>
          <w:color w:val="auto"/>
          <w:sz w:val="18"/>
          <w:szCs w:val="21"/>
          <w:highlight w:val="none"/>
          <w:lang w:val="en-US" w:eastAsia="zh-CN"/>
        </w:rPr>
        <w:t>各类房间设置</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36"/>
        <w:gridCol w:w="436"/>
        <w:gridCol w:w="1767"/>
        <w:gridCol w:w="1846"/>
        <w:gridCol w:w="3424"/>
      </w:tblGrid>
      <w:tr w14:paraId="5CC0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75" w:type="dxa"/>
            <w:gridSpan w:val="4"/>
          </w:tcPr>
          <w:p w14:paraId="0F88619B">
            <w:pPr>
              <w:autoSpaceDN w:val="0"/>
              <w:spacing w:beforeAutospacing="1" w:afterAutospacing="1" w:line="330" w:lineRule="atLeast"/>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 xml:space="preserve">     房 间 类 别</w:t>
            </w:r>
          </w:p>
        </w:tc>
        <w:tc>
          <w:tcPr>
            <w:tcW w:w="1846" w:type="dxa"/>
            <w:vAlign w:val="center"/>
          </w:tcPr>
          <w:p w14:paraId="7E12F09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用房配置</w:t>
            </w:r>
          </w:p>
        </w:tc>
        <w:tc>
          <w:tcPr>
            <w:tcW w:w="3424" w:type="dxa"/>
            <w:vAlign w:val="center"/>
          </w:tcPr>
          <w:p w14:paraId="6B06DA9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备注</w:t>
            </w:r>
          </w:p>
        </w:tc>
      </w:tr>
      <w:tr w14:paraId="170E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36" w:type="dxa"/>
            <w:vMerge w:val="restart"/>
            <w:vAlign w:val="center"/>
          </w:tcPr>
          <w:p w14:paraId="06B8FF1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老年人用房</w:t>
            </w:r>
          </w:p>
        </w:tc>
        <w:tc>
          <w:tcPr>
            <w:tcW w:w="436" w:type="dxa"/>
            <w:vMerge w:val="restart"/>
            <w:vAlign w:val="center"/>
          </w:tcPr>
          <w:p w14:paraId="08EBD6E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生活用房</w:t>
            </w:r>
          </w:p>
        </w:tc>
        <w:tc>
          <w:tcPr>
            <w:tcW w:w="436" w:type="dxa"/>
            <w:vMerge w:val="restart"/>
            <w:vAlign w:val="center"/>
          </w:tcPr>
          <w:p w14:paraId="4259BA6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居住用房</w:t>
            </w:r>
          </w:p>
        </w:tc>
        <w:tc>
          <w:tcPr>
            <w:tcW w:w="1767" w:type="dxa"/>
            <w:vAlign w:val="center"/>
          </w:tcPr>
          <w:p w14:paraId="50913E4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卧室</w:t>
            </w:r>
          </w:p>
        </w:tc>
        <w:tc>
          <w:tcPr>
            <w:tcW w:w="1846" w:type="dxa"/>
            <w:vAlign w:val="center"/>
          </w:tcPr>
          <w:p w14:paraId="5CE5CC8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Merge w:val="restart"/>
            <w:vAlign w:val="center"/>
          </w:tcPr>
          <w:p w14:paraId="27C0064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lang w:val="en-US" w:eastAsia="zh-CN"/>
              </w:rPr>
            </w:pPr>
            <w:r>
              <w:rPr>
                <w:rFonts w:hint="eastAsia" w:asciiTheme="minorEastAsia" w:hAnsiTheme="minorEastAsia" w:eastAsiaTheme="minorEastAsia" w:cstheme="minorEastAsia"/>
                <w:b w:val="0"/>
                <w:bCs w:val="0"/>
                <w:color w:val="auto"/>
                <w:kern w:val="0"/>
                <w:sz w:val="20"/>
                <w:szCs w:val="20"/>
                <w:highlight w:val="none"/>
              </w:rPr>
              <w:t>—</w:t>
            </w:r>
          </w:p>
        </w:tc>
      </w:tr>
      <w:tr w14:paraId="295E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36" w:type="dxa"/>
            <w:vMerge w:val="continue"/>
            <w:vAlign w:val="center"/>
          </w:tcPr>
          <w:p w14:paraId="7AD009F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0FC64A5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00F54D7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067F628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起居室</w:t>
            </w:r>
          </w:p>
        </w:tc>
        <w:tc>
          <w:tcPr>
            <w:tcW w:w="1846" w:type="dxa"/>
            <w:vAlign w:val="center"/>
          </w:tcPr>
          <w:p w14:paraId="4DED251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Merge w:val="continue"/>
            <w:vAlign w:val="center"/>
          </w:tcPr>
          <w:p w14:paraId="3CAF6FC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r>
      <w:tr w14:paraId="2777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6" w:type="dxa"/>
            <w:vMerge w:val="continue"/>
            <w:vAlign w:val="center"/>
          </w:tcPr>
          <w:p w14:paraId="2F1C8D1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E7978E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0AAB88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7EA8646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亲情居室</w:t>
            </w:r>
          </w:p>
        </w:tc>
        <w:tc>
          <w:tcPr>
            <w:tcW w:w="1846" w:type="dxa"/>
            <w:vAlign w:val="center"/>
          </w:tcPr>
          <w:p w14:paraId="6C5A743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21B7DA5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附设专用卫浴、厕位设施</w:t>
            </w:r>
          </w:p>
        </w:tc>
      </w:tr>
      <w:tr w14:paraId="3A47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1EAFDF0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27B3F2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restart"/>
            <w:vAlign w:val="center"/>
          </w:tcPr>
          <w:p w14:paraId="264416C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生活辅助用房</w:t>
            </w:r>
          </w:p>
        </w:tc>
        <w:tc>
          <w:tcPr>
            <w:tcW w:w="1767" w:type="dxa"/>
            <w:vAlign w:val="center"/>
          </w:tcPr>
          <w:p w14:paraId="3AF25BC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自用卫生间</w:t>
            </w:r>
          </w:p>
        </w:tc>
        <w:tc>
          <w:tcPr>
            <w:tcW w:w="1846" w:type="dxa"/>
            <w:vAlign w:val="center"/>
          </w:tcPr>
          <w:p w14:paraId="3695574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B6BCBD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42B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8F183A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54D59E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34012A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13DC522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公用卫生间</w:t>
            </w:r>
          </w:p>
        </w:tc>
        <w:tc>
          <w:tcPr>
            <w:tcW w:w="1846" w:type="dxa"/>
            <w:vAlign w:val="center"/>
          </w:tcPr>
          <w:p w14:paraId="242DAA1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E2F6DB5">
            <w:pPr>
              <w:bidi w:val="0"/>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7F5C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36" w:type="dxa"/>
            <w:vMerge w:val="continue"/>
            <w:vAlign w:val="center"/>
          </w:tcPr>
          <w:p w14:paraId="5CA32B2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437062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5EA9C2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6D85321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公用淋浴间</w:t>
            </w:r>
          </w:p>
        </w:tc>
        <w:tc>
          <w:tcPr>
            <w:tcW w:w="1846" w:type="dxa"/>
            <w:vAlign w:val="center"/>
          </w:tcPr>
          <w:p w14:paraId="41D3F18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7639E0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rPr>
              <w:t>附设厕位，在介护老人</w:t>
            </w:r>
            <w:r>
              <w:rPr>
                <w:rFonts w:hint="eastAsia" w:asciiTheme="minorEastAsia" w:hAnsiTheme="minorEastAsia" w:eastAsiaTheme="minorEastAsia" w:cstheme="minorEastAsia"/>
                <w:b w:val="0"/>
                <w:bCs w:val="0"/>
                <w:color w:val="auto"/>
                <w:kern w:val="0"/>
                <w:sz w:val="20"/>
                <w:szCs w:val="20"/>
                <w:highlight w:val="none"/>
                <w:lang w:eastAsia="zh-CN"/>
              </w:rPr>
              <w:t>区</w:t>
            </w:r>
            <w:r>
              <w:rPr>
                <w:rFonts w:hint="eastAsia" w:asciiTheme="minorEastAsia" w:hAnsiTheme="minorEastAsia" w:eastAsiaTheme="minorEastAsia" w:cstheme="minorEastAsia"/>
                <w:b w:val="0"/>
                <w:bCs w:val="0"/>
                <w:color w:val="auto"/>
                <w:kern w:val="0"/>
                <w:sz w:val="20"/>
                <w:szCs w:val="20"/>
                <w:highlight w:val="none"/>
              </w:rPr>
              <w:t>域，应设置</w:t>
            </w:r>
            <w:r>
              <w:rPr>
                <w:rFonts w:hint="eastAsia" w:asciiTheme="minorEastAsia" w:hAnsiTheme="minorEastAsia" w:eastAsiaTheme="minorEastAsia" w:cstheme="minorEastAsia"/>
                <w:b w:val="0"/>
                <w:bCs w:val="0"/>
                <w:color w:val="auto"/>
                <w:kern w:val="0"/>
                <w:sz w:val="20"/>
                <w:szCs w:val="20"/>
                <w:highlight w:val="none"/>
                <w:lang w:eastAsia="zh-CN"/>
              </w:rPr>
              <w:t>；</w:t>
            </w:r>
            <w:r>
              <w:rPr>
                <w:rFonts w:hint="eastAsia" w:asciiTheme="minorEastAsia" w:hAnsiTheme="minorEastAsia" w:eastAsiaTheme="minorEastAsia" w:cstheme="minorEastAsia"/>
                <w:b w:val="0"/>
                <w:bCs w:val="0"/>
                <w:color w:val="auto"/>
                <w:sz w:val="20"/>
                <w:szCs w:val="20"/>
                <w:highlight w:val="none"/>
                <w:lang w:eastAsia="zh-CN"/>
              </w:rPr>
              <w:t>可以</w:t>
            </w:r>
            <w:r>
              <w:rPr>
                <w:rFonts w:hint="eastAsia" w:asciiTheme="minorEastAsia" w:hAnsiTheme="minorEastAsia" w:eastAsiaTheme="minorEastAsia" w:cstheme="minorEastAsia"/>
                <w:b w:val="0"/>
                <w:bCs w:val="0"/>
                <w:color w:val="auto"/>
                <w:sz w:val="20"/>
                <w:szCs w:val="20"/>
                <w:highlight w:val="none"/>
              </w:rPr>
              <w:t>满足浴床等进出和使用的需求，保证老年人可卧姿洗浴。</w:t>
            </w:r>
          </w:p>
        </w:tc>
      </w:tr>
      <w:tr w14:paraId="7CF0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F5F7CE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0A07A75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2D62E1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76BC75B6">
            <w:pPr>
              <w:keepNext w:val="0"/>
              <w:keepLines w:val="0"/>
              <w:widowControl/>
              <w:suppressLineNumbers w:val="0"/>
              <w:jc w:val="left"/>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公用</w:t>
            </w:r>
            <w:r>
              <w:rPr>
                <w:rFonts w:hint="eastAsia" w:asciiTheme="minorEastAsia" w:hAnsiTheme="minorEastAsia" w:eastAsiaTheme="minorEastAsia" w:cstheme="minorEastAsia"/>
                <w:b w:val="0"/>
                <w:bCs w:val="0"/>
                <w:color w:val="auto"/>
                <w:kern w:val="0"/>
                <w:sz w:val="20"/>
                <w:szCs w:val="20"/>
                <w:highlight w:val="none"/>
                <w:lang w:val="en-US" w:eastAsia="zh-CN"/>
              </w:rPr>
              <w:t>自助</w:t>
            </w:r>
            <w:r>
              <w:rPr>
                <w:rFonts w:hint="eastAsia" w:asciiTheme="minorEastAsia" w:hAnsiTheme="minorEastAsia" w:eastAsiaTheme="minorEastAsia" w:cstheme="minorEastAsia"/>
                <w:b w:val="0"/>
                <w:bCs w:val="0"/>
                <w:color w:val="auto"/>
                <w:kern w:val="0"/>
                <w:sz w:val="20"/>
                <w:szCs w:val="20"/>
                <w:highlight w:val="none"/>
              </w:rPr>
              <w:t>厨房</w:t>
            </w:r>
          </w:p>
        </w:tc>
        <w:tc>
          <w:tcPr>
            <w:tcW w:w="1846" w:type="dxa"/>
            <w:vAlign w:val="center"/>
          </w:tcPr>
          <w:p w14:paraId="32FBA72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202AD86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6F19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5ED8B73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A2937A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E8CD11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3664E2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公共餐厅</w:t>
            </w:r>
          </w:p>
        </w:tc>
        <w:tc>
          <w:tcPr>
            <w:tcW w:w="1846" w:type="dxa"/>
            <w:vAlign w:val="center"/>
          </w:tcPr>
          <w:p w14:paraId="0F34F3B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F41548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可兼活动室，并附设备餐间</w:t>
            </w:r>
          </w:p>
        </w:tc>
      </w:tr>
      <w:tr w14:paraId="49C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0C8588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840B8E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1C6A0F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054EC2A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自助洗衣间</w:t>
            </w:r>
          </w:p>
        </w:tc>
        <w:tc>
          <w:tcPr>
            <w:tcW w:w="1846" w:type="dxa"/>
            <w:vAlign w:val="center"/>
          </w:tcPr>
          <w:p w14:paraId="76B58E5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595249A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宜结合居住用房阳台设置</w:t>
            </w:r>
          </w:p>
        </w:tc>
      </w:tr>
      <w:tr w14:paraId="33B2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B946A3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892242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A39680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8174A6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开水间</w:t>
            </w:r>
          </w:p>
        </w:tc>
        <w:tc>
          <w:tcPr>
            <w:tcW w:w="1846" w:type="dxa"/>
            <w:vAlign w:val="center"/>
          </w:tcPr>
          <w:p w14:paraId="06BB90F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8BF611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7E4B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6" w:type="dxa"/>
            <w:vMerge w:val="continue"/>
            <w:vAlign w:val="center"/>
          </w:tcPr>
          <w:p w14:paraId="14DEED6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5CB3B1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6107B5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1C89678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护理站</w:t>
            </w:r>
          </w:p>
        </w:tc>
        <w:tc>
          <w:tcPr>
            <w:tcW w:w="1846" w:type="dxa"/>
            <w:vAlign w:val="center"/>
          </w:tcPr>
          <w:p w14:paraId="73D5AD7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1AD6F1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附设护理员值班室、储藏间，并设独立卫浴</w:t>
            </w:r>
          </w:p>
        </w:tc>
      </w:tr>
      <w:tr w14:paraId="36E8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14AB84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5AA1D5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F3FD6E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826106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污物间</w:t>
            </w:r>
          </w:p>
        </w:tc>
        <w:tc>
          <w:tcPr>
            <w:tcW w:w="1846" w:type="dxa"/>
            <w:vAlign w:val="center"/>
          </w:tcPr>
          <w:p w14:paraId="7AEB4C4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4CC649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4C37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416CCC0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95DCEF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3100BE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324FAD1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cstheme="minorEastAsia"/>
                <w:b w:val="0"/>
                <w:bCs w:val="0"/>
                <w:color w:val="auto"/>
                <w:kern w:val="0"/>
                <w:sz w:val="20"/>
                <w:szCs w:val="20"/>
                <w:highlight w:val="none"/>
                <w:lang w:eastAsia="zh"/>
                <w:woUserID w:val="1"/>
              </w:rPr>
              <w:t>起居</w:t>
            </w:r>
            <w:r>
              <w:rPr>
                <w:rFonts w:hint="eastAsia" w:asciiTheme="minorEastAsia" w:hAnsiTheme="minorEastAsia" w:eastAsiaTheme="minorEastAsia" w:cstheme="minorEastAsia"/>
                <w:b w:val="0"/>
                <w:bCs w:val="0"/>
                <w:color w:val="auto"/>
                <w:kern w:val="0"/>
                <w:sz w:val="20"/>
                <w:szCs w:val="20"/>
                <w:highlight w:val="none"/>
              </w:rPr>
              <w:t>厅</w:t>
            </w:r>
          </w:p>
        </w:tc>
        <w:tc>
          <w:tcPr>
            <w:tcW w:w="1846" w:type="dxa"/>
            <w:vAlign w:val="center"/>
          </w:tcPr>
          <w:p w14:paraId="475A050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E40107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004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0533473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585AD3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35818E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2E63143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老年人专用浴室</w:t>
            </w:r>
          </w:p>
        </w:tc>
        <w:tc>
          <w:tcPr>
            <w:tcW w:w="1846" w:type="dxa"/>
            <w:vAlign w:val="center"/>
          </w:tcPr>
          <w:p w14:paraId="276ABA1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5B49E13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附设厕位</w:t>
            </w:r>
          </w:p>
        </w:tc>
      </w:tr>
      <w:tr w14:paraId="6D43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7FA562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76C768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27E99F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481071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理发室</w:t>
            </w:r>
          </w:p>
        </w:tc>
        <w:tc>
          <w:tcPr>
            <w:tcW w:w="1846" w:type="dxa"/>
            <w:vAlign w:val="center"/>
          </w:tcPr>
          <w:p w14:paraId="4966D4D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DB5602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50F7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9CA036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E797DD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34D4B9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49CCDC3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商店</w:t>
            </w:r>
          </w:p>
        </w:tc>
        <w:tc>
          <w:tcPr>
            <w:tcW w:w="1846" w:type="dxa"/>
            <w:vAlign w:val="center"/>
          </w:tcPr>
          <w:p w14:paraId="23FB0FB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0C30D93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中型及以上宜设置</w:t>
            </w:r>
          </w:p>
        </w:tc>
      </w:tr>
      <w:tr w14:paraId="65EC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6" w:type="dxa"/>
            <w:vMerge w:val="continue"/>
            <w:vAlign w:val="center"/>
          </w:tcPr>
          <w:p w14:paraId="62E7204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BAEEDF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06ED91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0671AA1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银行、邮电、保险代理</w:t>
            </w:r>
          </w:p>
        </w:tc>
        <w:tc>
          <w:tcPr>
            <w:tcW w:w="1846" w:type="dxa"/>
            <w:vAlign w:val="center"/>
          </w:tcPr>
          <w:p w14:paraId="7E5187B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BAA177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070F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34937E9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restart"/>
            <w:vAlign w:val="center"/>
          </w:tcPr>
          <w:p w14:paraId="335696DE">
            <w:pPr>
              <w:keepNext w:val="0"/>
              <w:keepLines w:val="0"/>
              <w:widowControl/>
              <w:suppressLineNumbers w:val="0"/>
              <w:jc w:val="left"/>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cstheme="minorEastAsia"/>
                <w:b w:val="0"/>
                <w:bCs w:val="0"/>
                <w:color w:val="auto"/>
                <w:kern w:val="0"/>
                <w:sz w:val="20"/>
                <w:szCs w:val="20"/>
                <w:highlight w:val="none"/>
                <w:lang w:val="en-US" w:eastAsia="zh" w:bidi="ar"/>
                <w:woUserID w:val="1"/>
              </w:rPr>
              <w:t>康复与医疗用房</w:t>
            </w:r>
          </w:p>
        </w:tc>
        <w:tc>
          <w:tcPr>
            <w:tcW w:w="436" w:type="dxa"/>
            <w:vMerge w:val="restart"/>
            <w:vAlign w:val="center"/>
          </w:tcPr>
          <w:p w14:paraId="0DD7471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医疗用房</w:t>
            </w:r>
          </w:p>
        </w:tc>
        <w:tc>
          <w:tcPr>
            <w:tcW w:w="1767" w:type="dxa"/>
            <w:vAlign w:val="center"/>
          </w:tcPr>
          <w:p w14:paraId="415AF96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医务室</w:t>
            </w:r>
          </w:p>
        </w:tc>
        <w:tc>
          <w:tcPr>
            <w:tcW w:w="1846" w:type="dxa"/>
            <w:vAlign w:val="center"/>
          </w:tcPr>
          <w:p w14:paraId="47E77B2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0EFFAA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1FE7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3FB0C62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176574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76B2DE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07FF51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观察室</w:t>
            </w:r>
          </w:p>
        </w:tc>
        <w:tc>
          <w:tcPr>
            <w:tcW w:w="1846" w:type="dxa"/>
            <w:vAlign w:val="center"/>
          </w:tcPr>
          <w:p w14:paraId="5B1B022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805377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中型、大型、特大型应设置</w:t>
            </w:r>
          </w:p>
        </w:tc>
      </w:tr>
      <w:tr w14:paraId="3AC6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3B38F7C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0A1D5B6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950CB5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049D68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治疗室</w:t>
            </w:r>
          </w:p>
        </w:tc>
        <w:tc>
          <w:tcPr>
            <w:tcW w:w="1846" w:type="dxa"/>
            <w:vAlign w:val="center"/>
          </w:tcPr>
          <w:p w14:paraId="5CA43DB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5DA8E5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0E7D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636A2B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70881F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D97A62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723E553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检验室</w:t>
            </w:r>
          </w:p>
        </w:tc>
        <w:tc>
          <w:tcPr>
            <w:tcW w:w="1846" w:type="dxa"/>
            <w:vAlign w:val="center"/>
          </w:tcPr>
          <w:p w14:paraId="3E1D428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263437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1D7C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53E7502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4536A8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143C54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1EBDAED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lang w:val="en-US" w:eastAsia="zh-CN"/>
              </w:rPr>
            </w:pPr>
            <w:r>
              <w:rPr>
                <w:rFonts w:hint="eastAsia" w:asciiTheme="minorEastAsia" w:hAnsiTheme="minorEastAsia" w:eastAsiaTheme="minorEastAsia" w:cstheme="minorEastAsia"/>
                <w:b w:val="0"/>
                <w:bCs w:val="0"/>
                <w:color w:val="auto"/>
                <w:kern w:val="0"/>
                <w:sz w:val="20"/>
                <w:szCs w:val="20"/>
                <w:highlight w:val="none"/>
              </w:rPr>
              <w:t>药</w:t>
            </w:r>
            <w:r>
              <w:rPr>
                <w:rFonts w:hint="eastAsia" w:asciiTheme="minorEastAsia" w:hAnsiTheme="minorEastAsia" w:eastAsiaTheme="minorEastAsia" w:cstheme="minorEastAsia"/>
                <w:b w:val="0"/>
                <w:bCs w:val="0"/>
                <w:color w:val="auto"/>
                <w:kern w:val="0"/>
                <w:sz w:val="20"/>
                <w:szCs w:val="20"/>
                <w:highlight w:val="none"/>
                <w:lang w:val="en-US" w:eastAsia="zh-CN"/>
              </w:rPr>
              <w:t>房</w:t>
            </w:r>
          </w:p>
        </w:tc>
        <w:tc>
          <w:tcPr>
            <w:tcW w:w="1846" w:type="dxa"/>
            <w:vAlign w:val="center"/>
          </w:tcPr>
          <w:p w14:paraId="4BC94DB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08CAEC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7678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4E5B38C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45AE3F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065F925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1225C14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lang w:val="en-US" w:eastAsia="zh-CN"/>
              </w:rPr>
            </w:pPr>
            <w:r>
              <w:rPr>
                <w:rFonts w:hint="eastAsia" w:asciiTheme="minorEastAsia" w:hAnsiTheme="minorEastAsia" w:eastAsiaTheme="minorEastAsia" w:cstheme="minorEastAsia"/>
                <w:b w:val="0"/>
                <w:bCs w:val="0"/>
                <w:color w:val="auto"/>
                <w:kern w:val="0"/>
                <w:sz w:val="20"/>
                <w:szCs w:val="20"/>
                <w:highlight w:val="none"/>
                <w:lang w:val="en-US" w:eastAsia="zh-CN"/>
              </w:rPr>
              <w:t>隔离室</w:t>
            </w:r>
          </w:p>
        </w:tc>
        <w:tc>
          <w:tcPr>
            <w:tcW w:w="1846" w:type="dxa"/>
            <w:vAlign w:val="center"/>
          </w:tcPr>
          <w:p w14:paraId="2D5E600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AA88C4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1686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355224B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C88426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CCA694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26533B5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处置室</w:t>
            </w:r>
          </w:p>
        </w:tc>
        <w:tc>
          <w:tcPr>
            <w:tcW w:w="1846" w:type="dxa"/>
            <w:vAlign w:val="center"/>
          </w:tcPr>
          <w:p w14:paraId="3623A68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346A6A1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61FC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629791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69DC87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DB583E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3F1DDC8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临终关怀室</w:t>
            </w:r>
          </w:p>
        </w:tc>
        <w:tc>
          <w:tcPr>
            <w:tcW w:w="1846" w:type="dxa"/>
            <w:vAlign w:val="center"/>
          </w:tcPr>
          <w:p w14:paraId="38E9A53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972B90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4357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A33AA5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0800D7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restart"/>
            <w:vAlign w:val="center"/>
          </w:tcPr>
          <w:p w14:paraId="0C95092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保健用房</w:t>
            </w:r>
          </w:p>
        </w:tc>
        <w:tc>
          <w:tcPr>
            <w:tcW w:w="1767" w:type="dxa"/>
            <w:vAlign w:val="center"/>
          </w:tcPr>
          <w:p w14:paraId="61D41B6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保健室</w:t>
            </w:r>
          </w:p>
        </w:tc>
        <w:tc>
          <w:tcPr>
            <w:tcW w:w="1846" w:type="dxa"/>
            <w:vAlign w:val="center"/>
          </w:tcPr>
          <w:p w14:paraId="2605C84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BBE513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359D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7BF0BE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ACF09E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B3DD3E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329DF6B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康复室</w:t>
            </w:r>
          </w:p>
        </w:tc>
        <w:tc>
          <w:tcPr>
            <w:tcW w:w="1846" w:type="dxa"/>
            <w:vAlign w:val="center"/>
          </w:tcPr>
          <w:p w14:paraId="53FD6C0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6A47CC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在介助、介护区域应设置</w:t>
            </w:r>
          </w:p>
        </w:tc>
      </w:tr>
      <w:tr w14:paraId="66CC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6" w:type="dxa"/>
            <w:vMerge w:val="continue"/>
            <w:vAlign w:val="center"/>
          </w:tcPr>
          <w:p w14:paraId="1B590A1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886FF4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6B886B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4FA4E71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心理疏导室</w:t>
            </w:r>
          </w:p>
        </w:tc>
        <w:tc>
          <w:tcPr>
            <w:tcW w:w="1846" w:type="dxa"/>
            <w:vAlign w:val="center"/>
          </w:tcPr>
          <w:p w14:paraId="348F2E8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3477389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在介助、介护区域应设置</w:t>
            </w:r>
          </w:p>
        </w:tc>
      </w:tr>
      <w:tr w14:paraId="462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497B15B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restart"/>
            <w:vAlign w:val="center"/>
          </w:tcPr>
          <w:p w14:paraId="4DA2C09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cstheme="minorEastAsia"/>
                <w:b w:val="0"/>
                <w:bCs w:val="0"/>
                <w:color w:val="auto"/>
                <w:kern w:val="0"/>
                <w:sz w:val="20"/>
                <w:szCs w:val="20"/>
                <w:highlight w:val="none"/>
                <w:lang w:eastAsia="zh"/>
                <w:woUserID w:val="1"/>
              </w:rPr>
              <w:t>文娱与健身用房</w:t>
            </w:r>
          </w:p>
        </w:tc>
        <w:tc>
          <w:tcPr>
            <w:tcW w:w="436" w:type="dxa"/>
            <w:vMerge w:val="restart"/>
            <w:vAlign w:val="center"/>
          </w:tcPr>
          <w:p w14:paraId="6B828EE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活动室</w:t>
            </w:r>
          </w:p>
        </w:tc>
        <w:tc>
          <w:tcPr>
            <w:tcW w:w="1767" w:type="dxa"/>
            <w:vAlign w:val="center"/>
          </w:tcPr>
          <w:p w14:paraId="3823675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阅览室</w:t>
            </w:r>
          </w:p>
        </w:tc>
        <w:tc>
          <w:tcPr>
            <w:tcW w:w="1846" w:type="dxa"/>
            <w:vAlign w:val="center"/>
          </w:tcPr>
          <w:p w14:paraId="350DA7F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3443AE3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62C6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575D437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2CE3C95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757B27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5937709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网络室</w:t>
            </w:r>
          </w:p>
        </w:tc>
        <w:tc>
          <w:tcPr>
            <w:tcW w:w="1846" w:type="dxa"/>
            <w:vAlign w:val="center"/>
          </w:tcPr>
          <w:p w14:paraId="3E56BE5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3227162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4982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1AFD262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B001D2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516E59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0E9500F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棋牌室</w:t>
            </w:r>
          </w:p>
        </w:tc>
        <w:tc>
          <w:tcPr>
            <w:tcW w:w="1846" w:type="dxa"/>
            <w:vAlign w:val="center"/>
          </w:tcPr>
          <w:p w14:paraId="59682DA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31765FF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1DBB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5F37DF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D3576D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F303FE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163EDAF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书画室</w:t>
            </w:r>
          </w:p>
        </w:tc>
        <w:tc>
          <w:tcPr>
            <w:tcW w:w="1846" w:type="dxa"/>
            <w:vAlign w:val="center"/>
          </w:tcPr>
          <w:p w14:paraId="64E05DE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r>
              <w:rPr>
                <w:rFonts w:hint="eastAsia" w:asciiTheme="minorEastAsia" w:hAnsiTheme="minorEastAsia" w:eastAsiaTheme="minorEastAsia" w:cstheme="minorEastAsia"/>
                <w:b w:val="0"/>
                <w:bCs w:val="0"/>
                <w:color w:val="auto"/>
                <w:kern w:val="0"/>
                <w:sz w:val="20"/>
                <w:szCs w:val="20"/>
                <w:highlight w:val="none"/>
                <w:lang w:val="en-US" w:eastAsia="zh-CN"/>
              </w:rPr>
              <w:t>/</w:t>
            </w: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03CF7C6C">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大型、特大型应设置</w:t>
            </w:r>
          </w:p>
        </w:tc>
      </w:tr>
      <w:tr w14:paraId="779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248E111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7A48B9E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47AE5F0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0A2E204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健身房</w:t>
            </w:r>
          </w:p>
        </w:tc>
        <w:tc>
          <w:tcPr>
            <w:tcW w:w="1846" w:type="dxa"/>
            <w:vAlign w:val="center"/>
          </w:tcPr>
          <w:p w14:paraId="4605429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lang w:eastAsia="zh-CN"/>
              </w:rPr>
            </w:pPr>
            <w:r>
              <w:rPr>
                <w:rFonts w:hint="eastAsia" w:asciiTheme="minorEastAsia" w:hAnsiTheme="minorEastAsia" w:eastAsiaTheme="minorEastAsia" w:cstheme="minorEastAsia"/>
                <w:b w:val="0"/>
                <w:bCs w:val="0"/>
                <w:color w:val="auto"/>
                <w:kern w:val="0"/>
                <w:sz w:val="20"/>
                <w:szCs w:val="20"/>
                <w:highlight w:val="none"/>
                <w:lang w:eastAsia="zh-CN"/>
              </w:rPr>
              <w:t>□</w:t>
            </w:r>
          </w:p>
        </w:tc>
        <w:tc>
          <w:tcPr>
            <w:tcW w:w="3424" w:type="dxa"/>
            <w:vAlign w:val="center"/>
          </w:tcPr>
          <w:p w14:paraId="0775690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37BE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05CBFD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1A99B41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6AEEC9D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1767" w:type="dxa"/>
            <w:vAlign w:val="center"/>
          </w:tcPr>
          <w:p w14:paraId="3FD6108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教室</w:t>
            </w:r>
          </w:p>
        </w:tc>
        <w:tc>
          <w:tcPr>
            <w:tcW w:w="1846" w:type="dxa"/>
            <w:vAlign w:val="center"/>
          </w:tcPr>
          <w:p w14:paraId="58321F4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58ECFFE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729D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3DD8FF5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34650F5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146AFEC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多功能厅</w:t>
            </w:r>
          </w:p>
        </w:tc>
        <w:tc>
          <w:tcPr>
            <w:tcW w:w="1846" w:type="dxa"/>
            <w:vAlign w:val="center"/>
          </w:tcPr>
          <w:p w14:paraId="3C968FD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0B884204">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6C8C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6" w:type="dxa"/>
            <w:vMerge w:val="continue"/>
            <w:vAlign w:val="center"/>
          </w:tcPr>
          <w:p w14:paraId="69EC762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436" w:type="dxa"/>
            <w:vMerge w:val="continue"/>
            <w:vAlign w:val="center"/>
          </w:tcPr>
          <w:p w14:paraId="53D0BCD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0480A53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阳光厅/风雨廊</w:t>
            </w:r>
          </w:p>
        </w:tc>
        <w:tc>
          <w:tcPr>
            <w:tcW w:w="1846" w:type="dxa"/>
            <w:vAlign w:val="center"/>
          </w:tcPr>
          <w:p w14:paraId="26EF397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1B74750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588A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restart"/>
            <w:vAlign w:val="center"/>
          </w:tcPr>
          <w:p w14:paraId="763FA25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管理服务用房</w:t>
            </w:r>
          </w:p>
        </w:tc>
        <w:tc>
          <w:tcPr>
            <w:tcW w:w="2203" w:type="dxa"/>
            <w:gridSpan w:val="2"/>
            <w:vAlign w:val="center"/>
          </w:tcPr>
          <w:p w14:paraId="2F20470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总值班室</w:t>
            </w:r>
          </w:p>
        </w:tc>
        <w:tc>
          <w:tcPr>
            <w:tcW w:w="1846" w:type="dxa"/>
            <w:vAlign w:val="center"/>
          </w:tcPr>
          <w:p w14:paraId="6619E0C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2310A64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0784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4FA49DC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5CF03C7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入住登记室</w:t>
            </w:r>
          </w:p>
        </w:tc>
        <w:tc>
          <w:tcPr>
            <w:tcW w:w="1846" w:type="dxa"/>
            <w:vAlign w:val="center"/>
          </w:tcPr>
          <w:p w14:paraId="3761D3C5">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5CBC473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40E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3B979DC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3A18BD0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办公室</w:t>
            </w:r>
          </w:p>
        </w:tc>
        <w:tc>
          <w:tcPr>
            <w:tcW w:w="1846" w:type="dxa"/>
            <w:vAlign w:val="center"/>
          </w:tcPr>
          <w:p w14:paraId="138DAB0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53C9FF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4A0E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5AD354D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54955A6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接待室</w:t>
            </w:r>
          </w:p>
        </w:tc>
        <w:tc>
          <w:tcPr>
            <w:tcW w:w="1846" w:type="dxa"/>
            <w:vAlign w:val="center"/>
          </w:tcPr>
          <w:p w14:paraId="0521537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7E84DDC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3EFD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5F452BD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3C372C6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会议室</w:t>
            </w:r>
          </w:p>
        </w:tc>
        <w:tc>
          <w:tcPr>
            <w:tcW w:w="1846" w:type="dxa"/>
            <w:vAlign w:val="center"/>
          </w:tcPr>
          <w:p w14:paraId="428A40E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6D0569F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5323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7AF6E6CD">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6F03385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档案室</w:t>
            </w:r>
          </w:p>
        </w:tc>
        <w:tc>
          <w:tcPr>
            <w:tcW w:w="1846" w:type="dxa"/>
            <w:vAlign w:val="center"/>
          </w:tcPr>
          <w:p w14:paraId="1A47B95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2FD5716F">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713C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73AE563B">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3503B10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厨房</w:t>
            </w:r>
          </w:p>
        </w:tc>
        <w:tc>
          <w:tcPr>
            <w:tcW w:w="1846" w:type="dxa"/>
            <w:vAlign w:val="center"/>
          </w:tcPr>
          <w:p w14:paraId="709B632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4DB6DE4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4B44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3477522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1FB2B50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洗衣房</w:t>
            </w:r>
          </w:p>
        </w:tc>
        <w:tc>
          <w:tcPr>
            <w:tcW w:w="1846" w:type="dxa"/>
            <w:vAlign w:val="center"/>
          </w:tcPr>
          <w:p w14:paraId="1DA300A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woUserID w:val="1"/>
              </w:rPr>
              <w:t>△</w:t>
            </w:r>
          </w:p>
        </w:tc>
        <w:tc>
          <w:tcPr>
            <w:tcW w:w="3424" w:type="dxa"/>
            <w:vAlign w:val="center"/>
          </w:tcPr>
          <w:p w14:paraId="183CFFB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5439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72" w:type="dxa"/>
            <w:gridSpan w:val="2"/>
            <w:vMerge w:val="continue"/>
            <w:vAlign w:val="center"/>
          </w:tcPr>
          <w:p w14:paraId="2EC5A34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05F033F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职工用房</w:t>
            </w:r>
          </w:p>
        </w:tc>
        <w:tc>
          <w:tcPr>
            <w:tcW w:w="1846" w:type="dxa"/>
            <w:vAlign w:val="center"/>
          </w:tcPr>
          <w:p w14:paraId="7FC918DA">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74CA3642">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可含职工休息室、职工淋浴间、卫生间、职工食堂</w:t>
            </w:r>
          </w:p>
        </w:tc>
      </w:tr>
      <w:tr w14:paraId="56A0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2" w:type="dxa"/>
            <w:gridSpan w:val="2"/>
            <w:vMerge w:val="continue"/>
            <w:vAlign w:val="center"/>
          </w:tcPr>
          <w:p w14:paraId="62E0AC79">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vAlign w:val="center"/>
          </w:tcPr>
          <w:p w14:paraId="49972570">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备品库</w:t>
            </w:r>
          </w:p>
        </w:tc>
        <w:tc>
          <w:tcPr>
            <w:tcW w:w="1846" w:type="dxa"/>
            <w:vAlign w:val="center"/>
          </w:tcPr>
          <w:p w14:paraId="2E5CF6A8">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vAlign w:val="center"/>
          </w:tcPr>
          <w:p w14:paraId="35788E6E">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r w14:paraId="1B83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2" w:type="dxa"/>
            <w:gridSpan w:val="2"/>
            <w:vMerge w:val="continue"/>
            <w:vAlign w:val="center"/>
          </w:tcPr>
          <w:p w14:paraId="180579E1">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p>
        </w:tc>
        <w:tc>
          <w:tcPr>
            <w:tcW w:w="2203" w:type="dxa"/>
            <w:gridSpan w:val="2"/>
            <w:tcBorders>
              <w:bottom w:val="single" w:color="auto" w:sz="4" w:space="0"/>
            </w:tcBorders>
            <w:vAlign w:val="center"/>
          </w:tcPr>
          <w:p w14:paraId="4198E9E6">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设备用房</w:t>
            </w:r>
          </w:p>
        </w:tc>
        <w:tc>
          <w:tcPr>
            <w:tcW w:w="1846" w:type="dxa"/>
            <w:tcBorders>
              <w:bottom w:val="single" w:color="auto" w:sz="4" w:space="0"/>
            </w:tcBorders>
            <w:vAlign w:val="center"/>
          </w:tcPr>
          <w:p w14:paraId="5D021BB7">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c>
          <w:tcPr>
            <w:tcW w:w="3424" w:type="dxa"/>
            <w:tcBorders>
              <w:bottom w:val="single" w:color="auto" w:sz="4" w:space="0"/>
            </w:tcBorders>
            <w:vAlign w:val="center"/>
          </w:tcPr>
          <w:p w14:paraId="0AA882B3">
            <w:pPr>
              <w:autoSpaceDN w:val="0"/>
              <w:spacing w:beforeAutospacing="1" w:afterAutospacing="1" w:line="330" w:lineRule="atLeast"/>
              <w:jc w:val="center"/>
              <w:rPr>
                <w:rFonts w:hint="eastAsia" w:asciiTheme="minorEastAsia" w:hAnsiTheme="minorEastAsia" w:eastAsiaTheme="minorEastAsia" w:cstheme="minorEastAsia"/>
                <w:b w:val="0"/>
                <w:bCs w:val="0"/>
                <w:color w:val="auto"/>
                <w:kern w:val="0"/>
                <w:sz w:val="20"/>
                <w:szCs w:val="20"/>
                <w:highlight w:val="none"/>
              </w:rPr>
            </w:pPr>
            <w:r>
              <w:rPr>
                <w:rFonts w:hint="eastAsia" w:asciiTheme="minorEastAsia" w:hAnsiTheme="minorEastAsia" w:eastAsiaTheme="minorEastAsia" w:cstheme="minorEastAsia"/>
                <w:b w:val="0"/>
                <w:bCs w:val="0"/>
                <w:color w:val="auto"/>
                <w:kern w:val="0"/>
                <w:sz w:val="20"/>
                <w:szCs w:val="20"/>
                <w:highlight w:val="none"/>
              </w:rPr>
              <w:t>—</w:t>
            </w:r>
          </w:p>
        </w:tc>
      </w:tr>
    </w:tbl>
    <w:p w14:paraId="73DE3893">
      <w:pPr>
        <w:numPr>
          <w:ilvl w:val="0"/>
          <w:numId w:val="0"/>
        </w:numPr>
        <w:jc w:val="both"/>
        <w:rPr>
          <w:rFonts w:hint="eastAsia" w:asciiTheme="majorEastAsia" w:hAnsiTheme="majorEastAsia" w:eastAsiaTheme="majorEastAsia" w:cstheme="majorEastAsia"/>
          <w:b w:val="0"/>
          <w:bCs w:val="0"/>
          <w:color w:val="auto"/>
          <w:kern w:val="0"/>
          <w:sz w:val="20"/>
          <w:szCs w:val="20"/>
          <w:highlight w:val="none"/>
        </w:rPr>
      </w:pPr>
      <w:r>
        <w:rPr>
          <w:rFonts w:hint="eastAsia" w:asciiTheme="majorEastAsia" w:hAnsiTheme="majorEastAsia" w:eastAsiaTheme="majorEastAsia" w:cstheme="majorEastAsia"/>
          <w:b w:val="0"/>
          <w:bCs w:val="0"/>
          <w:color w:val="auto"/>
          <w:kern w:val="0"/>
          <w:sz w:val="20"/>
          <w:szCs w:val="20"/>
          <w:highlight w:val="none"/>
        </w:rPr>
        <w:t>注：表中□为应设置；△为宜设置；○为可设置。</w:t>
      </w:r>
    </w:p>
    <w:p w14:paraId="4A5C8C19">
      <w:pPr>
        <w:numPr>
          <w:ilvl w:val="2"/>
          <w:numId w:val="7"/>
        </w:numPr>
        <w:tabs>
          <w:tab w:val="left" w:pos="0"/>
        </w:tabs>
        <w:bidi w:val="0"/>
        <w:ind w:left="9" w:leftChars="0" w:hanging="9" w:firstLineChars="0"/>
        <w:rPr>
          <w:rFonts w:hint="default"/>
          <w:color w:val="auto"/>
          <w:highlight w:val="none"/>
          <w:lang w:val="en-US" w:eastAsia="zh-CN"/>
        </w:rPr>
      </w:pPr>
      <w:r>
        <w:rPr>
          <w:rFonts w:hint="eastAsia"/>
          <w:b w:val="0"/>
          <w:bCs w:val="0"/>
          <w:color w:val="auto"/>
          <w:highlight w:val="none"/>
          <w:lang w:eastAsia="zh"/>
        </w:rPr>
        <w:t>老年人照料设施</w:t>
      </w:r>
      <w:r>
        <w:rPr>
          <w:rFonts w:hint="eastAsia"/>
          <w:b w:val="0"/>
          <w:bCs w:val="0"/>
          <w:color w:val="auto"/>
          <w:highlight w:val="none"/>
          <w:lang w:val="en-US" w:eastAsia="zh-CN"/>
        </w:rPr>
        <w:t>建筑</w:t>
      </w:r>
      <w:r>
        <w:rPr>
          <w:b w:val="0"/>
          <w:bCs w:val="0"/>
          <w:color w:val="auto"/>
          <w:highlight w:val="none"/>
        </w:rPr>
        <w:t>各类用房的使用面积不宜小于表5.1.2的规定。旧城区</w:t>
      </w:r>
      <w:r>
        <w:rPr>
          <w:rFonts w:hint="eastAsia"/>
          <w:b w:val="0"/>
          <w:bCs w:val="0"/>
          <w:color w:val="auto"/>
          <w:highlight w:val="none"/>
          <w:lang w:eastAsia="zh"/>
        </w:rPr>
        <w:t>老年人照料设施</w:t>
      </w:r>
      <w:r>
        <w:rPr>
          <w:rFonts w:hint="eastAsia"/>
          <w:b w:val="0"/>
          <w:bCs w:val="0"/>
          <w:color w:val="auto"/>
          <w:highlight w:val="none"/>
          <w:lang w:val="en-US" w:eastAsia="zh-CN"/>
        </w:rPr>
        <w:t>建筑</w:t>
      </w:r>
      <w:r>
        <w:rPr>
          <w:b w:val="0"/>
          <w:bCs w:val="0"/>
          <w:color w:val="auto"/>
          <w:highlight w:val="none"/>
        </w:rPr>
        <w:t>改建项目的老年人生活用房的使用面积不应低于表5.1.2的规定，其他用房的使用面积不应低于表 5.1.2 规定的70%。</w:t>
      </w:r>
    </w:p>
    <w:p w14:paraId="35BDD543">
      <w:pPr>
        <w:numPr>
          <w:ilvl w:val="0"/>
          <w:numId w:val="0"/>
        </w:numPr>
        <w:jc w:val="center"/>
        <w:rPr>
          <w:rFonts w:hint="default"/>
          <w:b/>
          <w:bCs/>
          <w:color w:val="auto"/>
          <w:sz w:val="18"/>
          <w:szCs w:val="21"/>
          <w:highlight w:val="none"/>
          <w:lang w:val="en-US" w:eastAsia="zh-CN"/>
        </w:rPr>
      </w:pPr>
      <w:r>
        <w:rPr>
          <w:rFonts w:hint="default"/>
          <w:b/>
          <w:bCs/>
          <w:color w:val="auto"/>
          <w:sz w:val="18"/>
          <w:szCs w:val="21"/>
          <w:highlight w:val="none"/>
          <w:lang w:val="en-US" w:eastAsia="zh-CN"/>
        </w:rPr>
        <w:t>表5</w:t>
      </w:r>
      <w:r>
        <w:rPr>
          <w:rFonts w:hint="eastAsia"/>
          <w:b/>
          <w:bCs/>
          <w:color w:val="auto"/>
          <w:sz w:val="18"/>
          <w:szCs w:val="21"/>
          <w:highlight w:val="none"/>
          <w:lang w:val="en-US" w:eastAsia="zh-CN"/>
        </w:rPr>
        <w:t>.</w:t>
      </w:r>
      <w:r>
        <w:rPr>
          <w:rFonts w:hint="default"/>
          <w:b/>
          <w:bCs/>
          <w:color w:val="auto"/>
          <w:sz w:val="18"/>
          <w:szCs w:val="21"/>
          <w:highlight w:val="none"/>
          <w:lang w:val="en-US" w:eastAsia="zh-CN"/>
        </w:rPr>
        <w:t>1</w:t>
      </w:r>
      <w:r>
        <w:rPr>
          <w:rFonts w:hint="eastAsia"/>
          <w:b/>
          <w:bCs/>
          <w:color w:val="auto"/>
          <w:sz w:val="18"/>
          <w:szCs w:val="21"/>
          <w:highlight w:val="none"/>
          <w:lang w:val="en-US" w:eastAsia="zh-CN"/>
        </w:rPr>
        <w:t>.</w:t>
      </w:r>
      <w:r>
        <w:rPr>
          <w:rFonts w:hint="default"/>
          <w:b/>
          <w:bCs/>
          <w:color w:val="auto"/>
          <w:sz w:val="18"/>
          <w:szCs w:val="21"/>
          <w:highlight w:val="none"/>
          <w:lang w:val="en-US" w:eastAsia="zh-CN"/>
        </w:rPr>
        <w:t xml:space="preserve">2 </w:t>
      </w:r>
      <w:r>
        <w:rPr>
          <w:rFonts w:hint="eastAsia"/>
          <w:b/>
          <w:bCs/>
          <w:color w:val="auto"/>
          <w:sz w:val="18"/>
          <w:szCs w:val="21"/>
          <w:highlight w:val="none"/>
          <w:lang w:val="en-US" w:eastAsia="zh"/>
        </w:rPr>
        <w:t>老年人照料设施</w:t>
      </w:r>
      <w:r>
        <w:rPr>
          <w:rFonts w:hint="eastAsia"/>
          <w:b/>
          <w:bCs/>
          <w:color w:val="auto"/>
          <w:sz w:val="18"/>
          <w:szCs w:val="21"/>
          <w:highlight w:val="none"/>
          <w:lang w:val="en-US" w:eastAsia="zh-CN"/>
        </w:rPr>
        <w:t>建筑</w:t>
      </w:r>
      <w:r>
        <w:rPr>
          <w:rFonts w:hint="default"/>
          <w:b/>
          <w:bCs/>
          <w:color w:val="auto"/>
          <w:sz w:val="18"/>
          <w:szCs w:val="21"/>
          <w:highlight w:val="none"/>
          <w:lang w:val="en-US" w:eastAsia="zh-CN"/>
        </w:rPr>
        <w:t>各类用房最小使用面积指标</w:t>
      </w:r>
    </w:p>
    <w:tbl>
      <w:tblPr>
        <w:tblStyle w:val="11"/>
        <w:tblpPr w:leftFromText="180" w:rightFromText="180" w:vertAnchor="text" w:tblpX="190" w:tblpY="1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18"/>
        <w:gridCol w:w="2500"/>
        <w:gridCol w:w="2770"/>
      </w:tblGrid>
      <w:tr w14:paraId="1B8D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2" w:type="dxa"/>
            <w:gridSpan w:val="2"/>
            <w:vAlign w:val="center"/>
          </w:tcPr>
          <w:p w14:paraId="5AB0A901">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用房类别</w:t>
            </w:r>
          </w:p>
        </w:tc>
        <w:tc>
          <w:tcPr>
            <w:tcW w:w="2500" w:type="dxa"/>
            <w:vAlign w:val="center"/>
          </w:tcPr>
          <w:p w14:paraId="1658DAF3">
            <w:pPr>
              <w:bidi w:val="0"/>
              <w:jc w:val="center"/>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rPr>
              <w:t>面积指标</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㎡/床</w:t>
            </w:r>
            <w:r>
              <w:rPr>
                <w:rFonts w:hint="eastAsia" w:asciiTheme="minorEastAsia" w:hAnsiTheme="minorEastAsia" w:eastAsiaTheme="minorEastAsia" w:cstheme="minorEastAsia"/>
                <w:color w:val="auto"/>
                <w:sz w:val="20"/>
                <w:szCs w:val="20"/>
                <w:highlight w:val="none"/>
                <w:lang w:eastAsia="zh-CN"/>
              </w:rPr>
              <w:t>）</w:t>
            </w:r>
          </w:p>
        </w:tc>
        <w:tc>
          <w:tcPr>
            <w:tcW w:w="2770" w:type="dxa"/>
            <w:vAlign w:val="center"/>
          </w:tcPr>
          <w:p w14:paraId="3CD6419B">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备注</w:t>
            </w:r>
          </w:p>
        </w:tc>
      </w:tr>
      <w:tr w14:paraId="289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4" w:type="dxa"/>
            <w:vMerge w:val="restart"/>
            <w:vAlign w:val="center"/>
          </w:tcPr>
          <w:p w14:paraId="42007B58">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老年人用房</w:t>
            </w:r>
          </w:p>
        </w:tc>
        <w:tc>
          <w:tcPr>
            <w:tcW w:w="2718" w:type="dxa"/>
            <w:vAlign w:val="center"/>
          </w:tcPr>
          <w:p w14:paraId="33693F87">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生活用房</w:t>
            </w:r>
          </w:p>
        </w:tc>
        <w:tc>
          <w:tcPr>
            <w:tcW w:w="2500" w:type="dxa"/>
            <w:vAlign w:val="center"/>
          </w:tcPr>
          <w:p w14:paraId="7E26176B">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14</w:t>
            </w:r>
          </w:p>
        </w:tc>
        <w:tc>
          <w:tcPr>
            <w:tcW w:w="2770" w:type="dxa"/>
            <w:vAlign w:val="center"/>
          </w:tcPr>
          <w:p w14:paraId="006AF741">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不含阳台</w:t>
            </w:r>
          </w:p>
        </w:tc>
      </w:tr>
      <w:tr w14:paraId="188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4" w:type="dxa"/>
            <w:vMerge w:val="continue"/>
            <w:vAlign w:val="center"/>
          </w:tcPr>
          <w:p w14:paraId="62E6F31A">
            <w:pPr>
              <w:bidi w:val="0"/>
              <w:jc w:val="center"/>
              <w:rPr>
                <w:rFonts w:hint="eastAsia" w:asciiTheme="minorEastAsia" w:hAnsiTheme="minorEastAsia" w:eastAsiaTheme="minorEastAsia" w:cstheme="minorEastAsia"/>
                <w:color w:val="auto"/>
                <w:sz w:val="20"/>
                <w:szCs w:val="20"/>
                <w:highlight w:val="none"/>
              </w:rPr>
            </w:pPr>
          </w:p>
        </w:tc>
        <w:tc>
          <w:tcPr>
            <w:tcW w:w="2718" w:type="dxa"/>
            <w:vAlign w:val="center"/>
          </w:tcPr>
          <w:p w14:paraId="397117AF">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cstheme="minorEastAsia"/>
                <w:color w:val="auto"/>
                <w:sz w:val="20"/>
                <w:szCs w:val="20"/>
                <w:highlight w:val="none"/>
                <w:lang w:eastAsia="zh"/>
                <w:woUserID w:val="1"/>
              </w:rPr>
              <w:t>康复与医疗</w:t>
            </w:r>
            <w:r>
              <w:rPr>
                <w:rFonts w:hint="eastAsia" w:asciiTheme="minorEastAsia" w:hAnsiTheme="minorEastAsia" w:eastAsiaTheme="minorEastAsia" w:cstheme="minorEastAsia"/>
                <w:color w:val="auto"/>
                <w:sz w:val="20"/>
                <w:szCs w:val="20"/>
                <w:highlight w:val="none"/>
              </w:rPr>
              <w:t>用房</w:t>
            </w:r>
          </w:p>
        </w:tc>
        <w:tc>
          <w:tcPr>
            <w:tcW w:w="2500" w:type="dxa"/>
            <w:vAlign w:val="center"/>
          </w:tcPr>
          <w:p w14:paraId="21BF93C5">
            <w:pPr>
              <w:bidi w:val="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0.5</w:t>
            </w:r>
          </w:p>
        </w:tc>
        <w:tc>
          <w:tcPr>
            <w:tcW w:w="2770" w:type="dxa"/>
            <w:vAlign w:val="center"/>
          </w:tcPr>
          <w:p w14:paraId="05A28FD5">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w:t>
            </w:r>
          </w:p>
        </w:tc>
      </w:tr>
      <w:tr w14:paraId="3985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4" w:type="dxa"/>
            <w:vMerge w:val="continue"/>
            <w:vAlign w:val="center"/>
          </w:tcPr>
          <w:p w14:paraId="52B59B9A">
            <w:pPr>
              <w:bidi w:val="0"/>
              <w:jc w:val="center"/>
              <w:rPr>
                <w:rFonts w:hint="eastAsia" w:asciiTheme="minorEastAsia" w:hAnsiTheme="minorEastAsia" w:eastAsiaTheme="minorEastAsia" w:cstheme="minorEastAsia"/>
                <w:color w:val="auto"/>
                <w:sz w:val="20"/>
                <w:szCs w:val="20"/>
                <w:highlight w:val="none"/>
              </w:rPr>
            </w:pPr>
          </w:p>
        </w:tc>
        <w:tc>
          <w:tcPr>
            <w:tcW w:w="2718" w:type="dxa"/>
            <w:vAlign w:val="center"/>
          </w:tcPr>
          <w:p w14:paraId="0A351CBE">
            <w:pPr>
              <w:bidi w:val="0"/>
              <w:jc w:val="center"/>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b w:val="0"/>
                <w:bCs w:val="0"/>
                <w:kern w:val="0"/>
                <w:sz w:val="20"/>
                <w:szCs w:val="20"/>
                <w:lang w:val="en-US" w:eastAsia="zh-CN" w:bidi="ar"/>
                <w:woUserID w:val="1"/>
              </w:rPr>
              <w:t>文娱与健身用房</w:t>
            </w:r>
          </w:p>
        </w:tc>
        <w:tc>
          <w:tcPr>
            <w:tcW w:w="2500" w:type="dxa"/>
            <w:vAlign w:val="center"/>
          </w:tcPr>
          <w:p w14:paraId="39A793BB">
            <w:pPr>
              <w:bidi w:val="0"/>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w:t>
            </w:r>
          </w:p>
        </w:tc>
        <w:tc>
          <w:tcPr>
            <w:tcW w:w="2770" w:type="dxa"/>
            <w:vAlign w:val="center"/>
          </w:tcPr>
          <w:p w14:paraId="2BCE2A13">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不含阳光厅/风雨廊</w:t>
            </w:r>
          </w:p>
        </w:tc>
      </w:tr>
      <w:tr w14:paraId="219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52" w:type="dxa"/>
            <w:gridSpan w:val="2"/>
            <w:vAlign w:val="center"/>
          </w:tcPr>
          <w:p w14:paraId="524AD638">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管理服务用房</w:t>
            </w:r>
          </w:p>
        </w:tc>
        <w:tc>
          <w:tcPr>
            <w:tcW w:w="2500" w:type="dxa"/>
            <w:vAlign w:val="center"/>
          </w:tcPr>
          <w:p w14:paraId="39EE03F1">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6</w:t>
            </w:r>
          </w:p>
        </w:tc>
        <w:tc>
          <w:tcPr>
            <w:tcW w:w="2770" w:type="dxa"/>
            <w:vAlign w:val="center"/>
          </w:tcPr>
          <w:p w14:paraId="6F17A124">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w:t>
            </w:r>
          </w:p>
        </w:tc>
      </w:tr>
    </w:tbl>
    <w:p w14:paraId="319073DD">
      <w:pPr>
        <w:numPr>
          <w:ilvl w:val="0"/>
          <w:numId w:val="0"/>
        </w:numPr>
        <w:tabs>
          <w:tab w:val="left" w:pos="0"/>
        </w:tabs>
        <w:bidi w:val="0"/>
        <w:ind w:leftChars="0"/>
        <w:rPr>
          <w:rFonts w:hint="eastAsia" w:ascii="宋体" w:hAnsi="宋体" w:eastAsia="宋体" w:cs="宋体"/>
          <w:b w:val="0"/>
          <w:bCs w:val="0"/>
          <w:color w:val="auto"/>
          <w:highlight w:val="none"/>
          <w:lang w:val="en-US" w:eastAsia="zh-CN"/>
        </w:rPr>
      </w:pPr>
    </w:p>
    <w:p w14:paraId="24E78935">
      <w:pPr>
        <w:numPr>
          <w:ilvl w:val="2"/>
          <w:numId w:val="7"/>
        </w:numPr>
        <w:tabs>
          <w:tab w:val="left" w:pos="0"/>
        </w:tabs>
        <w:bidi w:val="0"/>
        <w:ind w:left="9" w:leftChars="0" w:hanging="9" w:firstLineChars="0"/>
        <w:outlineLvl w:val="9"/>
        <w:rPr>
          <w:rFonts w:hint="eastAsia"/>
          <w:color w:val="auto"/>
          <w:highlight w:val="none"/>
          <w:lang w:val="en-US" w:eastAsia="zh-CN"/>
        </w:rPr>
      </w:pPr>
      <w:r>
        <w:rPr>
          <w:rFonts w:hint="eastAsia"/>
          <w:color w:val="auto"/>
          <w:highlight w:val="none"/>
          <w:lang w:eastAsia="zh"/>
        </w:rPr>
        <w:t>老年人照料设施</w:t>
      </w:r>
      <w:r>
        <w:rPr>
          <w:rFonts w:hint="eastAsia"/>
          <w:b w:val="0"/>
          <w:bCs w:val="0"/>
          <w:color w:val="auto"/>
          <w:highlight w:val="none"/>
          <w:lang w:val="en-US" w:eastAsia="zh-CN"/>
        </w:rPr>
        <w:t>建筑</w:t>
      </w:r>
      <w:r>
        <w:rPr>
          <w:rFonts w:hint="eastAsia"/>
          <w:color w:val="auto"/>
          <w:highlight w:val="none"/>
        </w:rPr>
        <w:t>中老年人生活用房的居住用房和生活辅助用房宜按</w:t>
      </w:r>
      <w:r>
        <w:rPr>
          <w:rFonts w:hint="eastAsia"/>
          <w:color w:val="auto"/>
          <w:highlight w:val="none"/>
          <w:lang w:val="en-US" w:eastAsia="zh-CN"/>
        </w:rPr>
        <w:t>照料单元</w:t>
      </w:r>
      <w:r>
        <w:rPr>
          <w:rFonts w:hint="eastAsia"/>
          <w:color w:val="auto"/>
          <w:highlight w:val="none"/>
        </w:rPr>
        <w:t>设置，</w:t>
      </w:r>
      <w:r>
        <w:rPr>
          <w:rFonts w:hint="eastAsia"/>
          <w:color w:val="auto"/>
          <w:highlight w:val="none"/>
          <w:lang w:eastAsia="zh"/>
        </w:rPr>
        <w:t>老年人照料设施</w:t>
      </w:r>
      <w:r>
        <w:rPr>
          <w:rFonts w:hint="eastAsia"/>
          <w:color w:val="auto"/>
          <w:highlight w:val="none"/>
          <w:lang w:val="en-US" w:eastAsia="zh-CN"/>
        </w:rPr>
        <w:t>照料单元</w:t>
      </w:r>
      <w:r>
        <w:rPr>
          <w:rFonts w:hint="eastAsia"/>
          <w:color w:val="auto"/>
          <w:highlight w:val="none"/>
        </w:rPr>
        <w:t>的规模宜为</w:t>
      </w:r>
      <w:r>
        <w:rPr>
          <w:rFonts w:hint="eastAsia"/>
          <w:color w:val="auto"/>
          <w:highlight w:val="none"/>
          <w:lang w:val="en-US" w:eastAsia="zh-CN"/>
        </w:rPr>
        <w:t>35</w:t>
      </w:r>
      <w:r>
        <w:rPr>
          <w:rFonts w:hint="eastAsia"/>
          <w:color w:val="auto"/>
          <w:highlight w:val="none"/>
        </w:rPr>
        <w:t>～</w:t>
      </w:r>
      <w:r>
        <w:rPr>
          <w:rFonts w:hint="eastAsia"/>
          <w:color w:val="auto"/>
          <w:highlight w:val="none"/>
          <w:lang w:val="en-US" w:eastAsia="zh-CN"/>
        </w:rPr>
        <w:t>60</w:t>
      </w:r>
      <w:r>
        <w:rPr>
          <w:rFonts w:hint="eastAsia"/>
          <w:color w:val="auto"/>
          <w:highlight w:val="none"/>
        </w:rPr>
        <w:t>床；失智老年人的</w:t>
      </w:r>
      <w:r>
        <w:rPr>
          <w:rFonts w:hint="eastAsia"/>
          <w:color w:val="auto"/>
          <w:highlight w:val="none"/>
          <w:lang w:val="en-US" w:eastAsia="zh-CN"/>
        </w:rPr>
        <w:t>照料单元</w:t>
      </w:r>
      <w:r>
        <w:rPr>
          <w:rFonts w:hint="eastAsia"/>
          <w:color w:val="auto"/>
          <w:highlight w:val="none"/>
        </w:rPr>
        <w:t>宜独立设置</w:t>
      </w:r>
      <w:r>
        <w:rPr>
          <w:rFonts w:hint="eastAsia"/>
          <w:color w:val="auto"/>
          <w:highlight w:val="none"/>
          <w:lang w:eastAsia="zh-CN"/>
        </w:rPr>
        <w:t>，每个照料单元的设计床位数不宜大于20床。</w:t>
      </w:r>
    </w:p>
    <w:p w14:paraId="40045F9D">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45" w:name="_Toc30800"/>
      <w:bookmarkStart w:id="46" w:name="_Toc11265"/>
      <w:bookmarkStart w:id="47" w:name="_Toc12655"/>
      <w:r>
        <w:rPr>
          <w:rStyle w:val="19"/>
          <w:rFonts w:hint="eastAsia" w:ascii="Times New Roman" w:hAnsi="Times New Roman" w:eastAsia="宋体" w:cs="Times New Roman"/>
          <w:color w:val="auto"/>
          <w:sz w:val="28"/>
          <w:szCs w:val="40"/>
          <w:highlight w:val="none"/>
          <w:lang w:val="en-US" w:eastAsia="zh-CN"/>
        </w:rPr>
        <w:t xml:space="preserve">5.2 </w:t>
      </w:r>
      <w:r>
        <w:rPr>
          <w:rStyle w:val="19"/>
          <w:rFonts w:hint="eastAsia" w:ascii="黑体" w:hAnsi="黑体" w:eastAsia="黑体" w:cs="黑体"/>
          <w:color w:val="auto"/>
          <w:sz w:val="28"/>
          <w:szCs w:val="40"/>
          <w:highlight w:val="none"/>
          <w:lang w:val="en-US" w:eastAsia="zh-CN"/>
        </w:rPr>
        <w:t>生活用房</w:t>
      </w:r>
      <w:bookmarkEnd w:id="45"/>
      <w:bookmarkEnd w:id="46"/>
    </w:p>
    <w:bookmarkEnd w:id="47"/>
    <w:p w14:paraId="77335689">
      <w:pPr>
        <w:numPr>
          <w:ilvl w:val="2"/>
          <w:numId w:val="8"/>
        </w:numPr>
        <w:tabs>
          <w:tab w:val="left" w:pos="0"/>
        </w:tabs>
        <w:bidi w:val="0"/>
        <w:ind w:left="0" w:leftChars="0" w:hanging="9" w:firstLineChars="0"/>
        <w:rPr>
          <w:b w:val="0"/>
          <w:bCs w:val="0"/>
          <w:color w:val="auto"/>
          <w:highlight w:val="none"/>
        </w:rPr>
      </w:pPr>
      <w:r>
        <w:rPr>
          <w:b w:val="0"/>
          <w:bCs w:val="0"/>
          <w:color w:val="auto"/>
          <w:highlight w:val="none"/>
        </w:rPr>
        <w:t>老年人</w:t>
      </w:r>
      <w:r>
        <w:rPr>
          <w:rFonts w:hint="eastAsia"/>
          <w:b w:val="0"/>
          <w:bCs w:val="0"/>
          <w:color w:val="auto"/>
          <w:sz w:val="21"/>
          <w:szCs w:val="21"/>
          <w:highlight w:val="none"/>
          <w:lang w:val="en-US" w:eastAsia="zh-CN"/>
        </w:rPr>
        <w:t>居室</w:t>
      </w:r>
      <w:r>
        <w:rPr>
          <w:b w:val="0"/>
          <w:bCs w:val="0"/>
          <w:color w:val="auto"/>
          <w:highlight w:val="none"/>
        </w:rPr>
        <w:t>和亲情居室不应设置在地下、半地下，不应与电梯井道、有噪声振动的设备机房等贴邻布置。</w:t>
      </w:r>
    </w:p>
    <w:p w14:paraId="22B9AFB9">
      <w:pPr>
        <w:numPr>
          <w:ilvl w:val="2"/>
          <w:numId w:val="8"/>
        </w:numPr>
        <w:tabs>
          <w:tab w:val="left" w:pos="0"/>
        </w:tabs>
        <w:bidi w:val="0"/>
        <w:ind w:left="0" w:leftChars="0" w:hanging="9" w:firstLineChars="0"/>
        <w:rPr>
          <w:b w:val="0"/>
          <w:bCs w:val="0"/>
          <w:color w:val="auto"/>
          <w:highlight w:val="none"/>
        </w:rPr>
      </w:pPr>
      <w:r>
        <w:rPr>
          <w:b w:val="0"/>
          <w:bCs w:val="0"/>
          <w:color w:val="auto"/>
          <w:highlight w:val="none"/>
        </w:rPr>
        <w:t>老年人</w:t>
      </w:r>
      <w:r>
        <w:rPr>
          <w:rFonts w:hint="eastAsia"/>
          <w:b w:val="0"/>
          <w:bCs w:val="0"/>
          <w:color w:val="auto"/>
          <w:sz w:val="21"/>
          <w:szCs w:val="21"/>
          <w:highlight w:val="none"/>
          <w:lang w:val="en-US" w:eastAsia="zh-CN"/>
        </w:rPr>
        <w:t>居室</w:t>
      </w:r>
      <w:r>
        <w:rPr>
          <w:b w:val="0"/>
          <w:bCs w:val="0"/>
          <w:color w:val="auto"/>
          <w:highlight w:val="none"/>
        </w:rPr>
        <w:t>在关窗状态下的白天允许噪声级</w:t>
      </w:r>
      <w:r>
        <w:rPr>
          <w:rFonts w:hint="eastAsia"/>
          <w:b w:val="0"/>
          <w:bCs w:val="0"/>
          <w:color w:val="auto"/>
          <w:highlight w:val="none"/>
          <w:lang w:eastAsia="zh-CN"/>
        </w:rPr>
        <w:t>不应超过</w:t>
      </w:r>
      <w:r>
        <w:rPr>
          <w:rFonts w:hint="eastAsia"/>
          <w:b w:val="0"/>
          <w:bCs w:val="0"/>
          <w:color w:val="auto"/>
          <w:highlight w:val="none"/>
          <w:lang w:val="en-US" w:eastAsia="zh-CN"/>
        </w:rPr>
        <w:t>40</w:t>
      </w:r>
      <w:r>
        <w:rPr>
          <w:b w:val="0"/>
          <w:bCs w:val="0"/>
          <w:color w:val="auto"/>
          <w:highlight w:val="none"/>
        </w:rPr>
        <w:t xml:space="preserve"> dB</w:t>
      </w:r>
      <w:r>
        <w:rPr>
          <w:rFonts w:hint="eastAsia"/>
          <w:b w:val="0"/>
          <w:bCs w:val="0"/>
          <w:color w:val="auto"/>
          <w:highlight w:val="none"/>
          <w:lang w:eastAsia="zh-CN"/>
        </w:rPr>
        <w:t>（</w:t>
      </w:r>
      <w:r>
        <w:rPr>
          <w:rFonts w:hint="eastAsia"/>
          <w:b w:val="0"/>
          <w:bCs w:val="0"/>
          <w:color w:val="auto"/>
          <w:highlight w:val="none"/>
          <w:lang w:val="en-US" w:eastAsia="zh-CN"/>
        </w:rPr>
        <w:t>A</w:t>
      </w:r>
      <w:r>
        <w:rPr>
          <w:rFonts w:hint="eastAsia"/>
          <w:b w:val="0"/>
          <w:bCs w:val="0"/>
          <w:color w:val="auto"/>
          <w:highlight w:val="none"/>
          <w:lang w:eastAsia="zh-CN"/>
        </w:rPr>
        <w:t>）</w:t>
      </w:r>
      <w:r>
        <w:rPr>
          <w:b w:val="0"/>
          <w:bCs w:val="0"/>
          <w:color w:val="auto"/>
          <w:highlight w:val="none"/>
        </w:rPr>
        <w:t xml:space="preserve"> ，夜间允许噪声级</w:t>
      </w:r>
      <w:r>
        <w:rPr>
          <w:rFonts w:hint="eastAsia"/>
          <w:b w:val="0"/>
          <w:bCs w:val="0"/>
          <w:color w:val="auto"/>
          <w:highlight w:val="none"/>
          <w:lang w:eastAsia="zh-CN"/>
        </w:rPr>
        <w:t>不应超过</w:t>
      </w:r>
      <w:r>
        <w:rPr>
          <w:rFonts w:hint="eastAsia"/>
          <w:b w:val="0"/>
          <w:bCs w:val="0"/>
          <w:color w:val="auto"/>
          <w:highlight w:val="none"/>
          <w:lang w:val="en-US" w:eastAsia="zh-CN"/>
        </w:rPr>
        <w:t>30</w:t>
      </w:r>
      <w:r>
        <w:rPr>
          <w:b w:val="0"/>
          <w:bCs w:val="0"/>
          <w:color w:val="auto"/>
          <w:highlight w:val="none"/>
        </w:rPr>
        <w:t xml:space="preserve"> dB（A），楼板的计权标准化撞击声压级不应大于65 dB。</w:t>
      </w:r>
    </w:p>
    <w:p w14:paraId="4EC7A92E">
      <w:pPr>
        <w:numPr>
          <w:ilvl w:val="2"/>
          <w:numId w:val="8"/>
        </w:numPr>
        <w:tabs>
          <w:tab w:val="left" w:pos="0"/>
        </w:tabs>
        <w:bidi w:val="0"/>
        <w:ind w:left="0" w:leftChars="0" w:hanging="9" w:firstLineChars="0"/>
        <w:rPr>
          <w:b w:val="0"/>
          <w:bCs w:val="0"/>
          <w:color w:val="auto"/>
          <w:highlight w:val="none"/>
        </w:rPr>
      </w:pPr>
      <w:r>
        <w:rPr>
          <w:b w:val="0"/>
          <w:bCs w:val="0"/>
          <w:color w:val="auto"/>
          <w:highlight w:val="none"/>
        </w:rPr>
        <w:t>老年人</w:t>
      </w:r>
      <w:r>
        <w:rPr>
          <w:rFonts w:hint="eastAsia"/>
          <w:b w:val="0"/>
          <w:bCs w:val="0"/>
          <w:color w:val="auto"/>
          <w:highlight w:val="none"/>
          <w:lang w:val="en-US" w:eastAsia="zh-CN"/>
        </w:rPr>
        <w:t>居室</w:t>
      </w:r>
      <w:r>
        <w:rPr>
          <w:b w:val="0"/>
          <w:bCs w:val="0"/>
          <w:color w:val="auto"/>
          <w:highlight w:val="none"/>
        </w:rPr>
        <w:t>应符合下列规定：</w:t>
      </w:r>
    </w:p>
    <w:p w14:paraId="5834DEC2">
      <w:pPr>
        <w:numPr>
          <w:ilvl w:val="-1"/>
          <w:numId w:val="0"/>
        </w:numPr>
        <w:tabs>
          <w:tab w:val="left" w:pos="0"/>
        </w:tabs>
        <w:bidi w:val="0"/>
        <w:ind w:left="0" w:leftChars="0" w:firstLine="420" w:firstLineChars="0"/>
        <w:rPr>
          <w:rFonts w:hint="eastAsia"/>
          <w:b w:val="0"/>
          <w:bCs w:val="0"/>
          <w:color w:val="auto"/>
          <w:highlight w:val="none"/>
          <w:lang w:val="en-US" w:eastAsia="zh-CN"/>
        </w:rPr>
      </w:pPr>
      <w:r>
        <w:rPr>
          <w:rFonts w:hint="eastAsia"/>
          <w:b/>
          <w:bCs/>
          <w:color w:val="auto"/>
          <w:sz w:val="21"/>
          <w:szCs w:val="21"/>
          <w:highlight w:val="none"/>
          <w:u w:val="none"/>
          <w:lang w:val="en-US" w:eastAsia="zh-CN"/>
        </w:rPr>
        <w:t>1</w:t>
      </w:r>
      <w:r>
        <w:rPr>
          <w:rFonts w:hint="eastAsia"/>
          <w:b w:val="0"/>
          <w:bCs w:val="0"/>
          <w:color w:val="auto"/>
          <w:sz w:val="21"/>
          <w:szCs w:val="21"/>
          <w:highlight w:val="none"/>
          <w:u w:val="none"/>
          <w:lang w:val="en-US" w:eastAsia="zh-CN"/>
        </w:rPr>
        <w:t xml:space="preserve"> </w:t>
      </w:r>
      <w:r>
        <w:rPr>
          <w:rFonts w:hint="eastAsia"/>
          <w:b w:val="0"/>
          <w:bCs w:val="0"/>
          <w:color w:val="auto"/>
          <w:sz w:val="21"/>
          <w:szCs w:val="21"/>
          <w:highlight w:val="none"/>
          <w:lang w:eastAsia="zh"/>
        </w:rPr>
        <w:t>老年人照料设施</w:t>
      </w:r>
      <w:r>
        <w:rPr>
          <w:b w:val="0"/>
          <w:bCs w:val="0"/>
          <w:color w:val="auto"/>
          <w:highlight w:val="none"/>
        </w:rPr>
        <w:t>的</w:t>
      </w:r>
      <w:r>
        <w:rPr>
          <w:rFonts w:hint="eastAsia"/>
          <w:b w:val="0"/>
          <w:bCs w:val="0"/>
          <w:color w:val="auto"/>
          <w:highlight w:val="none"/>
          <w:lang w:val="en-US" w:eastAsia="zh-CN"/>
        </w:rPr>
        <w:t>居室平均使用面积不应小于</w:t>
      </w:r>
      <w:r>
        <w:rPr>
          <w:b w:val="0"/>
          <w:bCs w:val="0"/>
          <w:color w:val="auto"/>
          <w:highlight w:val="none"/>
        </w:rPr>
        <w:t>6</w:t>
      </w:r>
      <w:r>
        <w:rPr>
          <w:rFonts w:hint="eastAsia"/>
          <w:b w:val="0"/>
          <w:bCs w:val="0"/>
          <w:color w:val="auto"/>
          <w:highlight w:val="none"/>
          <w:lang w:eastAsia="zh-CN"/>
        </w:rPr>
        <w:t>㎡</w:t>
      </w:r>
      <w:r>
        <w:rPr>
          <w:rFonts w:hint="eastAsia"/>
          <w:b w:val="0"/>
          <w:bCs w:val="0"/>
          <w:color w:val="auto"/>
          <w:highlight w:val="none"/>
          <w:lang w:val="en-US" w:eastAsia="zh-CN"/>
        </w:rPr>
        <w:t>/</w:t>
      </w:r>
      <w:r>
        <w:rPr>
          <w:b w:val="0"/>
          <w:bCs w:val="0"/>
          <w:color w:val="auto"/>
          <w:highlight w:val="none"/>
        </w:rPr>
        <w:t>床，且单人</w:t>
      </w:r>
      <w:r>
        <w:rPr>
          <w:rFonts w:hint="eastAsia"/>
          <w:color w:val="auto"/>
          <w:highlight w:val="none"/>
          <w:lang w:val="en-US" w:eastAsia="zh-CN"/>
        </w:rPr>
        <w:t>居室</w:t>
      </w:r>
      <w:r>
        <w:rPr>
          <w:b w:val="0"/>
          <w:bCs w:val="0"/>
          <w:color w:val="auto"/>
          <w:highlight w:val="none"/>
        </w:rPr>
        <w:t>使用面积不</w:t>
      </w:r>
      <w:r>
        <w:rPr>
          <w:rFonts w:hint="eastAsia"/>
          <w:b w:val="0"/>
          <w:bCs w:val="0"/>
          <w:color w:val="auto"/>
          <w:highlight w:val="none"/>
          <w:lang w:val="en-US" w:eastAsia="zh-CN"/>
        </w:rPr>
        <w:t>应</w:t>
      </w:r>
      <w:r>
        <w:rPr>
          <w:b w:val="0"/>
          <w:bCs w:val="0"/>
          <w:color w:val="auto"/>
          <w:highlight w:val="none"/>
        </w:rPr>
        <w:t>小于10</w:t>
      </w:r>
      <w:r>
        <w:rPr>
          <w:rFonts w:hint="eastAsia"/>
          <w:b w:val="0"/>
          <w:bCs w:val="0"/>
          <w:color w:val="auto"/>
          <w:highlight w:val="none"/>
          <w:lang w:eastAsia="zh-CN"/>
        </w:rPr>
        <w:t>㎡</w:t>
      </w:r>
      <w:r>
        <w:rPr>
          <w:b w:val="0"/>
          <w:bCs w:val="0"/>
          <w:color w:val="auto"/>
          <w:highlight w:val="none"/>
        </w:rPr>
        <w:t>，双人</w:t>
      </w:r>
      <w:r>
        <w:rPr>
          <w:rFonts w:hint="eastAsia"/>
          <w:b w:val="0"/>
          <w:bCs w:val="0"/>
          <w:color w:val="auto"/>
          <w:highlight w:val="none"/>
          <w:lang w:val="en-US" w:eastAsia="zh-CN"/>
        </w:rPr>
        <w:t>居室</w:t>
      </w:r>
      <w:r>
        <w:rPr>
          <w:b w:val="0"/>
          <w:bCs w:val="0"/>
          <w:color w:val="auto"/>
          <w:highlight w:val="none"/>
        </w:rPr>
        <w:t>使用面积不</w:t>
      </w:r>
      <w:r>
        <w:rPr>
          <w:rFonts w:hint="eastAsia"/>
          <w:b w:val="0"/>
          <w:bCs w:val="0"/>
          <w:color w:val="auto"/>
          <w:highlight w:val="none"/>
          <w:lang w:val="en-US" w:eastAsia="zh-CN"/>
        </w:rPr>
        <w:t>应</w:t>
      </w:r>
      <w:r>
        <w:rPr>
          <w:b w:val="0"/>
          <w:bCs w:val="0"/>
          <w:color w:val="auto"/>
          <w:highlight w:val="none"/>
        </w:rPr>
        <w:t>小于16</w:t>
      </w:r>
      <w:r>
        <w:rPr>
          <w:rFonts w:hint="eastAsia"/>
          <w:b w:val="0"/>
          <w:bCs w:val="0"/>
          <w:color w:val="auto"/>
          <w:highlight w:val="none"/>
          <w:lang w:eastAsia="zh-CN"/>
        </w:rPr>
        <w:t>㎡</w:t>
      </w:r>
      <w:r>
        <w:rPr>
          <w:b w:val="0"/>
          <w:bCs w:val="0"/>
          <w:color w:val="auto"/>
          <w:highlight w:val="none"/>
        </w:rPr>
        <w:t>；</w:t>
      </w:r>
    </w:p>
    <w:p w14:paraId="0F487101">
      <w:pPr>
        <w:numPr>
          <w:ilvl w:val="-1"/>
          <w:numId w:val="0"/>
        </w:numPr>
        <w:tabs>
          <w:tab w:val="left" w:pos="0"/>
        </w:tabs>
        <w:bidi w:val="0"/>
        <w:ind w:left="0" w:leftChars="0" w:firstLine="420" w:firstLineChars="0"/>
        <w:rPr>
          <w:rFonts w:hint="eastAsia"/>
          <w:b w:val="0"/>
          <w:bCs w:val="0"/>
          <w:color w:val="auto"/>
          <w:highlight w:val="none"/>
          <w:lang w:val="en-US" w:eastAsia="zh-CN"/>
        </w:rPr>
      </w:pPr>
      <w:r>
        <w:rPr>
          <w:rFonts w:hint="eastAsia"/>
          <w:b/>
          <w:bCs/>
          <w:color w:val="auto"/>
          <w:highlight w:val="none"/>
          <w:lang w:val="en-US" w:eastAsia="zh-CN"/>
        </w:rPr>
        <w:t>2</w:t>
      </w:r>
      <w:r>
        <w:rPr>
          <w:rFonts w:hint="eastAsia"/>
          <w:b w:val="0"/>
          <w:bCs w:val="0"/>
          <w:color w:val="auto"/>
          <w:highlight w:val="none"/>
          <w:lang w:val="en-US" w:eastAsia="zh-CN"/>
        </w:rPr>
        <w:t xml:space="preserve"> 居室内应设每人独立使用的储藏空间，单独供轮椅使用者使用的储藏柜高度不宜大于 1.60m；</w:t>
      </w:r>
    </w:p>
    <w:p w14:paraId="305B6BDB">
      <w:pPr>
        <w:numPr>
          <w:ilvl w:val="-1"/>
          <w:numId w:val="0"/>
        </w:numPr>
        <w:tabs>
          <w:tab w:val="left" w:pos="0"/>
        </w:tabs>
        <w:bidi w:val="0"/>
        <w:ind w:left="0" w:leftChars="0" w:firstLine="420" w:firstLineChars="0"/>
        <w:rPr>
          <w:rFonts w:hint="eastAsia"/>
          <w:color w:val="auto"/>
          <w:highlight w:val="none"/>
          <w:lang w:val="en-US" w:eastAsia="zh-CN"/>
        </w:rPr>
      </w:pPr>
      <w:r>
        <w:rPr>
          <w:rFonts w:hint="eastAsia"/>
          <w:b/>
          <w:bCs/>
          <w:color w:val="auto"/>
          <w:highlight w:val="none"/>
          <w:lang w:val="en-US" w:eastAsia="zh-CN"/>
        </w:rPr>
        <w:t>3</w:t>
      </w:r>
      <w:r>
        <w:rPr>
          <w:rFonts w:hint="eastAsia"/>
          <w:b w:val="0"/>
          <w:bCs w:val="0"/>
          <w:color w:val="auto"/>
          <w:highlight w:val="none"/>
          <w:lang w:val="en-US" w:eastAsia="zh-CN"/>
        </w:rPr>
        <w:t xml:space="preserve"> 居室的净高不宜低于2.40m；当利用坡屋顶空间作为居室时，最低处距地面净高不应低于2.10 m，且低于2.40m高度部分面积不应大于室内使用面积的1/3；</w:t>
      </w:r>
    </w:p>
    <w:p w14:paraId="43B919D7">
      <w:pPr>
        <w:numPr>
          <w:ilvl w:val="-1"/>
          <w:numId w:val="0"/>
        </w:numPr>
        <w:tabs>
          <w:tab w:val="left" w:pos="0"/>
        </w:tabs>
        <w:bidi w:val="0"/>
        <w:ind w:left="0" w:leftChars="0" w:firstLine="420" w:firstLineChars="0"/>
        <w:rPr>
          <w:b w:val="0"/>
          <w:bCs w:val="0"/>
          <w:color w:val="auto"/>
          <w:highlight w:val="none"/>
        </w:rPr>
      </w:pPr>
      <w:r>
        <w:rPr>
          <w:rFonts w:hint="eastAsia"/>
          <w:b/>
          <w:bCs/>
          <w:color w:val="auto"/>
          <w:highlight w:val="none"/>
          <w:lang w:val="en-US" w:eastAsia="zh-CN"/>
        </w:rPr>
        <w:t>4</w:t>
      </w:r>
      <w:r>
        <w:rPr>
          <w:rFonts w:hint="eastAsia"/>
          <w:b w:val="0"/>
          <w:bCs w:val="0"/>
          <w:color w:val="auto"/>
          <w:highlight w:val="none"/>
          <w:lang w:val="en-US" w:eastAsia="zh-CN"/>
        </w:rPr>
        <w:t xml:space="preserve"> </w:t>
      </w:r>
      <w:r>
        <w:rPr>
          <w:rFonts w:hint="eastAsia"/>
          <w:color w:val="auto"/>
          <w:highlight w:val="none"/>
          <w:lang w:val="en-US" w:eastAsia="zh-CN"/>
        </w:rPr>
        <w:t>居室</w:t>
      </w:r>
      <w:r>
        <w:rPr>
          <w:rFonts w:hint="eastAsia"/>
          <w:b w:val="0"/>
          <w:bCs w:val="0"/>
          <w:color w:val="auto"/>
          <w:highlight w:val="none"/>
          <w:lang w:val="en-US" w:eastAsia="zh-CN"/>
        </w:rPr>
        <w:t>内宜留有轮椅回转空间，主要通道的净宽不应小于1.05m，床位两侧应留有护理、急救操作空间，临墙床的长边距墙面的间距不应小于0.6m，相邻床位的长边间距不应小于0.80m。</w:t>
      </w:r>
    </w:p>
    <w:p w14:paraId="20687C1E">
      <w:pPr>
        <w:numPr>
          <w:ilvl w:val="2"/>
          <w:numId w:val="8"/>
        </w:numPr>
        <w:tabs>
          <w:tab w:val="left" w:pos="0"/>
        </w:tabs>
        <w:bidi w:val="0"/>
        <w:ind w:left="0" w:leftChars="0" w:hanging="9" w:firstLineChars="0"/>
        <w:rPr>
          <w:b w:val="0"/>
          <w:bCs w:val="0"/>
          <w:color w:val="auto"/>
          <w:highlight w:val="none"/>
        </w:rPr>
      </w:pPr>
      <w:r>
        <w:rPr>
          <w:rFonts w:hint="eastAsia"/>
          <w:color w:val="auto"/>
          <w:highlight w:val="none"/>
          <w:lang w:val="en-US" w:eastAsia="zh"/>
        </w:rPr>
        <w:t>老年人照料设施</w:t>
      </w:r>
      <w:r>
        <w:rPr>
          <w:rFonts w:hint="eastAsia"/>
          <w:color w:val="auto"/>
          <w:highlight w:val="none"/>
          <w:lang w:val="en-US" w:eastAsia="zh-CN"/>
        </w:rPr>
        <w:t>中护理型床位的多人间居室，床位数不应大于6床;非护理型床位的多人间居室，床位数不应大于4床；且在</w:t>
      </w:r>
      <w:r>
        <w:rPr>
          <w:rFonts w:hint="eastAsia"/>
          <w:color w:val="auto"/>
          <w:highlight w:val="none"/>
        </w:rPr>
        <w:t>双人间和多人间中</w:t>
      </w:r>
      <w:r>
        <w:rPr>
          <w:rFonts w:hint="eastAsia"/>
          <w:color w:val="auto"/>
          <w:highlight w:val="none"/>
          <w:lang w:eastAsia="zh-CN"/>
        </w:rPr>
        <w:t>，</w:t>
      </w:r>
      <w:r>
        <w:rPr>
          <w:rFonts w:hint="default"/>
          <w:color w:val="auto"/>
          <w:highlight w:val="none"/>
          <w:lang w:val="en-US" w:eastAsia="zh-CN"/>
        </w:rPr>
        <w:t>为保护</w:t>
      </w:r>
      <w:r>
        <w:rPr>
          <w:rFonts w:hint="eastAsia"/>
          <w:color w:val="auto"/>
          <w:highlight w:val="none"/>
          <w:lang w:val="en-US" w:eastAsia="zh-CN"/>
        </w:rPr>
        <w:t>老年人</w:t>
      </w:r>
      <w:r>
        <w:rPr>
          <w:rFonts w:hint="default"/>
          <w:color w:val="auto"/>
          <w:highlight w:val="none"/>
          <w:lang w:val="en-US" w:eastAsia="zh-CN"/>
        </w:rPr>
        <w:t>个人隐私</w:t>
      </w:r>
      <w:r>
        <w:rPr>
          <w:rFonts w:hint="eastAsia"/>
          <w:color w:val="auto"/>
          <w:highlight w:val="none"/>
          <w:lang w:val="en-US" w:eastAsia="zh-CN"/>
        </w:rPr>
        <w:t>，</w:t>
      </w:r>
      <w:r>
        <w:rPr>
          <w:rFonts w:hint="eastAsia"/>
          <w:color w:val="auto"/>
          <w:highlight w:val="none"/>
        </w:rPr>
        <w:t>每张床位</w:t>
      </w:r>
      <w:r>
        <w:rPr>
          <w:rFonts w:hint="eastAsia"/>
          <w:color w:val="auto"/>
          <w:highlight w:val="none"/>
          <w:lang w:val="en-US" w:eastAsia="zh-CN"/>
        </w:rPr>
        <w:t>之间设置</w:t>
      </w:r>
      <w:r>
        <w:rPr>
          <w:rFonts w:hint="default"/>
          <w:color w:val="auto"/>
          <w:highlight w:val="none"/>
          <w:lang w:val="en-US" w:eastAsia="zh-CN"/>
        </w:rPr>
        <w:t>空间分隔的措施</w:t>
      </w:r>
      <w:r>
        <w:rPr>
          <w:rFonts w:hint="eastAsia"/>
          <w:color w:val="auto"/>
          <w:highlight w:val="none"/>
        </w:rPr>
        <w:t>，以起到床与床之间的视线分隔作用</w:t>
      </w:r>
      <w:r>
        <w:rPr>
          <w:rFonts w:hint="eastAsia"/>
          <w:color w:val="auto"/>
          <w:highlight w:val="none"/>
          <w:lang w:eastAsia="zh-CN"/>
        </w:rPr>
        <w:t>。</w:t>
      </w:r>
      <w:r>
        <w:rPr>
          <w:rFonts w:hint="eastAsia"/>
          <w:b w:val="0"/>
          <w:bCs w:val="0"/>
          <w:color w:val="auto"/>
          <w:highlight w:val="none"/>
          <w:lang w:val="en-US" w:eastAsia="zh-CN"/>
        </w:rPr>
        <w:t xml:space="preserve"> </w:t>
      </w:r>
    </w:p>
    <w:p w14:paraId="0D0FD60C">
      <w:pPr>
        <w:numPr>
          <w:ilvl w:val="2"/>
          <w:numId w:val="8"/>
        </w:numPr>
        <w:tabs>
          <w:tab w:val="left" w:pos="0"/>
        </w:tabs>
        <w:bidi w:val="0"/>
        <w:ind w:left="0" w:leftChars="0" w:hanging="9" w:firstLineChars="0"/>
        <w:rPr>
          <w:color w:val="auto"/>
          <w:highlight w:val="none"/>
        </w:rPr>
      </w:pPr>
      <w:r>
        <w:rPr>
          <w:rFonts w:hint="eastAsia"/>
          <w:b w:val="0"/>
          <w:bCs w:val="0"/>
          <w:color w:val="auto"/>
          <w:highlight w:val="none"/>
          <w:lang w:val="en-US" w:eastAsia="zh-CN"/>
        </w:rPr>
        <w:t xml:space="preserve">失智老年人用房的外窗应设置窗户限位器，开启宽度不宜大于0.11m，可开启范围内应采取防护措施，且不影响消防救援；房间门应采用明显颜色或图案进行标识。 </w:t>
      </w:r>
    </w:p>
    <w:p w14:paraId="3B3F4E81">
      <w:pPr>
        <w:numPr>
          <w:ilvl w:val="2"/>
          <w:numId w:val="8"/>
        </w:numPr>
        <w:tabs>
          <w:tab w:val="left" w:pos="0"/>
        </w:tabs>
        <w:bidi w:val="0"/>
        <w:ind w:left="0" w:leftChars="0" w:hanging="9" w:firstLineChars="0"/>
        <w:rPr>
          <w:b w:val="0"/>
          <w:bCs w:val="0"/>
          <w:color w:val="auto"/>
          <w:highlight w:val="none"/>
        </w:rPr>
      </w:pPr>
      <w:r>
        <w:rPr>
          <w:rFonts w:hint="eastAsia"/>
          <w:b w:val="0"/>
          <w:bCs w:val="0"/>
          <w:color w:val="auto"/>
          <w:highlight w:val="none"/>
          <w:lang w:val="en-US" w:eastAsia="zh"/>
        </w:rPr>
        <w:t>老年人照料设施</w:t>
      </w:r>
      <w:r>
        <w:rPr>
          <w:b w:val="0"/>
          <w:bCs w:val="0"/>
          <w:color w:val="auto"/>
          <w:highlight w:val="none"/>
        </w:rPr>
        <w:t>的老年人</w:t>
      </w:r>
      <w:r>
        <w:rPr>
          <w:rFonts w:hint="eastAsia"/>
          <w:b w:val="0"/>
          <w:bCs w:val="0"/>
          <w:color w:val="auto"/>
          <w:highlight w:val="none"/>
          <w:lang w:val="en-US" w:eastAsia="zh-CN"/>
        </w:rPr>
        <w:t>居室</w:t>
      </w:r>
      <w:r>
        <w:rPr>
          <w:b w:val="0"/>
          <w:bCs w:val="0"/>
          <w:color w:val="auto"/>
          <w:highlight w:val="none"/>
        </w:rPr>
        <w:t>宜设置阳台，并应符合下列规定：</w:t>
      </w:r>
    </w:p>
    <w:p w14:paraId="0864275F">
      <w:pPr>
        <w:numPr>
          <w:ilvl w:val="0"/>
          <w:numId w:val="0"/>
        </w:numPr>
        <w:ind w:left="0" w:leftChars="0" w:firstLine="420" w:firstLineChars="0"/>
        <w:rPr>
          <w:rFonts w:hint="default"/>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 xml:space="preserve"> </w:t>
      </w:r>
      <w:r>
        <w:rPr>
          <w:rFonts w:hint="default"/>
          <w:color w:val="auto"/>
          <w:highlight w:val="none"/>
          <w:lang w:val="en-US" w:eastAsia="zh-CN"/>
        </w:rPr>
        <w:t>开敞式阳台栏杆高度不低于1.10 m，且距地面0.3</w:t>
      </w:r>
      <w:r>
        <w:rPr>
          <w:rFonts w:hint="eastAsia"/>
          <w:color w:val="auto"/>
          <w:highlight w:val="none"/>
          <w:lang w:val="en-US" w:eastAsia="zh"/>
          <w:woUserID w:val="1"/>
        </w:rPr>
        <w:t>5</w:t>
      </w:r>
      <w:r>
        <w:rPr>
          <w:rFonts w:hint="default"/>
          <w:color w:val="auto"/>
          <w:highlight w:val="none"/>
          <w:lang w:val="en-US" w:eastAsia="zh-CN"/>
        </w:rPr>
        <w:t>m高度范围内不宜留空；</w:t>
      </w:r>
    </w:p>
    <w:p w14:paraId="3E8ECB63">
      <w:pPr>
        <w:numPr>
          <w:ilvl w:val="0"/>
          <w:numId w:val="0"/>
        </w:numPr>
        <w:ind w:left="0" w:leftChars="0" w:firstLine="420" w:firstLineChars="0"/>
        <w:outlineLvl w:val="0"/>
        <w:rPr>
          <w:rFonts w:hint="default"/>
          <w:color w:val="auto"/>
          <w:highlight w:val="none"/>
          <w:lang w:val="en-US" w:eastAsia="zh-CN"/>
        </w:rPr>
      </w:pPr>
      <w:bookmarkStart w:id="48" w:name="_Toc15931"/>
      <w:bookmarkStart w:id="49" w:name="_Toc19303"/>
      <w:bookmarkStart w:id="50" w:name="_Toc16713"/>
      <w:r>
        <w:rPr>
          <w:rFonts w:hint="eastAsia"/>
          <w:b/>
          <w:bCs/>
          <w:color w:val="auto"/>
          <w:highlight w:val="none"/>
          <w:lang w:val="en-US" w:eastAsia="zh-CN"/>
        </w:rPr>
        <w:t>2</w:t>
      </w:r>
      <w:r>
        <w:rPr>
          <w:rFonts w:hint="eastAsia"/>
          <w:color w:val="auto"/>
          <w:highlight w:val="none"/>
          <w:lang w:val="en-US" w:eastAsia="zh-CN"/>
        </w:rPr>
        <w:t xml:space="preserve"> </w:t>
      </w:r>
      <w:r>
        <w:rPr>
          <w:rFonts w:hint="default"/>
          <w:color w:val="auto"/>
          <w:highlight w:val="none"/>
          <w:lang w:val="en-US" w:eastAsia="zh-CN"/>
        </w:rPr>
        <w:t>阳台应设衣物晾晒装置；</w:t>
      </w:r>
      <w:bookmarkEnd w:id="48"/>
      <w:bookmarkEnd w:id="49"/>
      <w:bookmarkEnd w:id="50"/>
    </w:p>
    <w:p w14:paraId="1CCB246B">
      <w:pPr>
        <w:numPr>
          <w:ilvl w:val="0"/>
          <w:numId w:val="0"/>
        </w:numPr>
        <w:ind w:left="0" w:leftChars="0" w:firstLine="420" w:firstLineChars="0"/>
        <w:rPr>
          <w:rFonts w:hint="default"/>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w:t>
      </w:r>
      <w:r>
        <w:rPr>
          <w:rFonts w:hint="default"/>
          <w:color w:val="auto"/>
          <w:highlight w:val="none"/>
          <w:lang w:val="en-US" w:eastAsia="zh-CN"/>
        </w:rPr>
        <w:t>开敞式阳台应做好雨水遮挡及排水措施，严寒、寒冷地区宜设封闭阳台；</w:t>
      </w:r>
    </w:p>
    <w:p w14:paraId="6F622EB6">
      <w:pPr>
        <w:numPr>
          <w:ilvl w:val="0"/>
          <w:numId w:val="0"/>
        </w:numPr>
        <w:ind w:left="0" w:leftChars="0" w:firstLine="420" w:firstLineChars="0"/>
        <w:outlineLvl w:val="0"/>
        <w:rPr>
          <w:rFonts w:hint="default"/>
          <w:color w:val="auto"/>
          <w:highlight w:val="none"/>
          <w:lang w:val="en-US" w:eastAsia="zh-CN"/>
        </w:rPr>
      </w:pPr>
      <w:bookmarkStart w:id="51" w:name="_Toc18155"/>
      <w:bookmarkStart w:id="52" w:name="_Toc31616"/>
      <w:bookmarkStart w:id="53" w:name="_Toc32519"/>
      <w:r>
        <w:rPr>
          <w:rFonts w:hint="eastAsia"/>
          <w:b/>
          <w:bCs/>
          <w:color w:val="auto"/>
          <w:highlight w:val="none"/>
          <w:lang w:val="en-US" w:eastAsia="zh-CN"/>
        </w:rPr>
        <w:t>4</w:t>
      </w:r>
      <w:r>
        <w:rPr>
          <w:rFonts w:hint="eastAsia"/>
          <w:color w:val="auto"/>
          <w:highlight w:val="none"/>
          <w:lang w:val="en-US" w:eastAsia="zh-CN"/>
        </w:rPr>
        <w:t xml:space="preserve"> </w:t>
      </w:r>
      <w:r>
        <w:rPr>
          <w:rFonts w:hint="default"/>
          <w:color w:val="auto"/>
          <w:highlight w:val="none"/>
          <w:lang w:val="en-US" w:eastAsia="zh-CN"/>
        </w:rPr>
        <w:t>介护</w:t>
      </w:r>
      <w:r>
        <w:rPr>
          <w:rFonts w:hint="eastAsia"/>
          <w:color w:val="auto"/>
          <w:highlight w:val="none"/>
          <w:lang w:val="en-US" w:eastAsia="zh-CN"/>
        </w:rPr>
        <w:t>老年人</w:t>
      </w:r>
      <w:r>
        <w:rPr>
          <w:rFonts w:hint="default"/>
          <w:color w:val="auto"/>
          <w:highlight w:val="none"/>
          <w:lang w:val="en-US" w:eastAsia="zh-CN"/>
        </w:rPr>
        <w:t>中失智老年人</w:t>
      </w:r>
      <w:r>
        <w:rPr>
          <w:rFonts w:hint="eastAsia"/>
          <w:color w:val="auto"/>
          <w:highlight w:val="none"/>
          <w:lang w:val="en-US" w:eastAsia="zh-CN"/>
        </w:rPr>
        <w:t>居室</w:t>
      </w:r>
      <w:r>
        <w:rPr>
          <w:rFonts w:hint="default"/>
          <w:color w:val="auto"/>
          <w:highlight w:val="none"/>
          <w:lang w:val="en-US" w:eastAsia="zh-CN"/>
        </w:rPr>
        <w:t>宜采用封闭阳台。</w:t>
      </w:r>
      <w:bookmarkEnd w:id="51"/>
      <w:bookmarkEnd w:id="52"/>
      <w:bookmarkEnd w:id="53"/>
    </w:p>
    <w:p w14:paraId="4D1A919A">
      <w:pPr>
        <w:numPr>
          <w:ilvl w:val="2"/>
          <w:numId w:val="8"/>
        </w:numPr>
        <w:bidi w:val="0"/>
        <w:ind w:left="0" w:leftChars="0" w:hanging="9" w:firstLineChars="0"/>
        <w:rPr>
          <w:color w:val="auto"/>
          <w:highlight w:val="none"/>
        </w:rPr>
      </w:pPr>
      <w:r>
        <w:rPr>
          <w:color w:val="auto"/>
          <w:highlight w:val="none"/>
        </w:rPr>
        <w:t>老年人自用卫生间的设置应与</w:t>
      </w:r>
      <w:r>
        <w:rPr>
          <w:rFonts w:hint="eastAsia"/>
          <w:color w:val="auto"/>
          <w:highlight w:val="none"/>
          <w:lang w:val="en-US" w:eastAsia="zh-CN"/>
        </w:rPr>
        <w:t>居室</w:t>
      </w:r>
      <w:r>
        <w:rPr>
          <w:color w:val="auto"/>
          <w:highlight w:val="none"/>
        </w:rPr>
        <w:t>相邻</w:t>
      </w:r>
      <w:r>
        <w:rPr>
          <w:rFonts w:hint="eastAsia"/>
          <w:color w:val="auto"/>
          <w:highlight w:val="none"/>
          <w:lang w:eastAsia="zh-CN"/>
        </w:rPr>
        <w:t>，</w:t>
      </w:r>
      <w:r>
        <w:rPr>
          <w:color w:val="auto"/>
          <w:highlight w:val="none"/>
        </w:rPr>
        <w:t>并应符合下列规定：</w:t>
      </w:r>
    </w:p>
    <w:p w14:paraId="74D77F5D">
      <w:pPr>
        <w:numPr>
          <w:ilvl w:val="-1"/>
          <w:numId w:val="0"/>
        </w:numPr>
        <w:bidi w:val="0"/>
        <w:ind w:left="0" w:leftChars="0" w:firstLine="420" w:firstLineChars="0"/>
        <w:rPr>
          <w:b w:val="0"/>
          <w:bCs w:val="0"/>
          <w:color w:val="auto"/>
          <w:highlight w:val="none"/>
        </w:rPr>
      </w:pPr>
      <w:r>
        <w:rPr>
          <w:rFonts w:hint="eastAsia"/>
          <w:b/>
          <w:bCs/>
          <w:color w:val="auto"/>
          <w:highlight w:val="none"/>
          <w:lang w:val="en-US" w:eastAsia="zh-CN"/>
        </w:rPr>
        <w:t>1</w:t>
      </w:r>
      <w:r>
        <w:rPr>
          <w:rFonts w:hint="eastAsia"/>
          <w:b w:val="0"/>
          <w:bCs w:val="0"/>
          <w:color w:val="auto"/>
          <w:highlight w:val="none"/>
          <w:lang w:val="en-US" w:eastAsia="zh-CN"/>
        </w:rPr>
        <w:t xml:space="preserve"> </w:t>
      </w:r>
      <w:r>
        <w:rPr>
          <w:rFonts w:hint="eastAsia"/>
          <w:b w:val="0"/>
          <w:bCs w:val="0"/>
          <w:color w:val="auto"/>
          <w:highlight w:val="none"/>
          <w:lang w:val="en-US" w:eastAsia="zh"/>
        </w:rPr>
        <w:t>老年人照料设施</w:t>
      </w:r>
      <w:r>
        <w:rPr>
          <w:b w:val="0"/>
          <w:bCs w:val="0"/>
          <w:color w:val="auto"/>
          <w:highlight w:val="none"/>
        </w:rPr>
        <w:t>的老年人自用卫生间应满足老年人盥洗、便溺、洗浴的需要，面积不小于4</w:t>
      </w:r>
      <w:r>
        <w:rPr>
          <w:rFonts w:hint="eastAsia"/>
          <w:b w:val="0"/>
          <w:bCs w:val="0"/>
          <w:color w:val="auto"/>
          <w:highlight w:val="none"/>
          <w:lang w:val="en-US" w:eastAsia="zh-CN"/>
        </w:rPr>
        <w:t>㎡</w:t>
      </w:r>
      <w:r>
        <w:rPr>
          <w:b w:val="0"/>
          <w:bCs w:val="0"/>
          <w:color w:val="auto"/>
          <w:highlight w:val="none"/>
        </w:rPr>
        <w:t>；卫生洁具宜采用浅色；</w:t>
      </w:r>
    </w:p>
    <w:p w14:paraId="6CC4C23E">
      <w:pPr>
        <w:numPr>
          <w:ilvl w:val="-1"/>
          <w:numId w:val="0"/>
        </w:numPr>
        <w:bidi w:val="0"/>
        <w:ind w:left="0" w:leftChars="0" w:firstLine="420" w:firstLineChars="0"/>
        <w:rPr>
          <w:b w:val="0"/>
          <w:bCs w:val="0"/>
          <w:color w:val="auto"/>
          <w:highlight w:val="none"/>
        </w:rPr>
      </w:pPr>
      <w:r>
        <w:rPr>
          <w:rFonts w:hint="eastAsia"/>
          <w:b/>
          <w:bCs/>
          <w:color w:val="auto"/>
          <w:highlight w:val="none"/>
          <w:lang w:val="en-US" w:eastAsia="zh-CN"/>
        </w:rPr>
        <w:t>2</w:t>
      </w:r>
      <w:r>
        <w:rPr>
          <w:rFonts w:hint="eastAsia"/>
          <w:b w:val="0"/>
          <w:bCs w:val="0"/>
          <w:color w:val="auto"/>
          <w:highlight w:val="none"/>
          <w:lang w:val="en-US" w:eastAsia="zh-CN"/>
        </w:rPr>
        <w:t xml:space="preserve"> </w:t>
      </w:r>
      <w:r>
        <w:rPr>
          <w:b w:val="0"/>
          <w:bCs w:val="0"/>
          <w:color w:val="auto"/>
          <w:highlight w:val="none"/>
        </w:rPr>
        <w:t>自用卫生间的平面布置应留有助厕、助浴等操作空间；</w:t>
      </w:r>
    </w:p>
    <w:p w14:paraId="54BF8874">
      <w:pPr>
        <w:numPr>
          <w:ilvl w:val="-1"/>
          <w:numId w:val="0"/>
        </w:numPr>
        <w:bidi w:val="0"/>
        <w:ind w:left="0" w:leftChars="0" w:firstLine="420" w:firstLineChars="0"/>
        <w:rPr>
          <w:b w:val="0"/>
          <w:bCs w:val="0"/>
          <w:color w:val="auto"/>
          <w:highlight w:val="none"/>
        </w:rPr>
      </w:pPr>
      <w:r>
        <w:rPr>
          <w:rFonts w:hint="eastAsia"/>
          <w:b/>
          <w:bCs/>
          <w:color w:val="auto"/>
          <w:highlight w:val="none"/>
          <w:lang w:val="en-US" w:eastAsia="zh-CN"/>
        </w:rPr>
        <w:t>3</w:t>
      </w:r>
      <w:r>
        <w:rPr>
          <w:rFonts w:hint="eastAsia"/>
          <w:b w:val="0"/>
          <w:bCs w:val="0"/>
          <w:color w:val="auto"/>
          <w:highlight w:val="none"/>
          <w:lang w:val="en-US" w:eastAsia="zh-CN"/>
        </w:rPr>
        <w:t xml:space="preserve"> </w:t>
      </w:r>
      <w:r>
        <w:rPr>
          <w:b w:val="0"/>
          <w:bCs w:val="0"/>
          <w:color w:val="auto"/>
          <w:highlight w:val="none"/>
        </w:rPr>
        <w:t>自用卫生间宜有良好的通风换气措施；</w:t>
      </w:r>
    </w:p>
    <w:p w14:paraId="790748DC">
      <w:pPr>
        <w:numPr>
          <w:ilvl w:val="-1"/>
          <w:numId w:val="0"/>
        </w:numPr>
        <w:bidi w:val="0"/>
        <w:ind w:left="0" w:leftChars="0" w:firstLine="420" w:firstLineChars="0"/>
        <w:rPr>
          <w:b w:val="0"/>
          <w:bCs w:val="0"/>
          <w:color w:val="auto"/>
          <w:highlight w:val="none"/>
        </w:rPr>
      </w:pPr>
      <w:r>
        <w:rPr>
          <w:rFonts w:hint="eastAsia"/>
          <w:b/>
          <w:bCs/>
          <w:color w:val="auto"/>
          <w:highlight w:val="none"/>
          <w:lang w:val="en-US" w:eastAsia="zh-CN"/>
        </w:rPr>
        <w:t>4</w:t>
      </w:r>
      <w:r>
        <w:rPr>
          <w:rFonts w:hint="eastAsia"/>
          <w:b w:val="0"/>
          <w:bCs w:val="0"/>
          <w:color w:val="auto"/>
          <w:highlight w:val="none"/>
          <w:lang w:val="en-US" w:eastAsia="zh-CN"/>
        </w:rPr>
        <w:t xml:space="preserve"> </w:t>
      </w:r>
      <w:r>
        <w:rPr>
          <w:b w:val="0"/>
          <w:bCs w:val="0"/>
          <w:color w:val="auto"/>
          <w:highlight w:val="none"/>
        </w:rPr>
        <w:t>自用卫生间与相邻房间室内地坪不</w:t>
      </w:r>
      <w:r>
        <w:rPr>
          <w:rFonts w:hint="eastAsia"/>
          <w:b w:val="0"/>
          <w:bCs w:val="0"/>
          <w:color w:val="auto"/>
          <w:highlight w:val="none"/>
          <w:lang w:val="en-US" w:eastAsia="zh-CN"/>
        </w:rPr>
        <w:t>宜</w:t>
      </w:r>
      <w:r>
        <w:rPr>
          <w:b w:val="0"/>
          <w:bCs w:val="0"/>
          <w:color w:val="auto"/>
          <w:highlight w:val="none"/>
        </w:rPr>
        <w:t>有高差</w:t>
      </w:r>
      <w:r>
        <w:rPr>
          <w:rFonts w:hint="eastAsia"/>
          <w:b w:val="0"/>
          <w:bCs w:val="0"/>
          <w:color w:val="auto"/>
          <w:highlight w:val="none"/>
          <w:lang w:eastAsia="zh-CN"/>
        </w:rPr>
        <w:t>，</w:t>
      </w:r>
      <w:r>
        <w:rPr>
          <w:rFonts w:hint="eastAsia" w:asciiTheme="minorHAnsi" w:hAnsiTheme="minorHAnsi" w:eastAsiaTheme="minorEastAsia" w:cstheme="minorBidi"/>
          <w:b w:val="0"/>
          <w:bCs w:val="0"/>
          <w:color w:val="auto"/>
          <w:kern w:val="2"/>
          <w:sz w:val="21"/>
          <w:szCs w:val="24"/>
          <w:highlight w:val="none"/>
          <w:lang w:val="en-US" w:eastAsia="zh-CN" w:bidi="ar-SA"/>
        </w:rPr>
        <w:t>当有不可避免的高差时，不</w:t>
      </w:r>
      <w:r>
        <w:rPr>
          <w:rFonts w:hint="eastAsia" w:cstheme="minorBidi"/>
          <w:b w:val="0"/>
          <w:bCs w:val="0"/>
          <w:color w:val="auto"/>
          <w:kern w:val="2"/>
          <w:sz w:val="21"/>
          <w:szCs w:val="24"/>
          <w:highlight w:val="none"/>
          <w:lang w:val="en-US" w:eastAsia="zh-CN" w:bidi="ar-SA"/>
        </w:rPr>
        <w:t>宜</w:t>
      </w:r>
      <w:r>
        <w:rPr>
          <w:rFonts w:hint="eastAsia" w:asciiTheme="minorHAnsi" w:hAnsiTheme="minorHAnsi" w:eastAsiaTheme="minorEastAsia" w:cstheme="minorBidi"/>
          <w:b w:val="0"/>
          <w:bCs w:val="0"/>
          <w:color w:val="auto"/>
          <w:kern w:val="2"/>
          <w:sz w:val="21"/>
          <w:szCs w:val="24"/>
          <w:highlight w:val="none"/>
          <w:lang w:val="en-US" w:eastAsia="zh-CN" w:bidi="ar-SA"/>
        </w:rPr>
        <w:t>大于</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15mm，且应以斜坡过渡</w:t>
      </w:r>
      <w:r>
        <w:rPr>
          <w:rFonts w:hint="eastAsia" w:cstheme="minorBidi"/>
          <w:b w:val="0"/>
          <w:bCs w:val="0"/>
          <w:color w:val="auto"/>
          <w:kern w:val="2"/>
          <w:sz w:val="21"/>
          <w:szCs w:val="24"/>
          <w:highlight w:val="none"/>
          <w:lang w:val="en-US" w:eastAsia="zh-CN" w:bidi="ar-SA"/>
        </w:rPr>
        <w:t>，</w:t>
      </w:r>
      <w:r>
        <w:rPr>
          <w:b w:val="0"/>
          <w:bCs w:val="0"/>
          <w:color w:val="auto"/>
          <w:highlight w:val="none"/>
        </w:rPr>
        <w:t>并组织好排水；地面应选用防滑耐磨材料；</w:t>
      </w:r>
    </w:p>
    <w:p w14:paraId="0B6C776D">
      <w:pPr>
        <w:bidi w:val="0"/>
        <w:ind w:left="0" w:leftChars="0" w:firstLine="420" w:firstLineChars="0"/>
        <w:outlineLvl w:val="0"/>
        <w:rPr>
          <w:color w:val="auto"/>
          <w:highlight w:val="none"/>
        </w:rPr>
      </w:pPr>
      <w:bookmarkStart w:id="54" w:name="_Toc20132"/>
      <w:bookmarkStart w:id="55" w:name="_Toc28272"/>
      <w:bookmarkStart w:id="56" w:name="_Toc14021"/>
      <w:r>
        <w:rPr>
          <w:rFonts w:hint="eastAsia"/>
          <w:b/>
          <w:bCs/>
          <w:color w:val="auto"/>
          <w:highlight w:val="none"/>
          <w:lang w:val="en-US" w:eastAsia="zh-CN"/>
        </w:rPr>
        <w:t>5</w:t>
      </w:r>
      <w:r>
        <w:rPr>
          <w:rFonts w:hint="eastAsia"/>
          <w:b w:val="0"/>
          <w:bCs w:val="0"/>
          <w:color w:val="auto"/>
          <w:highlight w:val="none"/>
          <w:lang w:val="en-US" w:eastAsia="zh-CN"/>
        </w:rPr>
        <w:t xml:space="preserve"> </w:t>
      </w:r>
      <w:r>
        <w:rPr>
          <w:b w:val="0"/>
          <w:bCs w:val="0"/>
          <w:color w:val="auto"/>
          <w:highlight w:val="none"/>
        </w:rPr>
        <w:t>卫生间墙面应设安全扶手</w:t>
      </w:r>
      <w:r>
        <w:rPr>
          <w:rFonts w:hint="eastAsia"/>
          <w:b w:val="0"/>
          <w:bCs w:val="0"/>
          <w:strike w:val="0"/>
          <w:dstrike w:val="0"/>
          <w:color w:val="auto"/>
          <w:highlight w:val="none"/>
          <w:lang w:eastAsia="zh-CN"/>
        </w:rPr>
        <w:t>，</w:t>
      </w:r>
      <w:r>
        <w:rPr>
          <w:b w:val="0"/>
          <w:bCs w:val="0"/>
          <w:color w:val="auto"/>
          <w:highlight w:val="none"/>
        </w:rPr>
        <w:t>浴盆底应有防滑措施。</w:t>
      </w:r>
      <w:bookmarkEnd w:id="54"/>
      <w:bookmarkEnd w:id="55"/>
      <w:bookmarkEnd w:id="56"/>
    </w:p>
    <w:p w14:paraId="1777CDB4">
      <w:pPr>
        <w:numPr>
          <w:ilvl w:val="2"/>
          <w:numId w:val="8"/>
        </w:numPr>
        <w:bidi w:val="0"/>
        <w:ind w:left="0" w:leftChars="0" w:hanging="9" w:firstLineChars="0"/>
        <w:outlineLvl w:val="1"/>
        <w:rPr>
          <w:color w:val="auto"/>
          <w:highlight w:val="none"/>
        </w:rPr>
      </w:pPr>
      <w:bookmarkStart w:id="57" w:name="_Toc3708"/>
      <w:bookmarkStart w:id="58" w:name="_Toc32504"/>
      <w:r>
        <w:rPr>
          <w:color w:val="auto"/>
          <w:highlight w:val="none"/>
        </w:rPr>
        <w:t>老年人公共餐厅应符合下列规定：</w:t>
      </w:r>
      <w:bookmarkEnd w:id="57"/>
      <w:bookmarkEnd w:id="58"/>
    </w:p>
    <w:p w14:paraId="7FE45727">
      <w:pPr>
        <w:numPr>
          <w:ilvl w:val="-1"/>
          <w:numId w:val="0"/>
        </w:numPr>
        <w:bidi w:val="0"/>
        <w:ind w:left="0" w:leftChars="0" w:firstLine="420" w:firstLineChars="0"/>
        <w:rPr>
          <w:rFonts w:hint="eastAsia" w:ascii="宋体" w:hAnsi="宋体" w:eastAsia="宋体" w:cs="宋体"/>
          <w:b w:val="0"/>
          <w:bCs w:val="0"/>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公共餐厅总座位数宜按</w:t>
      </w:r>
      <w:r>
        <w:rPr>
          <w:rFonts w:hint="eastAsia" w:ascii="宋体" w:hAnsi="宋体" w:eastAsia="宋体" w:cs="宋体"/>
          <w:b w:val="0"/>
          <w:bCs w:val="0"/>
          <w:color w:val="auto"/>
          <w:highlight w:val="none"/>
          <w:lang w:val="en-US" w:eastAsia="zh-CN"/>
        </w:rPr>
        <w:t>非护理型</w:t>
      </w:r>
      <w:r>
        <w:rPr>
          <w:rFonts w:hint="eastAsia" w:ascii="宋体" w:hAnsi="宋体" w:eastAsia="宋体" w:cs="宋体"/>
          <w:b w:val="0"/>
          <w:bCs w:val="0"/>
          <w:color w:val="auto"/>
          <w:highlight w:val="none"/>
        </w:rPr>
        <w:t xml:space="preserve">总床位数的70%计算，其使用面积应不小于 </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
          <w:woUserID w:val="1"/>
        </w:rPr>
        <w:t>5</w:t>
      </w:r>
      <w:r>
        <w:rPr>
          <w:rFonts w:hint="eastAsia" w:ascii="宋体" w:hAnsi="宋体" w:eastAsia="宋体" w:cs="宋体"/>
          <w:b w:val="0"/>
          <w:bCs w:val="0"/>
          <w:color w:val="auto"/>
          <w:highlight w:val="none"/>
        </w:rPr>
        <w:t xml:space="preserve"> </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/座；</w:t>
      </w:r>
      <w:r>
        <w:rPr>
          <w:rFonts w:hint="eastAsia" w:ascii="宋体" w:hAnsi="宋体" w:eastAsia="宋体" w:cs="宋体"/>
          <w:b w:val="0"/>
          <w:bCs w:val="0"/>
          <w:color w:val="auto"/>
          <w:highlight w:val="none"/>
          <w:lang w:val="en-US" w:eastAsia="zh-CN"/>
        </w:rPr>
        <w:t>护理型床位应按总床位数的40%，面积应不小于4.0</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/座</w:t>
      </w:r>
      <w:r>
        <w:rPr>
          <w:rFonts w:hint="eastAsia" w:ascii="宋体" w:hAnsi="宋体" w:eastAsia="宋体" w:cs="宋体"/>
          <w:b w:val="0"/>
          <w:bCs w:val="0"/>
          <w:color w:val="auto"/>
          <w:highlight w:val="none"/>
          <w:lang w:val="en-US" w:eastAsia="zh-CN"/>
        </w:rPr>
        <w:t>。</w:t>
      </w:r>
    </w:p>
    <w:p w14:paraId="0A6B86E6">
      <w:pPr>
        <w:numPr>
          <w:ilvl w:val="-1"/>
          <w:numId w:val="0"/>
        </w:numPr>
        <w:bidi w:val="0"/>
        <w:ind w:left="0" w:leftChars="0" w:firstLine="420" w:firstLineChars="0"/>
        <w:rPr>
          <w:rFonts w:hint="eastAsia" w:ascii="宋体" w:hAnsi="宋体" w:eastAsia="宋体" w:cs="宋体"/>
          <w:b w:val="0"/>
          <w:bCs w:val="0"/>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lang w:val="en-US" w:eastAsia="zh"/>
        </w:rPr>
        <w:t>老年人照料设施</w:t>
      </w:r>
      <w:r>
        <w:rPr>
          <w:rFonts w:hint="eastAsia" w:ascii="宋体" w:hAnsi="宋体" w:eastAsia="宋体" w:cs="宋体"/>
          <w:b w:val="0"/>
          <w:bCs w:val="0"/>
          <w:color w:val="auto"/>
          <w:highlight w:val="none"/>
        </w:rPr>
        <w:t>的公共餐厅宜结合</w:t>
      </w:r>
      <w:r>
        <w:rPr>
          <w:rFonts w:hint="eastAsia" w:ascii="宋体" w:hAnsi="宋体" w:eastAsia="宋体" w:cs="宋体"/>
          <w:b w:val="0"/>
          <w:bCs w:val="0"/>
          <w:color w:val="auto"/>
          <w:highlight w:val="none"/>
          <w:lang w:val="en-US" w:eastAsia="zh-CN"/>
        </w:rPr>
        <w:t>照料单元</w:t>
      </w:r>
      <w:r>
        <w:rPr>
          <w:rFonts w:hint="eastAsia" w:ascii="宋体" w:hAnsi="宋体" w:eastAsia="宋体" w:cs="宋体"/>
          <w:b w:val="0"/>
          <w:bCs w:val="0"/>
          <w:color w:val="auto"/>
          <w:highlight w:val="none"/>
        </w:rPr>
        <w:t>设置；</w:t>
      </w:r>
    </w:p>
    <w:p w14:paraId="3B947F04">
      <w:pPr>
        <w:numPr>
          <w:ilvl w:val="-1"/>
          <w:numId w:val="0"/>
        </w:numPr>
        <w:bidi w:val="0"/>
        <w:ind w:left="0" w:leftChars="0" w:firstLine="420" w:firstLineChars="0"/>
        <w:rPr>
          <w:rFonts w:hint="eastAsia" w:ascii="宋体" w:hAnsi="宋体" w:eastAsia="宋体" w:cs="宋体"/>
          <w:b w:val="0"/>
          <w:bCs w:val="0"/>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公共餐厅应采用牢固的单人座椅</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并设扶手靠背</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可移动；</w:t>
      </w:r>
    </w:p>
    <w:p w14:paraId="6D3C9720">
      <w:pPr>
        <w:numPr>
          <w:ilvl w:val="-1"/>
          <w:numId w:val="0"/>
        </w:numPr>
        <w:bidi w:val="0"/>
        <w:ind w:left="0" w:leftChars="0" w:firstLine="420" w:firstLineChars="0"/>
        <w:rPr>
          <w:rFonts w:hint="eastAsia" w:ascii="宋体" w:hAnsi="宋体" w:eastAsia="宋体" w:cs="宋体"/>
          <w:b w:val="0"/>
          <w:bCs w:val="0"/>
          <w:color w:val="auto"/>
          <w:highlight w:val="none"/>
          <w:lang w:eastAsia="zh-CN"/>
        </w:rPr>
      </w:pPr>
      <w:r>
        <w:rPr>
          <w:rFonts w:hint="eastAsia" w:ascii="宋体" w:hAnsi="宋体" w:eastAsia="宋体" w:cs="宋体"/>
          <w:b/>
          <w:bCs/>
          <w:color w:val="auto"/>
          <w:highlight w:val="none"/>
          <w:lang w:val="en-US" w:eastAsia="zh-CN"/>
        </w:rPr>
        <w:t>4</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 xml:space="preserve">送餐流线与就餐流线宜避免交叉，公共餐厅应设置备餐间，并为护理员留有分餐、助餐空间；当采用柜台式售饭方式时，应设有无障碍服务柜台 </w:t>
      </w:r>
      <w:r>
        <w:rPr>
          <w:rFonts w:hint="eastAsia" w:ascii="宋体" w:hAnsi="宋体" w:eastAsia="宋体" w:cs="宋体"/>
          <w:b w:val="0"/>
          <w:bCs w:val="0"/>
          <w:color w:val="auto"/>
          <w:highlight w:val="none"/>
          <w:lang w:eastAsia="zh-CN"/>
        </w:rPr>
        <w:t>；</w:t>
      </w:r>
    </w:p>
    <w:p w14:paraId="07F4CBC8">
      <w:pPr>
        <w:numPr>
          <w:ilvl w:val="-1"/>
          <w:numId w:val="0"/>
        </w:numPr>
        <w:bidi w:val="0"/>
        <w:ind w:left="0" w:leftChars="0" w:firstLine="420" w:firstLineChars="0"/>
        <w:rPr>
          <w:b w:val="0"/>
          <w:bCs w:val="0"/>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val="0"/>
          <w:bCs w:val="0"/>
          <w:color w:val="auto"/>
          <w:highlight w:val="none"/>
          <w:lang w:val="en-US" w:eastAsia="zh-CN"/>
        </w:rPr>
        <w:t xml:space="preserve"> 餐桌台下宜留出宽750mm、高650mm、深450mm的空间，便于轮椅老年人使用。</w:t>
      </w:r>
    </w:p>
    <w:p w14:paraId="7EA96852">
      <w:pPr>
        <w:numPr>
          <w:ilvl w:val="2"/>
          <w:numId w:val="8"/>
        </w:numPr>
        <w:bidi w:val="0"/>
        <w:ind w:left="0" w:leftChars="0" w:hanging="9" w:firstLineChars="0"/>
        <w:rPr>
          <w:b w:val="0"/>
          <w:bCs w:val="0"/>
          <w:color w:val="auto"/>
          <w:highlight w:val="none"/>
        </w:rPr>
      </w:pPr>
      <w:r>
        <w:rPr>
          <w:b w:val="0"/>
          <w:bCs w:val="0"/>
          <w:color w:val="auto"/>
          <w:highlight w:val="none"/>
        </w:rPr>
        <w:t>老年人公用卫生间应与老年人经常使用的公共活动用房同层 、邻近设置， 并宜有天然采光和自然通风条件。</w:t>
      </w:r>
      <w:r>
        <w:rPr>
          <w:rFonts w:hint="eastAsia"/>
          <w:b w:val="0"/>
          <w:bCs w:val="0"/>
          <w:color w:val="auto"/>
          <w:highlight w:val="none"/>
          <w:lang w:val="en-US" w:eastAsia="zh"/>
        </w:rPr>
        <w:t>老年人照料设施</w:t>
      </w:r>
      <w:r>
        <w:rPr>
          <w:b w:val="0"/>
          <w:bCs w:val="0"/>
          <w:color w:val="auto"/>
          <w:highlight w:val="none"/>
        </w:rPr>
        <w:t>的每个</w:t>
      </w:r>
      <w:r>
        <w:rPr>
          <w:rFonts w:hint="eastAsia"/>
          <w:b w:val="0"/>
          <w:bCs w:val="0"/>
          <w:color w:val="auto"/>
          <w:highlight w:val="none"/>
          <w:lang w:val="en-US" w:eastAsia="zh-CN"/>
        </w:rPr>
        <w:t>照料单元</w:t>
      </w:r>
      <w:r>
        <w:rPr>
          <w:b w:val="0"/>
          <w:bCs w:val="0"/>
          <w:color w:val="auto"/>
          <w:highlight w:val="none"/>
        </w:rPr>
        <w:t>内均应设置公用卫生间。公用卫生间洁具的数量应按表 5.2.9 确定。</w:t>
      </w:r>
    </w:p>
    <w:p w14:paraId="769E85D5">
      <w:pPr>
        <w:numPr>
          <w:ilvl w:val="0"/>
          <w:numId w:val="0"/>
        </w:numPr>
        <w:jc w:val="center"/>
        <w:rPr>
          <w:rFonts w:hint="default"/>
          <w:b/>
          <w:bCs/>
          <w:color w:val="auto"/>
          <w:sz w:val="18"/>
          <w:szCs w:val="21"/>
          <w:highlight w:val="none"/>
          <w:lang w:val="en-US" w:eastAsia="zh-CN"/>
        </w:rPr>
      </w:pPr>
      <w:r>
        <w:rPr>
          <w:rFonts w:hint="default"/>
          <w:b/>
          <w:bCs/>
          <w:color w:val="auto"/>
          <w:sz w:val="18"/>
          <w:szCs w:val="21"/>
          <w:highlight w:val="none"/>
          <w:lang w:val="en-US" w:eastAsia="zh-CN"/>
        </w:rPr>
        <w:t>表 5.2.9 公用卫生间洁具配置指标（人/每件）</w:t>
      </w:r>
    </w:p>
    <w:tbl>
      <w:tblPr>
        <w:tblStyle w:val="25"/>
        <w:tblW w:w="60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2"/>
        <w:gridCol w:w="2009"/>
        <w:gridCol w:w="2310"/>
      </w:tblGrid>
      <w:tr w14:paraId="0C15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jc w:val="center"/>
        </w:trPr>
        <w:tc>
          <w:tcPr>
            <w:tcW w:w="1752" w:type="dxa"/>
            <w:vAlign w:val="center"/>
          </w:tcPr>
          <w:p w14:paraId="794D0958">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洁具</w:t>
            </w:r>
          </w:p>
        </w:tc>
        <w:tc>
          <w:tcPr>
            <w:tcW w:w="2009" w:type="dxa"/>
            <w:vAlign w:val="center"/>
          </w:tcPr>
          <w:p w14:paraId="443F3589">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男</w:t>
            </w:r>
          </w:p>
        </w:tc>
        <w:tc>
          <w:tcPr>
            <w:tcW w:w="2310" w:type="dxa"/>
            <w:vAlign w:val="center"/>
          </w:tcPr>
          <w:p w14:paraId="132C43E7">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女</w:t>
            </w:r>
          </w:p>
        </w:tc>
      </w:tr>
      <w:tr w14:paraId="5944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jc w:val="center"/>
        </w:trPr>
        <w:tc>
          <w:tcPr>
            <w:tcW w:w="1752" w:type="dxa"/>
            <w:vAlign w:val="center"/>
          </w:tcPr>
          <w:p w14:paraId="44E650DE">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洗手盆</w:t>
            </w:r>
          </w:p>
        </w:tc>
        <w:tc>
          <w:tcPr>
            <w:tcW w:w="2009" w:type="dxa"/>
            <w:vAlign w:val="center"/>
          </w:tcPr>
          <w:p w14:paraId="755B06C2">
            <w:pPr>
              <w:bidi w:val="0"/>
              <w:jc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rPr>
              <w:t xml:space="preserve">≤ </w:t>
            </w:r>
            <w:r>
              <w:rPr>
                <w:rFonts w:hint="eastAsia" w:asciiTheme="minorEastAsia" w:hAnsiTheme="minorEastAsia" w:eastAsiaTheme="minorEastAsia" w:cstheme="minorEastAsia"/>
                <w:b w:val="0"/>
                <w:bCs w:val="0"/>
                <w:color w:val="auto"/>
                <w:sz w:val="20"/>
                <w:szCs w:val="20"/>
                <w:highlight w:val="none"/>
                <w:lang w:val="en-US" w:eastAsia="zh-CN"/>
              </w:rPr>
              <w:t>15</w:t>
            </w:r>
          </w:p>
        </w:tc>
        <w:tc>
          <w:tcPr>
            <w:tcW w:w="2310" w:type="dxa"/>
            <w:vAlign w:val="center"/>
          </w:tcPr>
          <w:p w14:paraId="05E7B14F">
            <w:pPr>
              <w:bidi w:val="0"/>
              <w:jc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rPr>
              <w:t xml:space="preserve">≤ </w:t>
            </w:r>
            <w:r>
              <w:rPr>
                <w:rFonts w:hint="eastAsia" w:asciiTheme="minorEastAsia" w:hAnsiTheme="minorEastAsia" w:eastAsiaTheme="minorEastAsia" w:cstheme="minorEastAsia"/>
                <w:b w:val="0"/>
                <w:bCs w:val="0"/>
                <w:color w:val="auto"/>
                <w:sz w:val="20"/>
                <w:szCs w:val="20"/>
                <w:highlight w:val="none"/>
                <w:lang w:val="en-US" w:eastAsia="zh-CN"/>
              </w:rPr>
              <w:t>12</w:t>
            </w:r>
          </w:p>
        </w:tc>
      </w:tr>
      <w:tr w14:paraId="3DBB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jc w:val="center"/>
        </w:trPr>
        <w:tc>
          <w:tcPr>
            <w:tcW w:w="1752" w:type="dxa"/>
            <w:vAlign w:val="center"/>
          </w:tcPr>
          <w:p w14:paraId="5EF35F30">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坐便器</w:t>
            </w:r>
          </w:p>
        </w:tc>
        <w:tc>
          <w:tcPr>
            <w:tcW w:w="2009" w:type="dxa"/>
            <w:vAlign w:val="center"/>
          </w:tcPr>
          <w:p w14:paraId="12E81C03">
            <w:pPr>
              <w:bidi w:val="0"/>
              <w:jc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rPr>
              <w:t xml:space="preserve">≤ </w:t>
            </w:r>
            <w:r>
              <w:rPr>
                <w:rFonts w:hint="eastAsia" w:asciiTheme="minorEastAsia" w:hAnsiTheme="minorEastAsia" w:eastAsiaTheme="minorEastAsia" w:cstheme="minorEastAsia"/>
                <w:b w:val="0"/>
                <w:bCs w:val="0"/>
                <w:color w:val="auto"/>
                <w:sz w:val="20"/>
                <w:szCs w:val="20"/>
                <w:highlight w:val="none"/>
                <w:lang w:val="en-US" w:eastAsia="zh-CN"/>
              </w:rPr>
              <w:t>15</w:t>
            </w:r>
          </w:p>
        </w:tc>
        <w:tc>
          <w:tcPr>
            <w:tcW w:w="2310" w:type="dxa"/>
            <w:vAlign w:val="center"/>
          </w:tcPr>
          <w:p w14:paraId="7DBB50D4">
            <w:pPr>
              <w:bidi w:val="0"/>
              <w:jc w:val="cente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rPr>
              <w:t xml:space="preserve">≤ </w:t>
            </w:r>
            <w:r>
              <w:rPr>
                <w:rFonts w:hint="eastAsia" w:asciiTheme="minorEastAsia" w:hAnsiTheme="minorEastAsia" w:eastAsiaTheme="minorEastAsia" w:cstheme="minorEastAsia"/>
                <w:b w:val="0"/>
                <w:bCs w:val="0"/>
                <w:color w:val="auto"/>
                <w:sz w:val="20"/>
                <w:szCs w:val="20"/>
                <w:highlight w:val="none"/>
                <w:lang w:val="en-US" w:eastAsia="zh-CN"/>
              </w:rPr>
              <w:t>12</w:t>
            </w:r>
          </w:p>
        </w:tc>
      </w:tr>
      <w:tr w14:paraId="317E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1752" w:type="dxa"/>
            <w:vAlign w:val="center"/>
          </w:tcPr>
          <w:p w14:paraId="09775E9B">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小便器</w:t>
            </w:r>
          </w:p>
        </w:tc>
        <w:tc>
          <w:tcPr>
            <w:tcW w:w="2009" w:type="dxa"/>
            <w:vAlign w:val="center"/>
          </w:tcPr>
          <w:p w14:paraId="506D7A6E">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 12</w:t>
            </w:r>
          </w:p>
        </w:tc>
        <w:tc>
          <w:tcPr>
            <w:tcW w:w="2310" w:type="dxa"/>
            <w:vAlign w:val="center"/>
          </w:tcPr>
          <w:p w14:paraId="4F76EB16">
            <w:pPr>
              <w:bidi w:val="0"/>
              <w:jc w:val="center"/>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rPr>
              <w:t>—</w:t>
            </w:r>
          </w:p>
        </w:tc>
      </w:tr>
    </w:tbl>
    <w:p w14:paraId="2F8E1D47">
      <w:pPr>
        <w:numPr>
          <w:ilvl w:val="0"/>
          <w:numId w:val="0"/>
        </w:numPr>
        <w:bidi w:val="0"/>
        <w:ind w:leftChars="0"/>
        <w:jc w:val="center"/>
        <w:rPr>
          <w:rFonts w:hint="eastAsia"/>
          <w:b w:val="0"/>
          <w:bCs w:val="0"/>
          <w:color w:val="auto"/>
          <w:spacing w:val="9"/>
          <w:sz w:val="18"/>
          <w:szCs w:val="18"/>
          <w:highlight w:val="none"/>
          <w:lang w:eastAsia="zh-CN"/>
        </w:rPr>
      </w:pPr>
      <w:r>
        <w:rPr>
          <w:b w:val="0"/>
          <w:bCs w:val="0"/>
          <w:color w:val="auto"/>
          <w:spacing w:val="9"/>
          <w:sz w:val="18"/>
          <w:szCs w:val="18"/>
          <w:highlight w:val="none"/>
        </w:rPr>
        <w:t>注：</w:t>
      </w:r>
      <w:r>
        <w:rPr>
          <w:rFonts w:hint="eastAsia"/>
          <w:b w:val="0"/>
          <w:bCs w:val="0"/>
          <w:color w:val="auto"/>
          <w:sz w:val="18"/>
          <w:szCs w:val="21"/>
          <w:highlight w:val="none"/>
          <w:lang w:val="en-US" w:eastAsia="zh"/>
        </w:rPr>
        <w:t>老年人照料设施</w:t>
      </w:r>
      <w:r>
        <w:rPr>
          <w:b w:val="0"/>
          <w:bCs w:val="0"/>
          <w:color w:val="auto"/>
          <w:spacing w:val="9"/>
          <w:sz w:val="18"/>
          <w:szCs w:val="18"/>
          <w:highlight w:val="none"/>
        </w:rPr>
        <w:t>公用卫生间洁具数量按其功能房间所服务的老人数测算</w:t>
      </w:r>
      <w:r>
        <w:rPr>
          <w:rFonts w:hint="eastAsia"/>
          <w:b w:val="0"/>
          <w:bCs w:val="0"/>
          <w:color w:val="auto"/>
          <w:spacing w:val="9"/>
          <w:sz w:val="18"/>
          <w:szCs w:val="18"/>
          <w:highlight w:val="none"/>
          <w:lang w:eastAsia="zh-CN"/>
        </w:rPr>
        <w:t>。</w:t>
      </w:r>
    </w:p>
    <w:p w14:paraId="51AC62A7">
      <w:pPr>
        <w:numPr>
          <w:ilvl w:val="2"/>
          <w:numId w:val="8"/>
        </w:numPr>
        <w:bidi w:val="0"/>
        <w:ind w:left="0" w:leftChars="0" w:firstLine="0" w:firstLineChars="0"/>
        <w:outlineLvl w:val="1"/>
        <w:rPr>
          <w:color w:val="auto"/>
          <w:highlight w:val="none"/>
        </w:rPr>
      </w:pPr>
      <w:bookmarkStart w:id="59" w:name="_Toc6255"/>
      <w:bookmarkStart w:id="60" w:name="_Toc25161"/>
      <w:r>
        <w:rPr>
          <w:color w:val="auto"/>
          <w:highlight w:val="none"/>
        </w:rPr>
        <w:t>老年人专用浴室、公用沐浴间设置应符合下列规定：</w:t>
      </w:r>
      <w:bookmarkEnd w:id="59"/>
      <w:bookmarkEnd w:id="60"/>
    </w:p>
    <w:p w14:paraId="51FF1195">
      <w:pPr>
        <w:numPr>
          <w:ilvl w:val="-1"/>
          <w:numId w:val="0"/>
        </w:numPr>
        <w:bidi w:val="0"/>
        <w:ind w:left="0" w:leftChars="0" w:firstLine="422" w:firstLineChars="200"/>
        <w:rPr>
          <w:color w:val="auto"/>
          <w:highlight w:val="none"/>
        </w:rPr>
      </w:pPr>
      <w:r>
        <w:rPr>
          <w:rFonts w:hint="eastAsia"/>
          <w:b/>
          <w:bCs/>
          <w:color w:val="auto"/>
          <w:highlight w:val="none"/>
          <w:lang w:val="en-US" w:eastAsia="zh-CN"/>
        </w:rPr>
        <w:t>1</w:t>
      </w:r>
      <w:r>
        <w:rPr>
          <w:rFonts w:hint="eastAsia"/>
          <w:color w:val="auto"/>
          <w:highlight w:val="none"/>
          <w:lang w:val="en-US" w:eastAsia="zh-CN"/>
        </w:rPr>
        <w:t xml:space="preserve"> </w:t>
      </w:r>
      <w:r>
        <w:rPr>
          <w:color w:val="auto"/>
          <w:highlight w:val="none"/>
        </w:rPr>
        <w:t>老年人专用浴室宜按男女分别设置，规模可按总床位数测算，每15个床位应设1个浴位，其中轮椅使用者的专用浴室不应少于总床位数的30%，且不应少于1间；</w:t>
      </w:r>
    </w:p>
    <w:p w14:paraId="25FD78BC">
      <w:pPr>
        <w:numPr>
          <w:ilvl w:val="-1"/>
          <w:numId w:val="0"/>
        </w:numPr>
        <w:bidi w:val="0"/>
        <w:ind w:left="0" w:leftChars="0" w:firstLine="422" w:firstLineChars="200"/>
        <w:rPr>
          <w:color w:val="auto"/>
          <w:highlight w:val="none"/>
        </w:rPr>
      </w:pPr>
      <w:r>
        <w:rPr>
          <w:rFonts w:hint="eastAsia"/>
          <w:b/>
          <w:bCs/>
          <w:color w:val="auto"/>
          <w:highlight w:val="none"/>
          <w:lang w:val="en-US" w:eastAsia="zh-CN"/>
        </w:rPr>
        <w:t>2</w:t>
      </w:r>
      <w:r>
        <w:rPr>
          <w:rFonts w:hint="eastAsia"/>
          <w:color w:val="auto"/>
          <w:highlight w:val="none"/>
          <w:lang w:val="en-US" w:eastAsia="zh-CN"/>
        </w:rPr>
        <w:t xml:space="preserve"> </w:t>
      </w:r>
      <w:r>
        <w:rPr>
          <w:color w:val="auto"/>
          <w:highlight w:val="none"/>
        </w:rPr>
        <w:t>介护、介助老人使用的公用沐浴间内应配备老年人使用的浴槽（床）或洗澡机等助浴设施，并应留有助浴及储藏空间；</w:t>
      </w:r>
    </w:p>
    <w:p w14:paraId="18697328">
      <w:pPr>
        <w:numPr>
          <w:ilvl w:val="-1"/>
          <w:numId w:val="0"/>
        </w:numPr>
        <w:bidi w:val="0"/>
        <w:ind w:left="0" w:leftChars="0" w:firstLine="422" w:firstLineChars="200"/>
        <w:rPr>
          <w:color w:val="auto"/>
          <w:highlight w:val="none"/>
        </w:rPr>
      </w:pPr>
      <w:r>
        <w:rPr>
          <w:rFonts w:hint="eastAsia"/>
          <w:b/>
          <w:bCs/>
          <w:color w:val="auto"/>
          <w:highlight w:val="none"/>
          <w:lang w:val="en-US" w:eastAsia="zh-CN"/>
        </w:rPr>
        <w:t>3</w:t>
      </w:r>
      <w:r>
        <w:rPr>
          <w:rFonts w:hint="eastAsia"/>
          <w:color w:val="auto"/>
          <w:highlight w:val="none"/>
          <w:lang w:val="en-US" w:eastAsia="zh-CN"/>
        </w:rPr>
        <w:t xml:space="preserve"> </w:t>
      </w:r>
      <w:r>
        <w:rPr>
          <w:color w:val="auto"/>
          <w:highlight w:val="none"/>
        </w:rPr>
        <w:t xml:space="preserve">老年人专用浴室、公用沐浴间均应附设无障碍厕位； </w:t>
      </w:r>
    </w:p>
    <w:p w14:paraId="6190A581">
      <w:pPr>
        <w:numPr>
          <w:ilvl w:val="-1"/>
          <w:numId w:val="0"/>
        </w:numPr>
        <w:bidi w:val="0"/>
        <w:ind w:left="0" w:leftChars="0" w:firstLine="422" w:firstLineChars="200"/>
        <w:jc w:val="left"/>
        <w:rPr>
          <w:rFonts w:hint="eastAsia"/>
          <w:b w:val="0"/>
          <w:bCs w:val="0"/>
          <w:color w:val="auto"/>
          <w:spacing w:val="9"/>
          <w:sz w:val="18"/>
          <w:szCs w:val="18"/>
          <w:highlight w:val="none"/>
          <w:lang w:eastAsia="zh-CN"/>
        </w:rPr>
      </w:pPr>
      <w:r>
        <w:rPr>
          <w:rFonts w:hint="eastAsia"/>
          <w:b/>
          <w:bCs/>
          <w:color w:val="auto"/>
          <w:highlight w:val="none"/>
          <w:lang w:val="en-US" w:eastAsia="zh-CN"/>
        </w:rPr>
        <w:t>4</w:t>
      </w:r>
      <w:r>
        <w:rPr>
          <w:rFonts w:hint="eastAsia"/>
          <w:color w:val="auto"/>
          <w:highlight w:val="none"/>
          <w:lang w:val="en-US" w:eastAsia="zh-CN"/>
        </w:rPr>
        <w:t xml:space="preserve"> </w:t>
      </w:r>
      <w:r>
        <w:rPr>
          <w:color w:val="auto"/>
          <w:highlight w:val="none"/>
        </w:rPr>
        <w:t>老年人专用浴室、公用沐浴间应设通风设施。</w:t>
      </w:r>
    </w:p>
    <w:p w14:paraId="7D6FF204">
      <w:pPr>
        <w:numPr>
          <w:ilvl w:val="2"/>
          <w:numId w:val="8"/>
        </w:numPr>
        <w:bidi w:val="0"/>
        <w:ind w:left="0" w:leftChars="0" w:firstLine="0" w:firstLineChars="0"/>
        <w:jc w:val="left"/>
        <w:rPr>
          <w:rFonts w:hint="eastAsia"/>
          <w:color w:val="auto"/>
          <w:highlight w:val="none"/>
          <w:lang w:eastAsia="zh-CN"/>
        </w:rPr>
      </w:pPr>
      <w:r>
        <w:rPr>
          <w:rFonts w:hint="eastAsia"/>
          <w:b w:val="0"/>
          <w:bCs w:val="0"/>
          <w:color w:val="auto"/>
          <w:highlight w:val="none"/>
          <w:lang w:val="en-US" w:eastAsia="zh"/>
        </w:rPr>
        <w:t>老年人照料设施</w:t>
      </w:r>
      <w:r>
        <w:rPr>
          <w:b w:val="0"/>
          <w:bCs w:val="0"/>
          <w:color w:val="auto"/>
          <w:highlight w:val="none"/>
        </w:rPr>
        <w:t>的每个</w:t>
      </w:r>
      <w:r>
        <w:rPr>
          <w:rFonts w:hint="eastAsia"/>
          <w:b w:val="0"/>
          <w:bCs w:val="0"/>
          <w:color w:val="auto"/>
          <w:highlight w:val="none"/>
          <w:lang w:val="en-US" w:eastAsia="zh-CN"/>
        </w:rPr>
        <w:t>照料单元</w:t>
      </w:r>
      <w:r>
        <w:rPr>
          <w:b w:val="0"/>
          <w:bCs w:val="0"/>
          <w:color w:val="auto"/>
          <w:highlight w:val="none"/>
        </w:rPr>
        <w:t>均应设护理站，且位置应明显易找，并宜适当居中。</w:t>
      </w:r>
    </w:p>
    <w:p w14:paraId="6A83A699">
      <w:pPr>
        <w:numPr>
          <w:ilvl w:val="2"/>
          <w:numId w:val="8"/>
        </w:numPr>
        <w:bidi w:val="0"/>
        <w:ind w:left="0" w:leftChars="0" w:firstLine="0" w:firstLineChars="0"/>
        <w:jc w:val="left"/>
        <w:rPr>
          <w:color w:val="auto"/>
          <w:highlight w:val="none"/>
        </w:rPr>
      </w:pPr>
      <w:r>
        <w:rPr>
          <w:rFonts w:hint="eastAsia"/>
          <w:b w:val="0"/>
          <w:bCs w:val="0"/>
          <w:color w:val="auto"/>
          <w:highlight w:val="none"/>
          <w:lang w:val="en-US" w:eastAsia="zh"/>
        </w:rPr>
        <w:t>老年人照料设施</w:t>
      </w:r>
      <w:r>
        <w:rPr>
          <w:b w:val="0"/>
          <w:bCs w:val="0"/>
          <w:color w:val="auto"/>
          <w:highlight w:val="none"/>
        </w:rPr>
        <w:t>内宜每层设置或集中设置污物间，且污物间应靠近污物运输通道，并应有污物处理及污洗消毒设施。</w:t>
      </w:r>
    </w:p>
    <w:p w14:paraId="609735F1">
      <w:pPr>
        <w:numPr>
          <w:ilvl w:val="2"/>
          <w:numId w:val="8"/>
        </w:numPr>
        <w:bidi w:val="0"/>
        <w:ind w:left="0" w:leftChars="0" w:firstLine="0" w:firstLineChars="0"/>
        <w:jc w:val="left"/>
        <w:rPr>
          <w:rFonts w:hint="eastAsia"/>
          <w:b w:val="0"/>
          <w:bCs w:val="0"/>
          <w:color w:val="auto"/>
          <w:spacing w:val="9"/>
          <w:sz w:val="18"/>
          <w:szCs w:val="18"/>
          <w:highlight w:val="none"/>
          <w:lang w:eastAsia="zh-CN"/>
        </w:rPr>
      </w:pPr>
      <w:r>
        <w:rPr>
          <w:color w:val="auto"/>
          <w:highlight w:val="none"/>
        </w:rPr>
        <w:t>当设置美容美发室、商店及银行、邮电、保险代理等生活服务用房时，应方便老年人使用。</w:t>
      </w:r>
    </w:p>
    <w:p w14:paraId="4E92B18F">
      <w:pPr>
        <w:numPr>
          <w:ilvl w:val="0"/>
          <w:numId w:val="0"/>
        </w:numPr>
        <w:jc w:val="center"/>
        <w:outlineLvl w:val="1"/>
        <w:rPr>
          <w:rStyle w:val="19"/>
          <w:rFonts w:hint="default" w:ascii="黑体" w:hAnsi="黑体" w:eastAsia="黑体" w:cs="黑体"/>
          <w:color w:val="auto"/>
          <w:sz w:val="28"/>
          <w:szCs w:val="40"/>
          <w:highlight w:val="none"/>
          <w:lang w:val="en-US" w:eastAsia="zh-CN"/>
        </w:rPr>
      </w:pPr>
      <w:bookmarkStart w:id="61" w:name="_Toc18120"/>
      <w:bookmarkStart w:id="62" w:name="_Toc23937"/>
      <w:bookmarkStart w:id="63" w:name="_Toc1292"/>
      <w:r>
        <w:rPr>
          <w:rStyle w:val="19"/>
          <w:rFonts w:hint="eastAsia" w:ascii="Times New Roman" w:hAnsi="Times New Roman" w:eastAsia="宋体" w:cs="Times New Roman"/>
          <w:color w:val="auto"/>
          <w:sz w:val="28"/>
          <w:szCs w:val="40"/>
          <w:highlight w:val="none"/>
          <w:lang w:val="en-US" w:eastAsia="zh-CN"/>
        </w:rPr>
        <w:t xml:space="preserve">5.3 </w:t>
      </w:r>
      <w:bookmarkEnd w:id="61"/>
      <w:bookmarkEnd w:id="62"/>
      <w:r>
        <w:rPr>
          <w:rStyle w:val="19"/>
          <w:rFonts w:hint="eastAsia" w:ascii="黑体" w:hAnsi="黑体" w:eastAsia="黑体" w:cs="黑体"/>
          <w:color w:val="auto"/>
          <w:sz w:val="28"/>
          <w:szCs w:val="40"/>
          <w:highlight w:val="none"/>
          <w:lang w:val="en-US" w:eastAsia="zh-CN"/>
          <w:woUserID w:val="1"/>
        </w:rPr>
        <w:t>康复与医疗用房</w:t>
      </w:r>
    </w:p>
    <w:bookmarkEnd w:id="63"/>
    <w:p w14:paraId="4479D89B">
      <w:pPr>
        <w:numPr>
          <w:ilvl w:val="0"/>
          <w:numId w:val="0"/>
        </w:numPr>
        <w:ind w:leftChars="0"/>
        <w:rPr>
          <w:rFonts w:hint="eastAsia"/>
          <w:b w:val="0"/>
          <w:bCs w:val="0"/>
          <w:color w:val="auto"/>
          <w:highlight w:val="none"/>
          <w:lang w:val="en-US" w:eastAsia="zh-CN"/>
        </w:rPr>
      </w:pPr>
      <w:bookmarkStart w:id="64" w:name="_Toc7614"/>
      <w:bookmarkStart w:id="65" w:name="_Toc24319"/>
      <w:bookmarkStart w:id="66" w:name="_Toc11357"/>
      <w:r>
        <w:rPr>
          <w:rFonts w:hint="default" w:ascii="Times New Roman" w:hAnsi="Times New Roman" w:cs="Times New Roman"/>
          <w:b/>
          <w:bCs/>
          <w:color w:val="auto"/>
          <w:highlight w:val="none"/>
          <w:lang w:val="en-US" w:eastAsia="zh-CN"/>
        </w:rPr>
        <w:t>5.</w:t>
      </w:r>
      <w:r>
        <w:rPr>
          <w:rFonts w:hint="eastAsia" w:ascii="Times New Roman" w:hAnsi="Times New Roman" w:cs="Times New Roman"/>
          <w:b/>
          <w:bCs/>
          <w:color w:val="auto"/>
          <w:highlight w:val="none"/>
          <w:lang w:val="en-US" w:eastAsia="zh-CN"/>
        </w:rPr>
        <w:t>3.1</w:t>
      </w:r>
      <w:r>
        <w:rPr>
          <w:rFonts w:hint="eastAsia"/>
          <w:color w:val="auto"/>
          <w:highlight w:val="none"/>
          <w:lang w:val="en-US" w:eastAsia="zh-CN"/>
        </w:rPr>
        <w:t xml:space="preserve"> </w:t>
      </w:r>
      <w:r>
        <w:rPr>
          <w:rFonts w:hint="eastAsia"/>
          <w:b w:val="0"/>
          <w:bCs w:val="0"/>
          <w:color w:val="auto"/>
          <w:highlight w:val="none"/>
          <w:lang w:val="en-US" w:eastAsia="zh-CN"/>
        </w:rPr>
        <w:t>医疗用房中的医务室、 观察室、 治疗室、 检验室、 药械室、处置室应符合下列规定：</w:t>
      </w:r>
    </w:p>
    <w:p w14:paraId="11777F90">
      <w:pPr>
        <w:numPr>
          <w:ilvl w:val="-1"/>
          <w:numId w:val="0"/>
        </w:numPr>
        <w:bidi w:val="0"/>
        <w:ind w:left="0" w:leftChars="0" w:firstLine="420" w:firstLineChars="200"/>
        <w:rPr>
          <w:rFonts w:hint="eastAsia"/>
          <w:color w:val="auto"/>
          <w:highlight w:val="none"/>
        </w:rPr>
      </w:pPr>
      <w:r>
        <w:rPr>
          <w:color w:val="auto"/>
          <w:highlight w:val="none"/>
        </w:rPr>
        <w:t xml:space="preserve"> </w:t>
      </w:r>
      <w:r>
        <w:rPr>
          <w:rFonts w:hint="eastAsia"/>
          <w:b/>
          <w:bCs/>
          <w:color w:val="auto"/>
          <w:highlight w:val="none"/>
          <w:lang w:val="en-US" w:eastAsia="zh-CN"/>
        </w:rPr>
        <w:t>1</w:t>
      </w:r>
      <w:r>
        <w:rPr>
          <w:color w:val="auto"/>
          <w:highlight w:val="none"/>
        </w:rPr>
        <w:t xml:space="preserve"> 医务室的位置应方便老年人就医和急救</w:t>
      </w:r>
      <w:r>
        <w:rPr>
          <w:rFonts w:hint="eastAsia"/>
          <w:color w:val="auto"/>
          <w:highlight w:val="none"/>
        </w:rPr>
        <w:t>，使用面积不应小于10㎡，平面空间形式应满足开展基本医疗服务与救治的需求，且应有较好的天然采光和自然通风条件。</w:t>
      </w:r>
    </w:p>
    <w:p w14:paraId="30657534">
      <w:pPr>
        <w:numPr>
          <w:ilvl w:val="-1"/>
          <w:numId w:val="0"/>
        </w:numPr>
        <w:bidi w:val="0"/>
        <w:ind w:left="0" w:leftChars="0" w:firstLine="420" w:firstLineChars="200"/>
        <w:rPr>
          <w:rFonts w:hint="eastAsia"/>
          <w:color w:val="auto"/>
          <w:highlight w:val="none"/>
          <w:lang w:eastAsia="zh-CN"/>
        </w:rPr>
      </w:pPr>
      <w:r>
        <w:rPr>
          <w:color w:val="auto"/>
          <w:highlight w:val="none"/>
        </w:rPr>
        <w:t xml:space="preserve"> </w:t>
      </w:r>
      <w:r>
        <w:rPr>
          <w:rFonts w:hint="eastAsia"/>
          <w:b/>
          <w:bCs/>
          <w:color w:val="auto"/>
          <w:highlight w:val="none"/>
          <w:lang w:val="en-US" w:eastAsia="zh-CN"/>
        </w:rPr>
        <w:t xml:space="preserve">2 </w:t>
      </w:r>
      <w:r>
        <w:rPr>
          <w:color w:val="auto"/>
          <w:highlight w:val="none"/>
        </w:rPr>
        <w:t>小、中型</w:t>
      </w:r>
      <w:r>
        <w:rPr>
          <w:rFonts w:hint="eastAsia"/>
          <w:color w:val="auto"/>
          <w:highlight w:val="none"/>
          <w:lang w:eastAsia="zh"/>
        </w:rPr>
        <w:t>老年人照料设施</w:t>
      </w:r>
      <w:r>
        <w:rPr>
          <w:color w:val="auto"/>
          <w:highlight w:val="none"/>
        </w:rPr>
        <w:t>建筑宜设观察床位；大型、特大型</w:t>
      </w:r>
      <w:r>
        <w:rPr>
          <w:rFonts w:hint="eastAsia"/>
          <w:color w:val="auto"/>
          <w:highlight w:val="none"/>
          <w:lang w:eastAsia="zh"/>
        </w:rPr>
        <w:t>老年人照料设施</w:t>
      </w:r>
      <w:r>
        <w:rPr>
          <w:color w:val="auto"/>
          <w:highlight w:val="none"/>
        </w:rPr>
        <w:t>建筑应设观察室；观察床位数量应按总床位数的 1%～2%设置，并不应少于2床</w:t>
      </w:r>
      <w:r>
        <w:rPr>
          <w:rFonts w:hint="eastAsia"/>
          <w:color w:val="auto"/>
          <w:highlight w:val="none"/>
          <w:lang w:eastAsia="zh-CN"/>
        </w:rPr>
        <w:t>。</w:t>
      </w:r>
    </w:p>
    <w:p w14:paraId="445F0C0C">
      <w:pPr>
        <w:numPr>
          <w:ilvl w:val="0"/>
          <w:numId w:val="0"/>
        </w:numPr>
        <w:bidi w:val="0"/>
        <w:rPr>
          <w:rFonts w:hint="eastAsia"/>
          <w:color w:val="auto"/>
          <w:highlight w:val="none"/>
          <w:lang w:eastAsia="zh-CN"/>
        </w:rPr>
      </w:pPr>
      <w:r>
        <w:rPr>
          <w:rFonts w:hint="eastAsia" w:ascii="Times New Roman" w:hAnsi="Times New Roman" w:cs="Times New Roman"/>
          <w:b/>
          <w:bCs/>
          <w:color w:val="auto"/>
          <w:highlight w:val="none"/>
          <w:lang w:val="en-US" w:eastAsia="zh-CN"/>
        </w:rPr>
        <w:t xml:space="preserve">5.3.2 </w:t>
      </w:r>
      <w:r>
        <w:rPr>
          <w:rFonts w:hint="eastAsia"/>
          <w:b w:val="0"/>
          <w:bCs w:val="0"/>
          <w:color w:val="auto"/>
          <w:highlight w:val="none"/>
          <w:lang w:val="en-US" w:eastAsia="zh"/>
        </w:rPr>
        <w:t>老年人照料设施</w:t>
      </w:r>
      <w:r>
        <w:rPr>
          <w:rFonts w:hint="eastAsia"/>
          <w:b w:val="0"/>
          <w:bCs w:val="0"/>
          <w:color w:val="auto"/>
          <w:highlight w:val="none"/>
          <w:lang w:val="en-US" w:eastAsia="zh-CN"/>
        </w:rPr>
        <w:t>建筑宜设置临终关怀室，临终关怀室宜相对独立设置，其对外通道不应与</w:t>
      </w:r>
      <w:r>
        <w:rPr>
          <w:rFonts w:hint="eastAsia"/>
          <w:b w:val="0"/>
          <w:bCs w:val="0"/>
          <w:color w:val="auto"/>
          <w:highlight w:val="none"/>
          <w:lang w:val="en-US" w:eastAsia="zh"/>
        </w:rPr>
        <w:t>老年人照料设施</w:t>
      </w:r>
      <w:r>
        <w:rPr>
          <w:rFonts w:hint="eastAsia"/>
          <w:b w:val="0"/>
          <w:bCs w:val="0"/>
          <w:color w:val="auto"/>
          <w:highlight w:val="none"/>
          <w:lang w:val="en-US" w:eastAsia="zh-CN"/>
        </w:rPr>
        <w:t>建筑的主要出入口合用。</w:t>
      </w:r>
      <w:r>
        <w:rPr>
          <w:rFonts w:hint="eastAsia"/>
          <w:b w:val="0"/>
          <w:bCs w:val="0"/>
          <w:color w:val="auto"/>
          <w:highlight w:val="none"/>
          <w:lang w:val="en-US" w:eastAsia="zh"/>
          <w:woUserID w:val="4"/>
        </w:rPr>
        <w:t>临终关怀室应采用隔音墙体，空气声隔声标准应≥30dB，房间门和外窗的空气隔声标准应≥25dB。</w:t>
      </w:r>
    </w:p>
    <w:p w14:paraId="52C68F61">
      <w:pPr>
        <w:numPr>
          <w:ilvl w:val="0"/>
          <w:numId w:val="0"/>
        </w:numPr>
        <w:ind w:leftChars="0"/>
        <w:rPr>
          <w:rFonts w:hint="eastAsia"/>
          <w:b w:val="0"/>
          <w:bCs w:val="0"/>
          <w:color w:val="auto"/>
          <w:highlight w:val="none"/>
          <w:lang w:val="en-US" w:eastAsia="zh-CN"/>
        </w:rPr>
      </w:pPr>
      <w:r>
        <w:rPr>
          <w:rFonts w:hint="eastAsia" w:ascii="Times New Roman" w:hAnsi="Times New Roman" w:cs="Times New Roman"/>
          <w:b/>
          <w:bCs/>
          <w:color w:val="auto"/>
          <w:highlight w:val="none"/>
          <w:lang w:val="en-US" w:eastAsia="zh-CN"/>
        </w:rPr>
        <w:t>5.3.3</w:t>
      </w:r>
      <w:r>
        <w:rPr>
          <w:rFonts w:hint="eastAsia"/>
          <w:b w:val="0"/>
          <w:bCs w:val="0"/>
          <w:color w:val="auto"/>
          <w:highlight w:val="none"/>
          <w:lang w:val="en-US" w:eastAsia="zh-CN"/>
        </w:rPr>
        <w:t xml:space="preserve"> </w:t>
      </w:r>
      <w:r>
        <w:rPr>
          <w:rFonts w:hint="eastAsia"/>
          <w:b w:val="0"/>
          <w:bCs w:val="0"/>
          <w:color w:val="auto"/>
          <w:highlight w:val="none"/>
          <w:lang w:val="en-US" w:eastAsia="zh"/>
          <w:woUserID w:val="4"/>
        </w:rPr>
        <w:t>康复</w:t>
      </w:r>
      <w:r>
        <w:rPr>
          <w:rFonts w:hint="eastAsia"/>
          <w:b w:val="0"/>
          <w:bCs w:val="0"/>
          <w:color w:val="auto"/>
          <w:highlight w:val="none"/>
          <w:lang w:val="en-US" w:eastAsia="zh-CN"/>
        </w:rPr>
        <w:t>用房中的保健室、康复室和心理健康咨询治疗室等，应符合下列规定：</w:t>
      </w:r>
    </w:p>
    <w:p w14:paraId="5E30398F">
      <w:pPr>
        <w:numPr>
          <w:ilvl w:val="-1"/>
          <w:numId w:val="0"/>
        </w:numPr>
        <w:bidi w:val="0"/>
        <w:ind w:left="0" w:leftChars="0" w:firstLine="422" w:firstLineChars="200"/>
        <w:rPr>
          <w:rFonts w:hint="eastAsia"/>
          <w:color w:val="auto"/>
          <w:highlight w:val="none"/>
        </w:rPr>
      </w:pPr>
      <w:r>
        <w:rPr>
          <w:rFonts w:hint="eastAsia"/>
          <w:b/>
          <w:bCs/>
          <w:color w:val="auto"/>
          <w:highlight w:val="none"/>
          <w:lang w:val="en-US" w:eastAsia="zh-CN"/>
        </w:rPr>
        <w:t>1</w:t>
      </w:r>
      <w:r>
        <w:rPr>
          <w:color w:val="auto"/>
          <w:highlight w:val="none"/>
        </w:rPr>
        <w:t>保健室、 康复室的地面应平整，表面材料应具弹性</w:t>
      </w:r>
      <w:r>
        <w:rPr>
          <w:rFonts w:hint="eastAsia"/>
          <w:b w:val="0"/>
          <w:bCs w:val="0"/>
          <w:color w:val="auto"/>
          <w:highlight w:val="none"/>
          <w:lang w:val="en-US" w:eastAsia="zh-CN"/>
        </w:rPr>
        <w:t>和保护性</w:t>
      </w:r>
      <w:r>
        <w:rPr>
          <w:color w:val="auto"/>
          <w:highlight w:val="none"/>
        </w:rPr>
        <w:t>，房间</w:t>
      </w:r>
      <w:r>
        <w:rPr>
          <w:rFonts w:hint="eastAsia"/>
          <w:b w:val="0"/>
          <w:bCs w:val="0"/>
          <w:color w:val="auto"/>
          <w:highlight w:val="none"/>
          <w:lang w:val="en-US" w:eastAsia="zh-CN"/>
        </w:rPr>
        <w:t>应有良好的自然通风和采光</w:t>
      </w:r>
      <w:r>
        <w:rPr>
          <w:rFonts w:hint="eastAsia"/>
          <w:color w:val="auto"/>
          <w:highlight w:val="none"/>
        </w:rPr>
        <w:t>，</w:t>
      </w:r>
      <w:r>
        <w:rPr>
          <w:color w:val="auto"/>
          <w:highlight w:val="none"/>
        </w:rPr>
        <w:t>平面布局应适应不同康复设施的使用要求。</w:t>
      </w:r>
    </w:p>
    <w:p w14:paraId="33DC7E59">
      <w:pPr>
        <w:numPr>
          <w:ilvl w:val="-1"/>
          <w:numId w:val="0"/>
        </w:numPr>
        <w:bidi w:val="0"/>
        <w:ind w:left="0" w:leftChars="0" w:firstLine="422" w:firstLineChars="200"/>
        <w:rPr>
          <w:rFonts w:hint="eastAsia"/>
          <w:color w:val="auto"/>
          <w:highlight w:val="none"/>
        </w:rPr>
      </w:pPr>
      <w:r>
        <w:rPr>
          <w:rFonts w:hint="eastAsia"/>
          <w:b/>
          <w:bCs/>
          <w:color w:val="auto"/>
          <w:highlight w:val="none"/>
          <w:lang w:val="en-US" w:eastAsia="zh-CN"/>
        </w:rPr>
        <w:t>2</w:t>
      </w:r>
      <w:r>
        <w:rPr>
          <w:rFonts w:hint="eastAsia"/>
          <w:b w:val="0"/>
          <w:bCs w:val="0"/>
          <w:color w:val="auto"/>
          <w:highlight w:val="none"/>
          <w:lang w:val="en-US" w:eastAsia="zh-CN"/>
        </w:rPr>
        <w:t>保健室、康复室宜设置盥洗盆或盥洗槽。</w:t>
      </w:r>
    </w:p>
    <w:p w14:paraId="18B9D06A">
      <w:pPr>
        <w:numPr>
          <w:ilvl w:val="-1"/>
          <w:numId w:val="0"/>
        </w:numPr>
        <w:bidi w:val="0"/>
        <w:ind w:left="0" w:leftChars="0" w:firstLine="422" w:firstLineChars="200"/>
        <w:rPr>
          <w:rFonts w:hint="eastAsia"/>
          <w:color w:val="auto"/>
          <w:highlight w:val="none"/>
        </w:rPr>
      </w:pPr>
      <w:r>
        <w:rPr>
          <w:rFonts w:hint="eastAsia"/>
          <w:b/>
          <w:bCs/>
          <w:color w:val="auto"/>
          <w:highlight w:val="none"/>
          <w:lang w:val="en-US" w:eastAsia="zh-CN"/>
        </w:rPr>
        <w:t>3</w:t>
      </w:r>
      <w:r>
        <w:rPr>
          <w:rFonts w:hint="eastAsia"/>
          <w:b w:val="0"/>
          <w:bCs w:val="0"/>
          <w:color w:val="auto"/>
          <w:highlight w:val="none"/>
          <w:lang w:val="en-US" w:eastAsia="zh-CN"/>
        </w:rPr>
        <w:t>宜设置心理健康咨询治疗室，</w:t>
      </w:r>
      <w:r>
        <w:rPr>
          <w:color w:val="auto"/>
          <w:highlight w:val="none"/>
        </w:rPr>
        <w:t>使用面积不宜小于10㎡，</w:t>
      </w:r>
      <w:r>
        <w:rPr>
          <w:rFonts w:hint="eastAsia"/>
          <w:b w:val="0"/>
          <w:bCs w:val="0"/>
          <w:color w:val="auto"/>
          <w:highlight w:val="none"/>
          <w:lang w:val="en-US" w:eastAsia="zh-CN"/>
        </w:rPr>
        <w:t>还可根据需要可设置睡眠治疗室。</w:t>
      </w:r>
    </w:p>
    <w:p w14:paraId="7A009DF1">
      <w:pPr>
        <w:numPr>
          <w:ilvl w:val="-1"/>
          <w:numId w:val="0"/>
        </w:numPr>
        <w:bidi w:val="0"/>
        <w:ind w:left="0" w:leftChars="0" w:firstLine="422" w:firstLineChars="200"/>
        <w:rPr>
          <w:rFonts w:hint="eastAsia"/>
          <w:b w:val="0"/>
          <w:bCs w:val="0"/>
          <w:color w:val="auto"/>
          <w:highlight w:val="none"/>
          <w:lang w:val="en-US" w:eastAsia="zh-CN"/>
        </w:rPr>
      </w:pPr>
      <w:r>
        <w:rPr>
          <w:rFonts w:hint="eastAsia"/>
          <w:b/>
          <w:bCs/>
          <w:color w:val="auto"/>
          <w:highlight w:val="none"/>
          <w:lang w:val="en-US" w:eastAsia="zh-CN"/>
        </w:rPr>
        <w:t>4</w:t>
      </w:r>
      <w:r>
        <w:rPr>
          <w:rFonts w:hint="eastAsia"/>
          <w:b w:val="0"/>
          <w:bCs w:val="0"/>
          <w:color w:val="auto"/>
          <w:highlight w:val="none"/>
          <w:lang w:val="en-US" w:eastAsia="zh-CN"/>
        </w:rPr>
        <w:t>保健用房宜集中设置、相对独立。</w:t>
      </w:r>
    </w:p>
    <w:p w14:paraId="587B2883">
      <w:pPr>
        <w:numPr>
          <w:ilvl w:val="0"/>
          <w:numId w:val="0"/>
        </w:numPr>
        <w:ind w:leftChars="0"/>
        <w:rPr>
          <w:rFonts w:hint="eastAsia"/>
          <w:b w:val="0"/>
          <w:bCs w:val="0"/>
          <w:color w:val="auto"/>
          <w:highlight w:val="none"/>
          <w:lang w:val="en-US" w:eastAsia="zh-CN"/>
        </w:rPr>
      </w:pPr>
      <w:r>
        <w:rPr>
          <w:rFonts w:hint="eastAsia" w:ascii="Times New Roman" w:hAnsi="Times New Roman" w:cs="Times New Roman"/>
          <w:b/>
          <w:bCs/>
          <w:color w:val="auto"/>
          <w:highlight w:val="none"/>
          <w:lang w:val="en-US" w:eastAsia="zh-CN"/>
        </w:rPr>
        <w:t xml:space="preserve">5.3.4 </w:t>
      </w:r>
      <w:r>
        <w:rPr>
          <w:rFonts w:hint="eastAsia"/>
          <w:b w:val="0"/>
          <w:bCs w:val="0"/>
          <w:color w:val="auto"/>
          <w:highlight w:val="none"/>
          <w:lang w:val="en-US" w:eastAsia="zh-CN"/>
        </w:rPr>
        <w:t>保健用房可按需求设置室内体疗用房，可按规模、性质选择设置球类场馆、健身</w:t>
      </w:r>
      <w:r>
        <w:rPr>
          <w:rFonts w:hint="eastAsia"/>
          <w:b w:val="0"/>
          <w:bCs w:val="0"/>
          <w:color w:val="auto"/>
          <w:highlight w:val="none"/>
          <w:lang w:val="en-US" w:eastAsia="zh"/>
          <w:woUserID w:val="4"/>
        </w:rPr>
        <w:t>用</w:t>
      </w:r>
      <w:r>
        <w:rPr>
          <w:rFonts w:hint="eastAsia"/>
          <w:b w:val="0"/>
          <w:bCs w:val="0"/>
          <w:color w:val="auto"/>
          <w:highlight w:val="none"/>
          <w:lang w:val="en-US" w:eastAsia="zh-CN"/>
        </w:rPr>
        <w:t>房、气功室、游泳馆(池)等及配套辅助用房。</w:t>
      </w:r>
    </w:p>
    <w:p w14:paraId="21E16FCD">
      <w:pPr>
        <w:numPr>
          <w:ilvl w:val="-1"/>
          <w:numId w:val="0"/>
        </w:numPr>
        <w:tabs>
          <w:tab w:val="left" w:pos="0"/>
        </w:tabs>
        <w:bidi w:val="0"/>
        <w:jc w:val="center"/>
        <w:outlineLvl w:val="1"/>
        <w:rPr>
          <w:rStyle w:val="19"/>
          <w:rFonts w:hint="default" w:ascii="黑体" w:hAnsi="黑体" w:eastAsia="黑体" w:cs="黑体"/>
          <w:color w:val="auto"/>
          <w:sz w:val="28"/>
          <w:szCs w:val="40"/>
          <w:highlight w:val="none"/>
          <w:lang w:val="en-US" w:eastAsia="zh-CN"/>
        </w:rPr>
      </w:pPr>
      <w:r>
        <w:rPr>
          <w:rStyle w:val="19"/>
          <w:rFonts w:hint="eastAsia" w:ascii="Times New Roman" w:hAnsi="Times New Roman" w:eastAsia="宋体" w:cs="Times New Roman"/>
          <w:color w:val="auto"/>
          <w:sz w:val="28"/>
          <w:szCs w:val="40"/>
          <w:highlight w:val="none"/>
          <w:lang w:val="en-US" w:eastAsia="zh-CN"/>
        </w:rPr>
        <w:t>5.4</w:t>
      </w:r>
      <w:r>
        <w:rPr>
          <w:rStyle w:val="19"/>
          <w:rFonts w:hint="eastAsia" w:ascii="黑体" w:hAnsi="黑体" w:eastAsia="黑体" w:cs="黑体"/>
          <w:color w:val="auto"/>
          <w:sz w:val="28"/>
          <w:szCs w:val="40"/>
          <w:highlight w:val="none"/>
          <w:lang w:val="en-US" w:eastAsia="zh-CN"/>
        </w:rPr>
        <w:t xml:space="preserve"> </w:t>
      </w:r>
      <w:r>
        <w:rPr>
          <w:rStyle w:val="19"/>
          <w:rFonts w:hint="eastAsia" w:ascii="黑体" w:hAnsi="黑体" w:eastAsia="黑体" w:cs="黑体"/>
          <w:color w:val="auto"/>
          <w:sz w:val="28"/>
          <w:szCs w:val="40"/>
          <w:highlight w:val="none"/>
          <w:lang w:val="en-US" w:eastAsia="zh"/>
          <w:woUserID w:val="1"/>
        </w:rPr>
        <w:t>文娱与健身用房</w:t>
      </w:r>
      <w:bookmarkEnd w:id="64"/>
      <w:bookmarkEnd w:id="65"/>
    </w:p>
    <w:bookmarkEnd w:id="66"/>
    <w:p w14:paraId="3B95BD1A">
      <w:pPr>
        <w:numPr>
          <w:ilvl w:val="2"/>
          <w:numId w:val="9"/>
        </w:numPr>
        <w:tabs>
          <w:tab w:val="left" w:pos="0"/>
        </w:tabs>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
          <w:woUserID w:val="1"/>
        </w:rPr>
        <w:t>文娱与健身</w:t>
      </w:r>
      <w:r>
        <w:rPr>
          <w:rFonts w:hint="eastAsia"/>
          <w:b w:val="0"/>
          <w:bCs w:val="0"/>
          <w:color w:val="auto"/>
          <w:highlight w:val="none"/>
          <w:lang w:val="en-US" w:eastAsia="zh-CN"/>
        </w:rPr>
        <w:t xml:space="preserve">用房应有良好的天然采光与自然通风条件， 东西向开窗时应采取有效的遮阳措施。 </w:t>
      </w:r>
    </w:p>
    <w:p w14:paraId="0358FDAE">
      <w:pPr>
        <w:numPr>
          <w:ilvl w:val="2"/>
          <w:numId w:val="9"/>
        </w:numPr>
        <w:tabs>
          <w:tab w:val="left" w:pos="0"/>
        </w:tabs>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 xml:space="preserve">活动室的位置应避免对老年人卧室产生干扰，平面及空间形式应适合老年人活动需求，并应满足多功能使用的要求。 </w:t>
      </w:r>
    </w:p>
    <w:p w14:paraId="06534A1E">
      <w:pPr>
        <w:numPr>
          <w:ilvl w:val="2"/>
          <w:numId w:val="9"/>
        </w:numPr>
        <w:tabs>
          <w:tab w:val="left" w:pos="0"/>
        </w:tabs>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 xml:space="preserve">多功能厅宜设置在建筑首层，室内地面应平整并设休息座椅，墙面和顶棚宜做吸声处理，并应邻近设置公用卫生间及储藏间。 </w:t>
      </w:r>
    </w:p>
    <w:p w14:paraId="7BBA5D7A">
      <w:pPr>
        <w:numPr>
          <w:ilvl w:val="2"/>
          <w:numId w:val="9"/>
        </w:numPr>
        <w:tabs>
          <w:tab w:val="left" w:pos="0"/>
        </w:tabs>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严寒、寒冷地区的</w:t>
      </w:r>
      <w:r>
        <w:rPr>
          <w:rFonts w:hint="eastAsia"/>
          <w:b w:val="0"/>
          <w:bCs w:val="0"/>
          <w:color w:val="auto"/>
          <w:highlight w:val="none"/>
          <w:lang w:val="en-US" w:eastAsia="zh"/>
        </w:rPr>
        <w:t>老年人照料设施</w:t>
      </w:r>
      <w:r>
        <w:rPr>
          <w:rFonts w:hint="eastAsia"/>
          <w:b w:val="0"/>
          <w:bCs w:val="0"/>
          <w:color w:val="auto"/>
          <w:highlight w:val="none"/>
          <w:lang w:val="en-US" w:eastAsia="zh-CN"/>
        </w:rPr>
        <w:t>宜设置阳光厅。多雨地区的</w:t>
      </w:r>
      <w:r>
        <w:rPr>
          <w:rFonts w:hint="eastAsia"/>
          <w:b w:val="0"/>
          <w:bCs w:val="0"/>
          <w:color w:val="auto"/>
          <w:highlight w:val="none"/>
          <w:lang w:val="en-US" w:eastAsia="zh"/>
        </w:rPr>
        <w:t>老年人照料设施</w:t>
      </w:r>
      <w:r>
        <w:rPr>
          <w:rFonts w:hint="eastAsia"/>
          <w:b w:val="0"/>
          <w:bCs w:val="0"/>
          <w:color w:val="auto"/>
          <w:highlight w:val="none"/>
          <w:lang w:val="en-US" w:eastAsia="zh-CN"/>
        </w:rPr>
        <w:t>宜设置风雨廊。</w:t>
      </w:r>
    </w:p>
    <w:p w14:paraId="531E2EB4">
      <w:pPr>
        <w:numPr>
          <w:ilvl w:val="0"/>
          <w:numId w:val="0"/>
        </w:numPr>
        <w:jc w:val="center"/>
        <w:outlineLvl w:val="1"/>
        <w:rPr>
          <w:rStyle w:val="19"/>
          <w:rFonts w:hint="default" w:ascii="黑体" w:hAnsi="黑体" w:eastAsia="黑体" w:cs="黑体"/>
          <w:color w:val="auto"/>
          <w:sz w:val="28"/>
          <w:szCs w:val="40"/>
          <w:highlight w:val="none"/>
          <w:lang w:val="en-US" w:eastAsia="zh-CN"/>
        </w:rPr>
      </w:pPr>
      <w:bookmarkStart w:id="67" w:name="_Toc20844"/>
      <w:bookmarkStart w:id="68" w:name="_Toc17967"/>
      <w:bookmarkStart w:id="69" w:name="_Toc14624"/>
      <w:r>
        <w:rPr>
          <w:rStyle w:val="19"/>
          <w:rFonts w:hint="eastAsia" w:ascii="Times New Roman" w:hAnsi="Times New Roman" w:eastAsia="宋体" w:cs="Times New Roman"/>
          <w:color w:val="auto"/>
          <w:sz w:val="28"/>
          <w:szCs w:val="40"/>
          <w:highlight w:val="none"/>
          <w:lang w:val="en-US" w:eastAsia="zh-CN"/>
        </w:rPr>
        <w:t xml:space="preserve">5.5 </w:t>
      </w:r>
      <w:r>
        <w:rPr>
          <w:rStyle w:val="19"/>
          <w:rFonts w:hint="eastAsia" w:ascii="黑体" w:hAnsi="黑体" w:eastAsia="黑体" w:cs="黑体"/>
          <w:color w:val="auto"/>
          <w:sz w:val="28"/>
          <w:szCs w:val="40"/>
          <w:highlight w:val="none"/>
          <w:lang w:val="en-US" w:eastAsia="zh-CN"/>
        </w:rPr>
        <w:t>管理服务用房</w:t>
      </w:r>
      <w:bookmarkEnd w:id="67"/>
      <w:bookmarkEnd w:id="68"/>
    </w:p>
    <w:bookmarkEnd w:id="69"/>
    <w:p w14:paraId="6DC29602">
      <w:pPr>
        <w:numPr>
          <w:ilvl w:val="2"/>
          <w:numId w:val="10"/>
        </w:numPr>
        <w:ind w:left="0" w:leftChars="0" w:hanging="9" w:firstLineChars="0"/>
        <w:rPr>
          <w:rFonts w:hint="eastAsia"/>
          <w:b w:val="0"/>
          <w:bCs w:val="0"/>
          <w:color w:val="auto"/>
          <w:highlight w:val="none"/>
          <w:lang w:val="en-US" w:eastAsia="zh-CN"/>
        </w:rPr>
      </w:pPr>
      <w:r>
        <w:rPr>
          <w:rFonts w:hint="eastAsia"/>
          <w:b w:val="0"/>
          <w:bCs w:val="0"/>
          <w:color w:val="auto"/>
          <w:highlight w:val="none"/>
          <w:lang w:val="en-US" w:eastAsia="zh-CN"/>
        </w:rPr>
        <w:t xml:space="preserve">入住登记室宜设置在主要出入口附近，并应设置醒目标识。 </w:t>
      </w:r>
    </w:p>
    <w:p w14:paraId="6B10A1D9">
      <w:pPr>
        <w:numPr>
          <w:ilvl w:val="2"/>
          <w:numId w:val="10"/>
        </w:numPr>
        <w:ind w:left="0" w:leftChars="0" w:hanging="9" w:firstLineChars="0"/>
        <w:rPr>
          <w:rFonts w:hint="eastAsia"/>
          <w:b w:val="0"/>
          <w:bCs w:val="0"/>
          <w:color w:val="auto"/>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 xml:space="preserve">的总值班室宜靠近建筑主要出入口设置，并应设置建筑设备设施控制系统、呼叫报警系统和电视监控系统。 </w:t>
      </w:r>
    </w:p>
    <w:p w14:paraId="2DFEA97F">
      <w:pPr>
        <w:numPr>
          <w:ilvl w:val="2"/>
          <w:numId w:val="10"/>
        </w:numPr>
        <w:ind w:left="0" w:leftChars="0" w:hanging="9" w:firstLineChars="0"/>
        <w:rPr>
          <w:rFonts w:hint="eastAsia"/>
          <w:b w:val="0"/>
          <w:bCs w:val="0"/>
          <w:color w:val="auto"/>
          <w:highlight w:val="none"/>
          <w:lang w:val="en-US" w:eastAsia="zh-CN"/>
        </w:rPr>
      </w:pPr>
      <w:r>
        <w:rPr>
          <w:rFonts w:hint="eastAsia"/>
          <w:b w:val="0"/>
          <w:bCs w:val="0"/>
          <w:color w:val="auto"/>
          <w:highlight w:val="none"/>
          <w:lang w:val="en-US" w:eastAsia="zh-CN"/>
        </w:rPr>
        <w:t xml:space="preserve">厨房应有供餐车停放及消毒的空间，并应避免噪声和气味对老年人用房的干扰。 </w:t>
      </w:r>
    </w:p>
    <w:p w14:paraId="5794D771">
      <w:pPr>
        <w:numPr>
          <w:ilvl w:val="2"/>
          <w:numId w:val="10"/>
        </w:numPr>
        <w:ind w:left="0" w:leftChars="0" w:hanging="9" w:firstLineChars="0"/>
        <w:rPr>
          <w:rFonts w:hint="eastAsia"/>
          <w:b w:val="0"/>
          <w:bCs w:val="0"/>
          <w:color w:val="auto"/>
          <w:highlight w:val="none"/>
          <w:lang w:val="en-US" w:eastAsia="zh-CN"/>
        </w:rPr>
      </w:pPr>
      <w:r>
        <w:rPr>
          <w:rFonts w:hint="eastAsia"/>
          <w:b w:val="0"/>
          <w:bCs w:val="0"/>
          <w:color w:val="auto"/>
          <w:highlight w:val="none"/>
          <w:lang w:val="en-US" w:eastAsia="zh-CN"/>
        </w:rPr>
        <w:t xml:space="preserve">职工用房宜独立设置，并应合理考虑工作人员休息、活动、洗浴、更衣、就餐的空间需求。 </w:t>
      </w:r>
    </w:p>
    <w:p w14:paraId="6417A287">
      <w:pPr>
        <w:numPr>
          <w:ilvl w:val="2"/>
          <w:numId w:val="10"/>
        </w:numPr>
        <w:ind w:left="0" w:leftChars="0" w:hanging="9" w:firstLineChars="0"/>
        <w:rPr>
          <w:rStyle w:val="19"/>
          <w:rFonts w:hint="eastAsia" w:ascii="Times New Roman" w:hAnsi="Times New Roman" w:eastAsia="宋体" w:cs="Times New Roman"/>
          <w:color w:val="auto"/>
          <w:sz w:val="28"/>
          <w:szCs w:val="40"/>
          <w:highlight w:val="none"/>
          <w:lang w:val="en-US" w:eastAsia="zh-CN"/>
        </w:rPr>
      </w:pPr>
      <w:r>
        <w:rPr>
          <w:rFonts w:hint="eastAsia"/>
          <w:b w:val="0"/>
          <w:bCs w:val="0"/>
          <w:color w:val="auto"/>
          <w:highlight w:val="none"/>
          <w:lang w:val="en-US" w:eastAsia="zh-CN"/>
        </w:rPr>
        <w:t>洗衣房平面布置应洁、污分区，并应满足洗衣、消毒、叠衣、存放等需求。</w:t>
      </w:r>
    </w:p>
    <w:p w14:paraId="430CA980">
      <w:pPr>
        <w:numPr>
          <w:ilvl w:val="0"/>
          <w:numId w:val="0"/>
        </w:numPr>
        <w:jc w:val="center"/>
        <w:outlineLvl w:val="1"/>
        <w:rPr>
          <w:rStyle w:val="19"/>
          <w:rFonts w:hint="default" w:ascii="黑体" w:hAnsi="黑体" w:eastAsia="黑体" w:cs="黑体"/>
          <w:color w:val="auto"/>
          <w:sz w:val="28"/>
          <w:szCs w:val="40"/>
          <w:highlight w:val="none"/>
          <w:lang w:val="en-US" w:eastAsia="zh-CN"/>
        </w:rPr>
      </w:pPr>
      <w:bookmarkStart w:id="70" w:name="_Toc18957"/>
      <w:bookmarkStart w:id="71" w:name="_Toc13847"/>
      <w:bookmarkStart w:id="72" w:name="_Toc29710"/>
      <w:r>
        <w:rPr>
          <w:rStyle w:val="19"/>
          <w:rFonts w:hint="eastAsia" w:ascii="Times New Roman" w:hAnsi="Times New Roman" w:eastAsia="宋体" w:cs="Times New Roman"/>
          <w:color w:val="auto"/>
          <w:sz w:val="28"/>
          <w:szCs w:val="40"/>
          <w:highlight w:val="none"/>
          <w:lang w:val="en-US" w:eastAsia="zh-CN"/>
        </w:rPr>
        <w:t xml:space="preserve">5.6 </w:t>
      </w:r>
      <w:r>
        <w:rPr>
          <w:rStyle w:val="19"/>
          <w:rFonts w:hint="eastAsia" w:ascii="黑体" w:hAnsi="黑体" w:eastAsia="黑体" w:cs="黑体"/>
          <w:color w:val="auto"/>
          <w:sz w:val="28"/>
          <w:szCs w:val="40"/>
          <w:highlight w:val="none"/>
          <w:lang w:val="en-US" w:eastAsia="zh-CN"/>
        </w:rPr>
        <w:t>安全措施</w:t>
      </w:r>
      <w:bookmarkEnd w:id="70"/>
      <w:bookmarkEnd w:id="71"/>
    </w:p>
    <w:bookmarkEnd w:id="72"/>
    <w:p w14:paraId="71884F92">
      <w:pPr>
        <w:numPr>
          <w:ilvl w:val="2"/>
          <w:numId w:val="11"/>
        </w:numPr>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供老年人使用的主出</w:t>
      </w:r>
      <w:r>
        <w:rPr>
          <w:rFonts w:hint="default"/>
          <w:b w:val="0"/>
          <w:bCs w:val="0"/>
          <w:color w:val="auto"/>
          <w:highlight w:val="none"/>
          <w:lang w:val="en-US" w:eastAsia="zh-CN"/>
        </w:rPr>
        <w:t>入口不应少于</w:t>
      </w:r>
      <w:r>
        <w:rPr>
          <w:rFonts w:hint="eastAsia"/>
          <w:b w:val="0"/>
          <w:bCs w:val="0"/>
          <w:color w:val="auto"/>
          <w:highlight w:val="none"/>
          <w:lang w:val="en-US" w:eastAsia="zh-CN"/>
        </w:rPr>
        <w:t>两</w:t>
      </w:r>
      <w:r>
        <w:rPr>
          <w:rFonts w:hint="default"/>
          <w:b w:val="0"/>
          <w:bCs w:val="0"/>
          <w:color w:val="auto"/>
          <w:highlight w:val="none"/>
          <w:lang w:val="en-US" w:eastAsia="zh-CN"/>
        </w:rPr>
        <w:t xml:space="preserve">个，且门应采用向外开启平开门，不应选用旋转门。 </w:t>
      </w:r>
    </w:p>
    <w:p w14:paraId="7C3B8517">
      <w:pPr>
        <w:numPr>
          <w:ilvl w:val="2"/>
          <w:numId w:val="11"/>
        </w:numPr>
        <w:ind w:left="0" w:leftChars="0" w:firstLine="0" w:firstLineChars="0"/>
        <w:outlineLvl w:val="2"/>
        <w:rPr>
          <w:rFonts w:hint="eastAsia"/>
          <w:b w:val="0"/>
          <w:bCs w:val="0"/>
          <w:color w:val="auto"/>
          <w:highlight w:val="none"/>
          <w:lang w:val="en-US" w:eastAsia="zh-CN"/>
        </w:rPr>
      </w:pPr>
      <w:r>
        <w:rPr>
          <w:rFonts w:hint="eastAsia"/>
          <w:b w:val="0"/>
          <w:bCs w:val="0"/>
          <w:color w:val="auto"/>
          <w:highlight w:val="none"/>
          <w:lang w:val="en-US" w:eastAsia="zh"/>
        </w:rPr>
        <w:t>老年人照料设施</w:t>
      </w:r>
      <w:r>
        <w:rPr>
          <w:rFonts w:hint="default"/>
          <w:b w:val="0"/>
          <w:bCs w:val="0"/>
          <w:color w:val="auto"/>
          <w:highlight w:val="none"/>
          <w:lang w:val="en-US" w:eastAsia="zh-CN"/>
        </w:rPr>
        <w:t xml:space="preserve">出入口至机动车道路之间应留有缓冲空间。 </w:t>
      </w:r>
    </w:p>
    <w:p w14:paraId="1E16EE27">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
        </w:rPr>
        <w:t>老年人照料设施</w:t>
      </w:r>
      <w:r>
        <w:rPr>
          <w:rFonts w:hint="default"/>
          <w:b w:val="0"/>
          <w:bCs w:val="0"/>
          <w:color w:val="auto"/>
          <w:highlight w:val="none"/>
          <w:lang w:val="en-US" w:eastAsia="zh-CN"/>
        </w:rPr>
        <w:t xml:space="preserve">的出入口、入口门厅、平台、台阶、坡道等应符合下列规定： </w:t>
      </w:r>
    </w:p>
    <w:p w14:paraId="08EC5F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主要入口门厅处宜设休息座椅和无障碍休息区； </w:t>
      </w:r>
    </w:p>
    <w:p w14:paraId="5CBD1A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出入口内外及平台应设安全照明； </w:t>
      </w:r>
    </w:p>
    <w:p w14:paraId="5BC6E8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台阶和坡道的设置应与人流方向一致，避免迂绕； </w:t>
      </w:r>
    </w:p>
    <w:p w14:paraId="7FC19E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主要出入口上部应设雨篷，其深度超过台阶外缘不宜小于1m，雨篷应做有组织排水； </w:t>
      </w:r>
    </w:p>
    <w:p w14:paraId="1F07DD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出入口处的平台与建筑室外地坪高差不宜大于500mm，并应采用缓步台阶和坡道过渡；缓步台阶踢面高度不宜大于130mm，</w:t>
      </w:r>
      <w:r>
        <w:rPr>
          <w:rFonts w:hint="eastAsia" w:asciiTheme="minorEastAsia" w:hAnsiTheme="minorEastAsia" w:eastAsiaTheme="minorEastAsia" w:cstheme="minorEastAsia"/>
          <w:b w:val="0"/>
          <w:bCs w:val="0"/>
          <w:color w:val="auto"/>
          <w:sz w:val="21"/>
          <w:szCs w:val="21"/>
          <w:highlight w:val="none"/>
          <w:lang w:val="en-US" w:eastAsia="zh-CN"/>
        </w:rPr>
        <w:t>踏面宽度不宜小于350mm；坡道坡度应符合无障碍规范相关要求</w:t>
      </w:r>
      <w:r>
        <w:rPr>
          <w:rFonts w:hint="eastAsia" w:asciiTheme="minorEastAsia" w:hAnsiTheme="minorEastAsia" w:cstheme="minorEastAsia"/>
          <w:b w:val="0"/>
          <w:bCs w:val="0"/>
          <w:color w:val="auto"/>
          <w:sz w:val="21"/>
          <w:szCs w:val="21"/>
          <w:highlight w:val="none"/>
          <w:lang w:val="en-US" w:eastAsia="zh-CN"/>
        </w:rPr>
        <w:t>；</w:t>
      </w:r>
    </w:p>
    <w:p w14:paraId="58B0C5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6</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eastAsiaTheme="minorEastAsia" w:cstheme="minorEastAsia"/>
          <w:color w:val="auto"/>
          <w:sz w:val="21"/>
          <w:szCs w:val="21"/>
          <w:highlight w:val="none"/>
          <w:lang w:val="en-US" w:eastAsia="zh-CN"/>
        </w:rPr>
        <w:t>台阶的有效宽度不应小于1.50m；当台阶宽度大于3m时，中间宜加设安全扶手；三级及三级以上的台阶应在两侧设置扶手；当坡道与台阶结合时，坡道有效宽度不应小于1.20 m</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有条件时应尽可能采用平坡出入口，</w:t>
      </w:r>
      <w:r>
        <w:rPr>
          <w:rFonts w:hint="eastAsia" w:asciiTheme="minorEastAsia" w:hAnsiTheme="minorEastAsia" w:cstheme="minorEastAsia"/>
          <w:color w:val="auto"/>
          <w:sz w:val="21"/>
          <w:szCs w:val="21"/>
          <w:highlight w:val="none"/>
          <w:lang w:val="en-US" w:eastAsia="zh"/>
          <w:woUserID w:val="1"/>
        </w:rPr>
        <w:t>平坡出入口的地面坡度不应大于1/20，有条件时不宜大于1/30，</w:t>
      </w:r>
      <w:r>
        <w:rPr>
          <w:rFonts w:hint="default" w:asciiTheme="minorEastAsia" w:hAnsiTheme="minorEastAsia" w:eastAsiaTheme="minorEastAsia" w:cstheme="minorEastAsia"/>
          <w:color w:val="auto"/>
          <w:sz w:val="21"/>
          <w:szCs w:val="21"/>
          <w:highlight w:val="none"/>
          <w:lang w:val="en-US" w:eastAsia="zh-CN"/>
        </w:rPr>
        <w:t xml:space="preserve">且坡道应作防滑处理。 </w:t>
      </w:r>
    </w:p>
    <w:p w14:paraId="04497726">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公共走道两侧应设扶手，并宜保持连续。扶手高度上层850mm-900mm；设双层扶手时，上层扶手高度应为850mm--900mm，下层扶手高度应为650mm-700mm。</w:t>
      </w:r>
      <w:r>
        <w:rPr>
          <w:rFonts w:hint="default"/>
          <w:b w:val="0"/>
          <w:bCs w:val="0"/>
          <w:color w:val="auto"/>
          <w:highlight w:val="none"/>
          <w:lang w:val="en-US" w:eastAsia="zh-CN"/>
        </w:rPr>
        <w:t>安全</w:t>
      </w:r>
      <w:r>
        <w:rPr>
          <w:rFonts w:hint="default" w:asciiTheme="minorEastAsia" w:hAnsiTheme="minorEastAsia" w:eastAsiaTheme="minorEastAsia" w:cstheme="minorEastAsia"/>
          <w:color w:val="auto"/>
          <w:sz w:val="21"/>
          <w:szCs w:val="21"/>
          <w:highlight w:val="none"/>
          <w:lang w:val="en-US" w:eastAsia="zh-CN"/>
        </w:rPr>
        <w:t>扶手直径宜为30mm～</w:t>
      </w:r>
      <w:r>
        <w:rPr>
          <w:rFonts w:hint="eastAsia" w:asciiTheme="minorEastAsia" w:hAnsiTheme="minorEastAsia" w:eastAsiaTheme="minorEastAsia" w:cstheme="minorEastAsia"/>
          <w:color w:val="auto"/>
          <w:sz w:val="21"/>
          <w:szCs w:val="21"/>
          <w:highlight w:val="none"/>
          <w:lang w:val="en-US" w:eastAsia="zh-CN"/>
        </w:rPr>
        <w:t>50</w:t>
      </w:r>
      <w:r>
        <w:rPr>
          <w:rFonts w:hint="default" w:asciiTheme="minorEastAsia" w:hAnsiTheme="minorEastAsia" w:eastAsiaTheme="minorEastAsia" w:cstheme="minorEastAsia"/>
          <w:color w:val="auto"/>
          <w:sz w:val="21"/>
          <w:szCs w:val="21"/>
          <w:highlight w:val="none"/>
          <w:lang w:val="en-US" w:eastAsia="zh-CN"/>
        </w:rPr>
        <w:t xml:space="preserve">mm，且宜采用木质扶手，在有水和蒸汽的潮湿环境时，截面尺寸应取下限值；扶手设置应符合《无障碍设计规范》GB50763的相关要求； </w:t>
      </w:r>
    </w:p>
    <w:p w14:paraId="20CEA9C6">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color w:val="auto"/>
          <w:highlight w:val="none"/>
          <w:lang w:val="en-US" w:eastAsia="zh-CN"/>
        </w:rPr>
      </w:pPr>
      <w:bookmarkStart w:id="73" w:name="_Toc8112"/>
      <w:bookmarkStart w:id="74" w:name="_Toc21975"/>
      <w:r>
        <w:rPr>
          <w:rFonts w:hint="default"/>
          <w:b w:val="0"/>
          <w:bCs w:val="0"/>
          <w:color w:val="auto"/>
          <w:highlight w:val="none"/>
          <w:lang w:val="en-US" w:eastAsia="zh-CN"/>
        </w:rPr>
        <w:t>供老年人使用的楼梯应符合下列规定：</w:t>
      </w:r>
      <w:bookmarkEnd w:id="73"/>
      <w:bookmarkEnd w:id="74"/>
    </w:p>
    <w:p w14:paraId="51BA53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woUserID w:val="1"/>
        </w:rPr>
      </w:pPr>
      <w:r>
        <w:rPr>
          <w:rFonts w:hint="eastAsia" w:asciiTheme="minorEastAsia" w:hAnsiTheme="minorEastAsia" w:cstheme="minorEastAsia"/>
          <w:b/>
          <w:bCs/>
          <w:color w:val="auto"/>
          <w:sz w:val="21"/>
          <w:szCs w:val="21"/>
          <w:highlight w:val="none"/>
          <w:lang w:val="en-US" w:eastAsia="zh-CN"/>
          <w:woUserID w:val="1"/>
        </w:rPr>
        <w:t>1</w:t>
      </w:r>
      <w:r>
        <w:rPr>
          <w:rFonts w:hint="eastAsia" w:asciiTheme="minorEastAsia" w:hAnsiTheme="minorEastAsia" w:cstheme="minorEastAsia"/>
          <w:color w:val="auto"/>
          <w:sz w:val="21"/>
          <w:szCs w:val="21"/>
          <w:highlight w:val="none"/>
          <w:lang w:val="en-US" w:eastAsia="zh-CN"/>
          <w:woUserID w:val="1"/>
        </w:rPr>
        <w:t xml:space="preserve"> </w:t>
      </w:r>
      <w:r>
        <w:rPr>
          <w:rFonts w:hint="eastAsia" w:asciiTheme="minorEastAsia" w:hAnsiTheme="minorEastAsia" w:eastAsiaTheme="minorEastAsia" w:cstheme="minorEastAsia"/>
          <w:color w:val="auto"/>
          <w:sz w:val="21"/>
          <w:szCs w:val="21"/>
          <w:highlight w:val="none"/>
          <w:lang w:val="en-US" w:eastAsia="zh-CN"/>
          <w:woUserID w:val="1"/>
        </w:rPr>
        <w:t xml:space="preserve">楼梯间应便于老年人通行，不应采用扇形踏步，不应在楼梯平台区内设置踏步；主楼梯梯段净宽不应小于1.65 m，平台区深度不应小于2 m，其他楼梯通行净宽不应小于 1.20 m； </w:t>
      </w:r>
    </w:p>
    <w:p w14:paraId="7662A0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outlineLvl w:val="0"/>
        <w:rPr>
          <w:rFonts w:hint="eastAsia" w:asciiTheme="minorEastAsia" w:hAnsiTheme="minorEastAsia" w:eastAsiaTheme="minorEastAsia" w:cstheme="minorEastAsia"/>
          <w:color w:val="auto"/>
          <w:sz w:val="21"/>
          <w:szCs w:val="21"/>
          <w:highlight w:val="none"/>
          <w:lang w:val="en-US" w:eastAsia="zh-CN"/>
          <w:woUserID w:val="1"/>
        </w:rPr>
      </w:pPr>
      <w:r>
        <w:rPr>
          <w:rFonts w:hint="eastAsia" w:asciiTheme="minorEastAsia" w:hAnsiTheme="minorEastAsia" w:cstheme="minorEastAsia"/>
          <w:b/>
          <w:bCs/>
          <w:color w:val="auto"/>
          <w:sz w:val="21"/>
          <w:szCs w:val="21"/>
          <w:highlight w:val="none"/>
          <w:lang w:val="en-US" w:eastAsia="zh-CN"/>
          <w:woUserID w:val="1"/>
        </w:rPr>
        <w:t>2</w:t>
      </w:r>
      <w:r>
        <w:rPr>
          <w:rFonts w:hint="eastAsia" w:asciiTheme="minorEastAsia" w:hAnsiTheme="minorEastAsia" w:cstheme="minorEastAsia"/>
          <w:color w:val="auto"/>
          <w:sz w:val="21"/>
          <w:szCs w:val="21"/>
          <w:highlight w:val="none"/>
          <w:lang w:val="en-US" w:eastAsia="zh-CN"/>
          <w:woUserID w:val="1"/>
        </w:rPr>
        <w:t xml:space="preserve"> </w:t>
      </w:r>
      <w:r>
        <w:rPr>
          <w:rFonts w:hint="eastAsia" w:asciiTheme="minorEastAsia" w:hAnsiTheme="minorEastAsia" w:eastAsiaTheme="minorEastAsia" w:cstheme="minorEastAsia"/>
          <w:color w:val="auto"/>
          <w:sz w:val="21"/>
          <w:szCs w:val="21"/>
          <w:highlight w:val="none"/>
          <w:lang w:val="en-US" w:eastAsia="zh-CN"/>
          <w:woUserID w:val="1"/>
        </w:rPr>
        <w:t xml:space="preserve">踏步前缘应相互平行等距，踏面下方不得透空； </w:t>
      </w:r>
    </w:p>
    <w:p w14:paraId="337762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woUserID w:val="1"/>
        </w:rPr>
      </w:pPr>
      <w:r>
        <w:rPr>
          <w:rFonts w:hint="eastAsia" w:asciiTheme="minorEastAsia" w:hAnsiTheme="minorEastAsia" w:cstheme="minorEastAsia"/>
          <w:b/>
          <w:bCs/>
          <w:color w:val="auto"/>
          <w:sz w:val="21"/>
          <w:szCs w:val="21"/>
          <w:highlight w:val="none"/>
          <w:lang w:val="en-US" w:eastAsia="zh-CN"/>
          <w:woUserID w:val="1"/>
        </w:rPr>
        <w:t>3</w:t>
      </w:r>
      <w:r>
        <w:rPr>
          <w:rFonts w:hint="eastAsia" w:asciiTheme="minorEastAsia" w:hAnsiTheme="minorEastAsia" w:cstheme="minorEastAsia"/>
          <w:color w:val="auto"/>
          <w:sz w:val="21"/>
          <w:szCs w:val="21"/>
          <w:highlight w:val="none"/>
          <w:lang w:val="en-US" w:eastAsia="zh-CN"/>
          <w:woUserID w:val="1"/>
        </w:rPr>
        <w:t xml:space="preserve"> </w:t>
      </w:r>
      <w:r>
        <w:rPr>
          <w:rFonts w:hint="eastAsia" w:asciiTheme="minorEastAsia" w:hAnsiTheme="minorEastAsia" w:eastAsiaTheme="minorEastAsia" w:cstheme="minorEastAsia"/>
          <w:color w:val="auto"/>
          <w:sz w:val="21"/>
          <w:szCs w:val="21"/>
          <w:highlight w:val="none"/>
          <w:lang w:val="en-US" w:eastAsia="zh-CN"/>
          <w:woUserID w:val="1"/>
        </w:rPr>
        <w:t xml:space="preserve">楼梯宜采用缓坡楼梯 ；缓坡楼梯踏面宽度宜为320mm～330mm，踢面高度宜为120mm～130mm； </w:t>
      </w:r>
    </w:p>
    <w:p w14:paraId="21B978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woUserID w:val="1"/>
        </w:rPr>
      </w:pPr>
      <w:r>
        <w:rPr>
          <w:rFonts w:hint="eastAsia" w:asciiTheme="minorEastAsia" w:hAnsiTheme="minorEastAsia" w:cstheme="minorEastAsia"/>
          <w:b/>
          <w:bCs/>
          <w:color w:val="auto"/>
          <w:sz w:val="21"/>
          <w:szCs w:val="21"/>
          <w:highlight w:val="none"/>
          <w:lang w:val="en-US" w:eastAsia="zh-CN"/>
          <w:woUserID w:val="1"/>
        </w:rPr>
        <w:t>4</w:t>
      </w:r>
      <w:r>
        <w:rPr>
          <w:rFonts w:hint="eastAsia" w:asciiTheme="minorEastAsia" w:hAnsiTheme="minorEastAsia" w:cstheme="minorEastAsia"/>
          <w:color w:val="auto"/>
          <w:sz w:val="21"/>
          <w:szCs w:val="21"/>
          <w:highlight w:val="none"/>
          <w:lang w:val="en-US" w:eastAsia="zh-CN"/>
          <w:woUserID w:val="1"/>
        </w:rPr>
        <w:t xml:space="preserve"> </w:t>
      </w:r>
      <w:r>
        <w:rPr>
          <w:rFonts w:hint="eastAsia" w:asciiTheme="minorEastAsia" w:hAnsiTheme="minorEastAsia" w:eastAsiaTheme="minorEastAsia" w:cstheme="minorEastAsia"/>
          <w:color w:val="auto"/>
          <w:sz w:val="21"/>
          <w:szCs w:val="21"/>
          <w:highlight w:val="none"/>
          <w:lang w:val="en-US" w:eastAsia="zh-CN"/>
          <w:woUserID w:val="1"/>
        </w:rPr>
        <w:t xml:space="preserve">踏面前缘宜设置高度不大于3mm的异色防滑警示条；踏面前缘向前凸出不应大于 10mm； </w:t>
      </w:r>
    </w:p>
    <w:p w14:paraId="3B8C9D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woUserID w:val="1"/>
        </w:rPr>
      </w:pPr>
      <w:r>
        <w:rPr>
          <w:rFonts w:hint="eastAsia" w:asciiTheme="minorEastAsia" w:hAnsiTheme="minorEastAsia" w:cstheme="minorEastAsia"/>
          <w:b/>
          <w:bCs/>
          <w:color w:val="auto"/>
          <w:sz w:val="21"/>
          <w:szCs w:val="21"/>
          <w:highlight w:val="none"/>
          <w:lang w:val="en-US" w:eastAsia="zh-CN"/>
          <w:woUserID w:val="1"/>
        </w:rPr>
        <w:t xml:space="preserve">5 </w:t>
      </w:r>
      <w:r>
        <w:rPr>
          <w:rFonts w:hint="eastAsia" w:asciiTheme="minorEastAsia" w:hAnsiTheme="minorEastAsia" w:eastAsiaTheme="minorEastAsia" w:cstheme="minorEastAsia"/>
          <w:color w:val="auto"/>
          <w:sz w:val="21"/>
          <w:szCs w:val="21"/>
          <w:highlight w:val="none"/>
          <w:lang w:val="en-US" w:eastAsia="zh-CN"/>
          <w:woUserID w:val="1"/>
        </w:rPr>
        <w:t xml:space="preserve">楼梯踏步与走廊地面对接处应用不同颜色区分，并应设有提示照明； </w:t>
      </w:r>
    </w:p>
    <w:p w14:paraId="2EC047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outlineLvl w:val="0"/>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woUserID w:val="1"/>
        </w:rPr>
        <w:t>6</w:t>
      </w:r>
      <w:r>
        <w:rPr>
          <w:rFonts w:hint="eastAsia" w:asciiTheme="minorEastAsia" w:hAnsiTheme="minorEastAsia" w:cstheme="minorEastAsia"/>
          <w:color w:val="auto"/>
          <w:sz w:val="21"/>
          <w:szCs w:val="21"/>
          <w:highlight w:val="none"/>
          <w:lang w:val="en-US" w:eastAsia="zh-CN"/>
          <w:woUserID w:val="1"/>
        </w:rPr>
        <w:t xml:space="preserve"> </w:t>
      </w:r>
      <w:r>
        <w:rPr>
          <w:rFonts w:hint="eastAsia" w:asciiTheme="minorEastAsia" w:hAnsiTheme="minorEastAsia" w:eastAsiaTheme="minorEastAsia" w:cstheme="minorEastAsia"/>
          <w:color w:val="auto"/>
          <w:sz w:val="21"/>
          <w:szCs w:val="21"/>
          <w:highlight w:val="none"/>
          <w:lang w:val="en-US" w:eastAsia="zh-CN"/>
          <w:woUserID w:val="1"/>
        </w:rPr>
        <w:t xml:space="preserve">楼梯应设双侧扶手，扶手应伸入平台300mm。 </w:t>
      </w:r>
      <w:r>
        <w:rPr>
          <w:rFonts w:hint="default"/>
          <w:b w:val="0"/>
          <w:bCs w:val="0"/>
          <w:color w:val="auto"/>
          <w:highlight w:val="none"/>
          <w:lang w:val="en-US" w:eastAsia="zh-CN"/>
        </w:rPr>
        <w:t xml:space="preserve"> </w:t>
      </w:r>
    </w:p>
    <w:p w14:paraId="6C9D608E">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b w:val="0"/>
          <w:bCs w:val="0"/>
          <w:color w:val="auto"/>
          <w:highlight w:val="none"/>
          <w:lang w:val="en-US" w:eastAsia="zh-CN"/>
        </w:rPr>
      </w:pPr>
      <w:r>
        <w:rPr>
          <w:rFonts w:hint="eastAsia"/>
          <w:color w:val="auto"/>
          <w:highlight w:val="none"/>
          <w:lang w:val="en-US" w:eastAsia="zh"/>
          <w:woUserID w:val="1"/>
        </w:rPr>
        <w:t xml:space="preserve"> </w:t>
      </w:r>
      <w:bookmarkStart w:id="75" w:name="_Toc27008"/>
      <w:bookmarkStart w:id="76" w:name="_Toc21996"/>
      <w:r>
        <w:rPr>
          <w:rFonts w:hint="default"/>
          <w:b w:val="0"/>
          <w:bCs w:val="0"/>
          <w:color w:val="auto"/>
          <w:highlight w:val="none"/>
          <w:lang w:val="en-US" w:eastAsia="zh-CN"/>
        </w:rPr>
        <w:t>普通电梯应符合下列规定：</w:t>
      </w:r>
      <w:bookmarkEnd w:id="75"/>
      <w:bookmarkEnd w:id="76"/>
      <w:r>
        <w:rPr>
          <w:rFonts w:hint="default"/>
          <w:b w:val="0"/>
          <w:bCs w:val="0"/>
          <w:color w:val="auto"/>
          <w:highlight w:val="none"/>
          <w:lang w:val="en-US" w:eastAsia="zh-CN"/>
        </w:rPr>
        <w:t xml:space="preserve"> </w:t>
      </w:r>
    </w:p>
    <w:p w14:paraId="2A87E3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eastAsiaTheme="minorEastAsia" w:cstheme="minorEastAsia"/>
          <w:color w:val="auto"/>
          <w:sz w:val="21"/>
          <w:szCs w:val="21"/>
          <w:highlight w:val="none"/>
          <w:lang w:val="en-US" w:eastAsia="zh-CN"/>
        </w:rPr>
        <w:t xml:space="preserve">电梯门洞的净宽度不宜小于0.90 m，选层按钮和呼叫按钮高度宜为0.90m～1.10m，电梯入口处宜设提示盲道； </w:t>
      </w:r>
    </w:p>
    <w:p w14:paraId="20B448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eastAsiaTheme="minorEastAsia" w:cstheme="minorEastAsia"/>
          <w:color w:val="auto"/>
          <w:sz w:val="21"/>
          <w:szCs w:val="21"/>
          <w:highlight w:val="none"/>
          <w:lang w:val="en-US" w:eastAsia="zh-CN"/>
        </w:rPr>
        <w:t>电梯轿厢门开启的净宽度不应小于0.80m，轿厢内应设监控及对讲系统，内壁</w:t>
      </w:r>
      <w:r>
        <w:rPr>
          <w:rFonts w:hint="eastAsia" w:asciiTheme="minorEastAsia" w:hAnsiTheme="minorEastAsia" w:eastAsiaTheme="minorEastAsia" w:cstheme="minorEastAsia"/>
          <w:color w:val="auto"/>
          <w:sz w:val="21"/>
          <w:szCs w:val="21"/>
          <w:highlight w:val="none"/>
          <w:lang w:val="en-US" w:eastAsia="zh-CN"/>
        </w:rPr>
        <w:t>两侧</w:t>
      </w:r>
      <w:r>
        <w:rPr>
          <w:rFonts w:hint="default" w:asciiTheme="minorEastAsia" w:hAnsiTheme="minorEastAsia" w:eastAsiaTheme="minorEastAsia" w:cstheme="minorEastAsia"/>
          <w:color w:val="auto"/>
          <w:sz w:val="21"/>
          <w:szCs w:val="21"/>
          <w:highlight w:val="none"/>
          <w:lang w:val="en-US" w:eastAsia="zh-CN"/>
        </w:rPr>
        <w:t xml:space="preserve">应设有安全扶手； </w:t>
      </w:r>
    </w:p>
    <w:p w14:paraId="047AEC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eastAsiaTheme="minorEastAsia" w:cstheme="minorEastAsia"/>
          <w:color w:val="auto"/>
          <w:sz w:val="21"/>
          <w:szCs w:val="21"/>
          <w:highlight w:val="none"/>
          <w:lang w:val="en-US" w:eastAsia="zh-CN"/>
        </w:rPr>
        <w:t xml:space="preserve">电梯运行速度不宜大于1.50m/s，电梯门应采用缓慢关闭程序设定或加装感应装置； </w:t>
      </w:r>
    </w:p>
    <w:p w14:paraId="002747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eastAsiaTheme="minorEastAsia" w:cstheme="minorEastAsia"/>
          <w:color w:val="auto"/>
          <w:sz w:val="21"/>
          <w:szCs w:val="21"/>
          <w:highlight w:val="none"/>
          <w:lang w:val="en-US" w:eastAsia="zh-CN"/>
        </w:rPr>
        <w:t>医</w:t>
      </w:r>
      <w:r>
        <w:rPr>
          <w:rFonts w:hint="eastAsia" w:asciiTheme="minorEastAsia" w:hAnsiTheme="minorEastAsia" w:cstheme="minorEastAsia"/>
          <w:color w:val="auto"/>
          <w:sz w:val="21"/>
          <w:szCs w:val="21"/>
          <w:highlight w:val="none"/>
          <w:lang w:val="en-US" w:eastAsia="zh"/>
          <w:woUserID w:val="1"/>
        </w:rPr>
        <w:t>用</w:t>
      </w:r>
      <w:r>
        <w:rPr>
          <w:rFonts w:hint="default" w:asciiTheme="minorEastAsia" w:hAnsiTheme="minorEastAsia" w:eastAsiaTheme="minorEastAsia" w:cstheme="minorEastAsia"/>
          <w:color w:val="auto"/>
          <w:sz w:val="21"/>
          <w:szCs w:val="21"/>
          <w:highlight w:val="none"/>
          <w:lang w:val="en-US" w:eastAsia="zh-CN"/>
        </w:rPr>
        <w:t>电梯应按现行行业标准《综合医院建筑设计</w:t>
      </w:r>
      <w:r>
        <w:rPr>
          <w:rFonts w:hint="eastAsia" w:asciiTheme="minorEastAsia" w:hAnsiTheme="minorEastAsia" w:cstheme="minorEastAsia"/>
          <w:color w:val="auto"/>
          <w:sz w:val="21"/>
          <w:szCs w:val="21"/>
          <w:highlight w:val="none"/>
          <w:lang w:val="en-US" w:eastAsia="zh-CN"/>
        </w:rPr>
        <w:t>标准</w:t>
      </w:r>
      <w:r>
        <w:rPr>
          <w:rFonts w:hint="default"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GB51039</w:t>
      </w:r>
      <w:r>
        <w:rPr>
          <w:rFonts w:hint="default" w:asciiTheme="minorEastAsia" w:hAnsiTheme="minorEastAsia" w:eastAsiaTheme="minorEastAsia" w:cstheme="minorEastAsia"/>
          <w:color w:val="auto"/>
          <w:sz w:val="21"/>
          <w:szCs w:val="21"/>
          <w:highlight w:val="none"/>
          <w:lang w:val="en-US" w:eastAsia="zh-CN"/>
        </w:rPr>
        <w:t>执行。</w:t>
      </w:r>
    </w:p>
    <w:p w14:paraId="1CC28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
          <w:woUserID w:val="1"/>
        </w:rPr>
        <w:t>5 电梯门完全开启时间应保持不小于3S。</w:t>
      </w:r>
      <w:r>
        <w:rPr>
          <w:rFonts w:hint="default" w:asciiTheme="minorEastAsia" w:hAnsiTheme="minorEastAsia" w:eastAsiaTheme="minorEastAsia" w:cstheme="minorEastAsia"/>
          <w:color w:val="auto"/>
          <w:sz w:val="21"/>
          <w:szCs w:val="21"/>
          <w:highlight w:val="none"/>
          <w:lang w:val="en-US" w:eastAsia="zh-CN"/>
        </w:rPr>
        <w:t xml:space="preserve"> </w:t>
      </w:r>
    </w:p>
    <w:p w14:paraId="3CE1D78B">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default"/>
          <w:b w:val="0"/>
          <w:bCs w:val="0"/>
          <w:color w:val="auto"/>
          <w:highlight w:val="none"/>
          <w:lang w:val="en-US" w:eastAsia="zh-CN"/>
        </w:rPr>
      </w:pPr>
      <w:r>
        <w:rPr>
          <w:rFonts w:hint="default"/>
          <w:b w:val="0"/>
          <w:bCs w:val="0"/>
          <w:color w:val="auto"/>
          <w:highlight w:val="none"/>
          <w:lang w:val="en-US" w:eastAsia="zh-CN"/>
        </w:rPr>
        <w:t>老年人经过的过厅、走廊、房间等不应设门槛，地面不应有高差，如遇有难以避免的高差时，</w:t>
      </w:r>
      <w:r>
        <w:rPr>
          <w:rFonts w:hint="eastAsia"/>
          <w:b w:val="0"/>
          <w:bCs w:val="0"/>
          <w:color w:val="auto"/>
          <w:highlight w:val="none"/>
          <w:lang w:val="en-US" w:eastAsia="zh-CN"/>
        </w:rPr>
        <w:t>如高差不超过15mm可采用斜坡过度；其余均</w:t>
      </w:r>
      <w:r>
        <w:rPr>
          <w:rFonts w:hint="default"/>
          <w:b w:val="0"/>
          <w:bCs w:val="0"/>
          <w:color w:val="auto"/>
          <w:highlight w:val="none"/>
          <w:lang w:val="en-US" w:eastAsia="zh-CN"/>
        </w:rPr>
        <w:t xml:space="preserve">应采用不大于 1/12的坡面连接过渡，并应有安全提示。在起止处应设异色警示条，邻近处墙面设置安全提示标志及灯光照明提示。如外廊不封闭，应设置防雨水渗入的措施。 </w:t>
      </w:r>
    </w:p>
    <w:p w14:paraId="0CAC8B10">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default"/>
          <w:b w:val="0"/>
          <w:bCs w:val="0"/>
          <w:color w:val="auto"/>
          <w:highlight w:val="none"/>
          <w:lang w:val="en-US" w:eastAsia="zh-CN"/>
        </w:rPr>
      </w:pPr>
      <w:r>
        <w:rPr>
          <w:rFonts w:hint="eastAsia"/>
          <w:b w:val="0"/>
          <w:bCs w:val="0"/>
          <w:color w:val="auto"/>
          <w:highlight w:val="none"/>
          <w:lang w:val="en-US" w:eastAsia="zh"/>
        </w:rPr>
        <w:t>老年人照料设施</w:t>
      </w:r>
      <w:r>
        <w:rPr>
          <w:rFonts w:hint="default"/>
          <w:b w:val="0"/>
          <w:bCs w:val="0"/>
          <w:color w:val="auto"/>
          <w:highlight w:val="none"/>
          <w:lang w:val="en-US" w:eastAsia="zh-CN"/>
        </w:rPr>
        <w:t xml:space="preserve">走廊净宽不应小于1.80m。当采用开放式外廊时，应采取有效的排水及防飘雨措施。固定在走廊墙、立柱上的物体或标牌距地面的高度不应小于2m；当小于2m时，探出部分的宽度不应大于100mm；当探出部分的宽度大于100mm时，其距地面的高度应小于600mm。 </w:t>
      </w:r>
    </w:p>
    <w:p w14:paraId="4684C333">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outlineLvl w:val="1"/>
        <w:rPr>
          <w:rFonts w:hint="eastAsia"/>
          <w:b w:val="0"/>
          <w:bCs w:val="0"/>
          <w:color w:val="auto"/>
          <w:highlight w:val="none"/>
          <w:lang w:val="en-US" w:eastAsia="zh-CN"/>
        </w:rPr>
      </w:pPr>
      <w:bookmarkStart w:id="77" w:name="_Toc27367"/>
      <w:bookmarkStart w:id="78" w:name="_Toc7309"/>
      <w:r>
        <w:rPr>
          <w:rFonts w:hint="eastAsia"/>
          <w:b w:val="0"/>
          <w:bCs w:val="0"/>
          <w:color w:val="auto"/>
          <w:highlight w:val="none"/>
          <w:lang w:val="en-US" w:eastAsia="zh-CN"/>
        </w:rPr>
        <w:t>老年人使用的门，开启净宽应符合下列规定：</w:t>
      </w:r>
      <w:bookmarkEnd w:id="77"/>
      <w:bookmarkEnd w:id="78"/>
    </w:p>
    <w:p w14:paraId="6C063C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 xml:space="preserve"> 新建和扩建的门开启后的通行</w:t>
      </w:r>
      <w:r>
        <w:rPr>
          <w:rFonts w:hint="eastAsia" w:asciiTheme="minorEastAsia" w:hAnsiTheme="minorEastAsia" w:eastAsiaTheme="minorEastAsia" w:cstheme="minorEastAsia"/>
          <w:color w:val="auto"/>
          <w:sz w:val="21"/>
          <w:szCs w:val="21"/>
          <w:highlight w:val="none"/>
          <w:lang w:val="en-US" w:eastAsia="zh-CN"/>
        </w:rPr>
        <w:t>净宽不应小于0.</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0m，</w:t>
      </w:r>
      <w:r>
        <w:rPr>
          <w:rFonts w:hint="eastAsia" w:asciiTheme="minorEastAsia" w:hAnsiTheme="minorEastAsia" w:cstheme="minorEastAsia"/>
          <w:color w:val="auto"/>
          <w:sz w:val="21"/>
          <w:szCs w:val="21"/>
          <w:highlight w:val="none"/>
          <w:lang w:val="en-US" w:eastAsia="zh-CN"/>
        </w:rPr>
        <w:t>既有建筑改造或改建的门开启后的通行净宽不应小于0.80m，</w:t>
      </w:r>
      <w:r>
        <w:rPr>
          <w:rFonts w:hint="eastAsia" w:asciiTheme="minorEastAsia" w:hAnsiTheme="minorEastAsia" w:eastAsiaTheme="minorEastAsia" w:cstheme="minorEastAsia"/>
          <w:color w:val="auto"/>
          <w:sz w:val="21"/>
          <w:szCs w:val="21"/>
          <w:highlight w:val="none"/>
          <w:lang w:val="en-US" w:eastAsia="zh-CN"/>
        </w:rPr>
        <w:t>护理型床位居室的门开启净宽不应小于1.1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m</w:t>
      </w:r>
      <w:r>
        <w:rPr>
          <w:rFonts w:hint="eastAsia" w:asciiTheme="minorEastAsia" w:hAnsiTheme="minorEastAsia" w:cstheme="minorEastAsia"/>
          <w:color w:val="auto"/>
          <w:sz w:val="21"/>
          <w:szCs w:val="21"/>
          <w:highlight w:val="none"/>
          <w:lang w:val="en-US" w:eastAsia="zh-CN"/>
        </w:rPr>
        <w:t>；</w:t>
      </w:r>
    </w:p>
    <w:p w14:paraId="7C3459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outlineLvl w:val="0"/>
        <w:rPr>
          <w:rFonts w:hint="eastAsia" w:asciiTheme="minorEastAsia" w:hAnsiTheme="minorEastAsia" w:eastAsiaTheme="minorEastAsia" w:cstheme="minorEastAsia"/>
          <w:color w:val="auto"/>
          <w:sz w:val="21"/>
          <w:szCs w:val="21"/>
          <w:highlight w:val="none"/>
          <w:lang w:val="en-US" w:eastAsia="zh-CN"/>
        </w:rPr>
      </w:pPr>
      <w:bookmarkStart w:id="79" w:name="_Toc19179"/>
      <w:bookmarkStart w:id="80" w:name="_Toc29373"/>
      <w:bookmarkStart w:id="81" w:name="_Toc21192"/>
      <w:r>
        <w:rPr>
          <w:rFonts w:hint="eastAsia" w:asciiTheme="minorEastAsia" w:hAnsiTheme="minorEastAsia" w:cstheme="minorEastAsia"/>
          <w:b/>
          <w:bCs/>
          <w:color w:val="auto"/>
          <w:sz w:val="21"/>
          <w:szCs w:val="21"/>
          <w:highlight w:val="none"/>
          <w:lang w:val="en-US" w:eastAsia="zh-CN"/>
        </w:rPr>
        <w:t xml:space="preserve">2 </w:t>
      </w:r>
      <w:r>
        <w:rPr>
          <w:rFonts w:hint="eastAsia" w:asciiTheme="minorEastAsia" w:hAnsiTheme="minorEastAsia" w:eastAsiaTheme="minorEastAsia" w:cstheme="minorEastAsia"/>
          <w:color w:val="auto"/>
          <w:sz w:val="21"/>
          <w:szCs w:val="21"/>
          <w:highlight w:val="none"/>
          <w:lang w:val="en-US" w:eastAsia="zh-CN"/>
        </w:rPr>
        <w:t>建筑主要出入口的门开启净宽不应小于1.1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m</w:t>
      </w:r>
      <w:r>
        <w:rPr>
          <w:rFonts w:hint="eastAsia" w:asciiTheme="minorEastAsia" w:hAnsiTheme="minorEastAsia" w:cstheme="minorEastAsia"/>
          <w:color w:val="auto"/>
          <w:sz w:val="21"/>
          <w:szCs w:val="21"/>
          <w:highlight w:val="none"/>
          <w:lang w:val="en-US" w:eastAsia="zh-CN"/>
        </w:rPr>
        <w:t>；</w:t>
      </w:r>
      <w:bookmarkEnd w:id="79"/>
      <w:bookmarkEnd w:id="80"/>
      <w:bookmarkEnd w:id="81"/>
    </w:p>
    <w:p w14:paraId="66B7E6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含有2个或多个门扇的门，至少应有1个门扇的开启净宽不小于0.8</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m</w:t>
      </w:r>
      <w:r>
        <w:rPr>
          <w:rFonts w:hint="eastAsia" w:asciiTheme="minorEastAsia" w:hAnsiTheme="minorEastAsia" w:cstheme="minorEastAsia"/>
          <w:color w:val="auto"/>
          <w:sz w:val="21"/>
          <w:szCs w:val="21"/>
          <w:highlight w:val="none"/>
          <w:lang w:val="en-US" w:eastAsia="zh-CN"/>
        </w:rPr>
        <w:t>；</w:t>
      </w:r>
    </w:p>
    <w:p w14:paraId="360F17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老年人居室的门应设方便观察的玻璃窗，窗底标高应大于1.4</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m。</w:t>
      </w:r>
    </w:p>
    <w:p w14:paraId="7781A117">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default"/>
          <w:b w:val="0"/>
          <w:bCs w:val="0"/>
          <w:color w:val="auto"/>
          <w:highlight w:val="none"/>
          <w:lang w:val="en-US" w:eastAsia="zh-CN"/>
        </w:rPr>
      </w:pPr>
      <w:r>
        <w:rPr>
          <w:rFonts w:hint="default"/>
          <w:b w:val="0"/>
          <w:bCs w:val="0"/>
          <w:color w:val="auto"/>
          <w:highlight w:val="none"/>
          <w:lang w:val="en-US" w:eastAsia="zh-CN"/>
        </w:rPr>
        <w:t xml:space="preserve">过厅、电梯厅、走廊等宜设置休憩设施，并应留有轮椅停靠的空间。电梯厅兼作消防前室时，应采用不燃材料制作靠墙固定的休息设施，且其水平投影面积不应计入消防前室的规定面积。 </w:t>
      </w:r>
    </w:p>
    <w:p w14:paraId="30A16673">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b w:val="0"/>
          <w:bCs w:val="0"/>
          <w:color w:val="auto"/>
          <w:highlight w:val="none"/>
          <w:lang w:val="en-US" w:eastAsia="zh-CN"/>
        </w:rPr>
        <w:t>顶层阳台上部应设雨篷，雨篷进深不宜小于阳台进深。阳台与居室之间的地面高差</w:t>
      </w:r>
      <w:r>
        <w:rPr>
          <w:rFonts w:hint="eastAsia"/>
          <w:b w:val="0"/>
          <w:bCs w:val="0"/>
          <w:color w:val="auto"/>
          <w:highlight w:val="none"/>
          <w:lang w:val="en-US" w:eastAsia="zh-CN"/>
        </w:rPr>
        <w:t>小于15mm可以斜坡过渡，其余</w:t>
      </w:r>
      <w:r>
        <w:rPr>
          <w:rFonts w:hint="default"/>
          <w:b w:val="0"/>
          <w:bCs w:val="0"/>
          <w:color w:val="auto"/>
          <w:highlight w:val="none"/>
          <w:lang w:val="en-US" w:eastAsia="zh-CN"/>
        </w:rPr>
        <w:t>应做</w:t>
      </w:r>
      <w:r>
        <w:rPr>
          <w:rFonts w:hint="eastAsia"/>
          <w:b w:val="0"/>
          <w:bCs w:val="0"/>
          <w:color w:val="auto"/>
          <w:highlight w:val="none"/>
          <w:lang w:val="en-US" w:eastAsia="zh-CN"/>
        </w:rPr>
        <w:t>坡度1/12</w:t>
      </w:r>
      <w:r>
        <w:rPr>
          <w:rFonts w:hint="default"/>
          <w:b w:val="0"/>
          <w:bCs w:val="0"/>
          <w:color w:val="auto"/>
          <w:highlight w:val="none"/>
          <w:lang w:val="en-US" w:eastAsia="zh-CN"/>
        </w:rPr>
        <w:t xml:space="preserve">缓坡处理。 </w:t>
      </w:r>
    </w:p>
    <w:p w14:paraId="4CAB97F0">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的安全疏散应符合现行国家标准《建筑防火通用规范》GB55037及《建筑设计防火规范》GB50016的规定。</w:t>
      </w:r>
    </w:p>
    <w:p w14:paraId="0695D2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1 </w:t>
      </w:r>
      <w:r>
        <w:rPr>
          <w:rFonts w:hint="eastAsia" w:asciiTheme="minorEastAsia" w:hAnsiTheme="minorEastAsia" w:eastAsiaTheme="minorEastAsia" w:cstheme="minorEastAsia"/>
          <w:color w:val="auto"/>
          <w:sz w:val="21"/>
          <w:szCs w:val="21"/>
          <w:highlight w:val="none"/>
          <w:lang w:val="en-US" w:eastAsia="zh-CN"/>
        </w:rPr>
        <w:t>每个照料单元的用房均不应跨越防火分区。</w:t>
      </w:r>
    </w:p>
    <w:p w14:paraId="319701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2 </w:t>
      </w:r>
      <w:r>
        <w:rPr>
          <w:rFonts w:hint="eastAsia" w:asciiTheme="minorEastAsia" w:hAnsiTheme="minorEastAsia" w:eastAsiaTheme="minorEastAsia" w:cstheme="minorEastAsia"/>
          <w:color w:val="auto"/>
          <w:sz w:val="21"/>
          <w:szCs w:val="21"/>
          <w:highlight w:val="none"/>
          <w:lang w:val="en-US" w:eastAsia="zh-CN"/>
        </w:rPr>
        <w:t>向老年人公共活动区域开启的门不应阻碍交通。</w:t>
      </w:r>
    </w:p>
    <w:p w14:paraId="472E271C">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CN"/>
        </w:rPr>
        <w:t>全部老年人用房与救护车辆停靠的建筑物出入口之间的通道，应满足紧急送医需求。紧急送医通道的设置应满足担架抬行和轮椅推行的要求，且应连续、便捷、畅通。</w:t>
      </w:r>
    </w:p>
    <w:p w14:paraId="6721AF66">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default"/>
          <w:b w:val="0"/>
          <w:bCs w:val="0"/>
          <w:color w:val="auto"/>
          <w:highlight w:val="none"/>
          <w:lang w:val="en-US" w:eastAsia="zh-CN"/>
        </w:rPr>
      </w:pPr>
      <w:r>
        <w:rPr>
          <w:rFonts w:hint="eastAsia"/>
          <w:b w:val="0"/>
          <w:bCs w:val="0"/>
          <w:color w:val="auto"/>
          <w:highlight w:val="none"/>
          <w:lang w:val="en-US" w:eastAsia="zh-CN"/>
        </w:rPr>
        <w:t>老年人的居室门、居室卫生间门、公共卫生间厕位门、盥洗室门、浴室门等，均应选用内外均可开启的锁具及方便老年人使用的把手。</w:t>
      </w:r>
    </w:p>
    <w:p w14:paraId="2063D800">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CN"/>
        </w:rPr>
        <w:t>老年人用房的厅、廊、房间如设置休息座椅或休息区、布设管道设施、挂放各类物件等形成的突出物应有防刮碰的保护措施。</w:t>
      </w:r>
    </w:p>
    <w:p w14:paraId="095BA79E">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default"/>
          <w:b w:val="0"/>
          <w:bCs w:val="0"/>
          <w:color w:val="auto"/>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内部装修材料应满足《建筑内部装修设计防火规范》GB50222的相关规定。</w:t>
      </w:r>
    </w:p>
    <w:p w14:paraId="2F7E76FE">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
        </w:rPr>
        <w:t>老年人照料设施</w:t>
      </w:r>
      <w:r>
        <w:rPr>
          <w:rFonts w:hint="eastAsia"/>
          <w:b w:val="0"/>
          <w:bCs w:val="0"/>
          <w:color w:val="auto"/>
          <w:highlight w:val="none"/>
          <w:lang w:val="en-US" w:eastAsia="zh-CN"/>
        </w:rPr>
        <w:t>应位于现行国家标准《声环境质量标准》GB3096规定的0类、1类声环境功能区。当建筑位于2类3类4类声环境功能区时，应在建筑设计前对建筑所处位置的环境噪声、环境振动调查与测定。当供老年人使用的室外活动场地位于2类声环境功能区时，宜采取隔声降噪措施。</w:t>
      </w:r>
    </w:p>
    <w:p w14:paraId="5AB473C4">
      <w:pPr>
        <w:keepNext w:val="0"/>
        <w:keepLines w:val="0"/>
        <w:pageBreakBefore w:val="0"/>
        <w:widowControl w:val="0"/>
        <w:numPr>
          <w:ilvl w:val="2"/>
          <w:numId w:val="11"/>
        </w:numPr>
        <w:kinsoku/>
        <w:wordWrap/>
        <w:overflowPunct/>
        <w:topLinePunct w:val="0"/>
        <w:autoSpaceDE/>
        <w:autoSpaceDN/>
        <w:bidi w:val="0"/>
        <w:adjustRightInd/>
        <w:snapToGrid/>
        <w:spacing w:line="240" w:lineRule="auto"/>
        <w:ind w:left="0" w:leftChars="0" w:firstLine="0" w:firstLineChars="0"/>
        <w:textAlignment w:val="auto"/>
        <w:outlineLvl w:val="1"/>
        <w:rPr>
          <w:rFonts w:hint="eastAsia"/>
          <w:b w:val="0"/>
          <w:bCs w:val="0"/>
          <w:color w:val="auto"/>
          <w:highlight w:val="none"/>
          <w:lang w:val="en-US" w:eastAsia="zh-CN"/>
        </w:rPr>
      </w:pPr>
      <w:bookmarkStart w:id="82" w:name="_Toc30407"/>
      <w:bookmarkStart w:id="83" w:name="_Toc27245"/>
      <w:r>
        <w:rPr>
          <w:rFonts w:hint="default"/>
          <w:b w:val="0"/>
          <w:bCs w:val="0"/>
          <w:color w:val="auto"/>
          <w:highlight w:val="none"/>
          <w:lang w:val="en-US" w:eastAsia="zh-CN"/>
        </w:rPr>
        <w:t>其他安全防护措施应符合下列规定：</w:t>
      </w:r>
      <w:bookmarkEnd w:id="82"/>
      <w:bookmarkEnd w:id="83"/>
      <w:r>
        <w:rPr>
          <w:rFonts w:hint="default"/>
          <w:b w:val="0"/>
          <w:bCs w:val="0"/>
          <w:color w:val="auto"/>
          <w:highlight w:val="none"/>
          <w:lang w:val="en-US" w:eastAsia="zh-CN"/>
        </w:rPr>
        <w:t xml:space="preserve"> </w:t>
      </w:r>
    </w:p>
    <w:p w14:paraId="7C7B26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1 </w:t>
      </w:r>
      <w:r>
        <w:rPr>
          <w:rFonts w:hint="default" w:asciiTheme="minorEastAsia" w:hAnsiTheme="minorEastAsia" w:eastAsiaTheme="minorEastAsia" w:cstheme="minorEastAsia"/>
          <w:color w:val="auto"/>
          <w:sz w:val="21"/>
          <w:szCs w:val="21"/>
          <w:highlight w:val="none"/>
          <w:lang w:val="en-US" w:eastAsia="zh-CN"/>
        </w:rPr>
        <w:t xml:space="preserve">老年人所经过的路径内不应设置裸放的散热器、开水器等高温加热设备，不应摆设造型锋利和易碎饰品，以及种植带有尖刺和较硬枝条的盆栽；易与人体接触的热水明管应有安全防护措施； </w:t>
      </w:r>
    </w:p>
    <w:p w14:paraId="2CA2B8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2 </w:t>
      </w:r>
      <w:r>
        <w:rPr>
          <w:rFonts w:hint="default" w:asciiTheme="minorEastAsia" w:hAnsiTheme="minorEastAsia" w:eastAsiaTheme="minorEastAsia" w:cstheme="minorEastAsia"/>
          <w:color w:val="auto"/>
          <w:sz w:val="21"/>
          <w:szCs w:val="21"/>
          <w:highlight w:val="none"/>
          <w:lang w:val="en-US" w:eastAsia="zh-CN"/>
        </w:rPr>
        <w:t xml:space="preserve">公共疏散通道的防火门扇和公共通道的分区门扇，距地0.65m以上，在防火门扇上应安装透明的防火玻璃，分区门扇上应安装透明的安全玻璃；防火门的闭门器应带有阻尼缓冲装置； </w:t>
      </w:r>
    </w:p>
    <w:p w14:paraId="6C2085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3 </w:t>
      </w:r>
      <w:r>
        <w:rPr>
          <w:rFonts w:hint="eastAsia" w:asciiTheme="minorEastAsia" w:hAnsiTheme="minorEastAsia" w:cstheme="minorEastAsia"/>
          <w:color w:val="auto"/>
          <w:sz w:val="21"/>
          <w:szCs w:val="21"/>
          <w:highlight w:val="none"/>
          <w:lang w:val="en-US" w:eastAsia="zh"/>
        </w:rPr>
        <w:t>老年人照料设施</w:t>
      </w:r>
      <w:r>
        <w:rPr>
          <w:rFonts w:hint="eastAsia" w:asciiTheme="minorEastAsia" w:hAnsiTheme="minorEastAsia" w:eastAsiaTheme="minorEastAsia" w:cstheme="minorEastAsia"/>
          <w:color w:val="auto"/>
          <w:sz w:val="21"/>
          <w:szCs w:val="21"/>
          <w:highlight w:val="none"/>
          <w:lang w:val="en-US" w:eastAsia="zh-CN"/>
        </w:rPr>
        <w:t>出入口、室内外活动场地、除洗浴与卫生间之外的所有公共场所均</w:t>
      </w:r>
      <w:r>
        <w:rPr>
          <w:rFonts w:hint="default" w:asciiTheme="minorEastAsia" w:hAnsiTheme="minorEastAsia" w:eastAsiaTheme="minorEastAsia" w:cstheme="minorEastAsia"/>
          <w:color w:val="auto"/>
          <w:sz w:val="21"/>
          <w:szCs w:val="21"/>
          <w:highlight w:val="none"/>
          <w:lang w:val="en-US" w:eastAsia="zh-CN"/>
        </w:rPr>
        <w:t>应安装安全监控装置</w:t>
      </w:r>
      <w:r>
        <w:rPr>
          <w:rFonts w:hint="eastAsia" w:asciiTheme="minorEastAsia" w:hAnsiTheme="minorEastAsia" w:cstheme="minorEastAsia"/>
          <w:color w:val="auto"/>
          <w:sz w:val="21"/>
          <w:szCs w:val="21"/>
          <w:highlight w:val="none"/>
          <w:lang w:val="en-US" w:eastAsia="zh-CN"/>
        </w:rPr>
        <w:t>；</w:t>
      </w:r>
    </w:p>
    <w:p w14:paraId="69392C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4 </w:t>
      </w:r>
      <w:r>
        <w:rPr>
          <w:rFonts w:hint="default" w:asciiTheme="minorEastAsia" w:hAnsiTheme="minorEastAsia" w:eastAsiaTheme="minorEastAsia" w:cstheme="minorEastAsia"/>
          <w:color w:val="auto"/>
          <w:sz w:val="21"/>
          <w:szCs w:val="21"/>
          <w:highlight w:val="none"/>
          <w:lang w:val="en-US" w:eastAsia="zh-CN"/>
        </w:rPr>
        <w:t xml:space="preserve">老年人使用的开敞阳台或屋顶上人平台在临空处不应设可攀登的栏杆；供老年人活动的屋顶平台女儿墙的护栏高度不应低于1.20m； </w:t>
      </w:r>
    </w:p>
    <w:p w14:paraId="5C6DF8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cstheme="minorEastAsia"/>
          <w:b/>
          <w:bCs/>
          <w:color w:val="auto"/>
          <w:sz w:val="21"/>
          <w:szCs w:val="21"/>
          <w:highlight w:val="none"/>
          <w:u w:val="none"/>
          <w:lang w:val="en-US" w:eastAsia="zh-CN"/>
        </w:rPr>
        <w:t xml:space="preserve">5 </w:t>
      </w:r>
      <w:r>
        <w:rPr>
          <w:rFonts w:hint="default" w:asciiTheme="minorEastAsia" w:hAnsiTheme="minorEastAsia" w:eastAsiaTheme="minorEastAsia" w:cstheme="minorEastAsia"/>
          <w:color w:val="auto"/>
          <w:sz w:val="21"/>
          <w:szCs w:val="21"/>
          <w:highlight w:val="none"/>
          <w:u w:val="none"/>
          <w:lang w:val="en-US" w:eastAsia="zh-CN"/>
        </w:rPr>
        <w:t>老年人居住生活用房、公共活动用房、医疗保健用房</w:t>
      </w:r>
      <w:r>
        <w:rPr>
          <w:rFonts w:hint="eastAsia" w:asciiTheme="minorEastAsia" w:hAnsiTheme="minorEastAsia" w:eastAsiaTheme="minorEastAsia" w:cstheme="minorEastAsia"/>
          <w:color w:val="auto"/>
          <w:sz w:val="21"/>
          <w:szCs w:val="21"/>
          <w:highlight w:val="none"/>
          <w:u w:val="none"/>
          <w:lang w:val="en-US" w:eastAsia="zh-CN"/>
        </w:rPr>
        <w:t>、公共卫生间</w:t>
      </w:r>
      <w:r>
        <w:rPr>
          <w:rFonts w:hint="default" w:asciiTheme="minorEastAsia" w:hAnsiTheme="minorEastAsia" w:eastAsiaTheme="minorEastAsia" w:cstheme="minorEastAsia"/>
          <w:color w:val="auto"/>
          <w:sz w:val="21"/>
          <w:szCs w:val="21"/>
          <w:highlight w:val="none"/>
          <w:u w:val="none"/>
          <w:lang w:val="en-US" w:eastAsia="zh-CN"/>
        </w:rPr>
        <w:t>应设置符合国家标准的紧急呼叫装置。</w:t>
      </w:r>
    </w:p>
    <w:p w14:paraId="3883A952">
      <w:pPr>
        <w:numPr>
          <w:ilvl w:val="0"/>
          <w:numId w:val="0"/>
        </w:numPr>
        <w:jc w:val="center"/>
        <w:outlineLvl w:val="1"/>
        <w:rPr>
          <w:rFonts w:hint="eastAsia"/>
          <w:color w:val="auto"/>
          <w:highlight w:val="none"/>
          <w:lang w:val="en-US" w:eastAsia="zh-CN"/>
        </w:rPr>
      </w:pPr>
      <w:bookmarkStart w:id="84" w:name="_Toc6392"/>
      <w:bookmarkStart w:id="85" w:name="_Toc10865"/>
      <w:bookmarkStart w:id="86" w:name="_Toc28318"/>
      <w:r>
        <w:rPr>
          <w:rStyle w:val="19"/>
          <w:rFonts w:hint="eastAsia" w:ascii="Times New Roman" w:hAnsi="Times New Roman" w:eastAsia="宋体" w:cs="Times New Roman"/>
          <w:color w:val="auto"/>
          <w:sz w:val="28"/>
          <w:szCs w:val="40"/>
          <w:highlight w:val="none"/>
          <w:lang w:val="en-US" w:eastAsia="zh-CN"/>
        </w:rPr>
        <w:t xml:space="preserve">5.7 </w:t>
      </w:r>
      <w:r>
        <w:rPr>
          <w:rStyle w:val="19"/>
          <w:rFonts w:hint="eastAsia" w:ascii="黑体" w:hAnsi="黑体" w:eastAsia="黑体" w:cs="黑体"/>
          <w:color w:val="auto"/>
          <w:sz w:val="28"/>
          <w:szCs w:val="40"/>
          <w:highlight w:val="none"/>
          <w:lang w:val="en-US" w:eastAsia="zh-CN"/>
        </w:rPr>
        <w:t>标志标识</w:t>
      </w:r>
      <w:bookmarkEnd w:id="84"/>
      <w:bookmarkEnd w:id="85"/>
      <w:bookmarkEnd w:id="86"/>
    </w:p>
    <w:p w14:paraId="26EC4AF5">
      <w:pPr>
        <w:numPr>
          <w:ilvl w:val="2"/>
          <w:numId w:val="12"/>
        </w:numPr>
        <w:tabs>
          <w:tab w:val="left" w:pos="0"/>
        </w:tabs>
        <w:bidi w:val="0"/>
        <w:ind w:left="0" w:leftChars="0" w:hanging="9" w:firstLineChars="0"/>
        <w:rPr>
          <w:rFonts w:hint="eastAsia"/>
          <w:color w:val="auto"/>
          <w:highlight w:val="none"/>
          <w:lang w:val="en-US" w:eastAsia="zh-CN"/>
        </w:rPr>
      </w:pPr>
      <w:r>
        <w:rPr>
          <w:rFonts w:hint="eastAsia"/>
          <w:color w:val="auto"/>
          <w:highlight w:val="none"/>
          <w:lang w:val="en-US" w:eastAsia="zh"/>
        </w:rPr>
        <w:t>老年人照料设施</w:t>
      </w:r>
      <w:r>
        <w:rPr>
          <w:rFonts w:hint="default"/>
          <w:color w:val="auto"/>
          <w:highlight w:val="none"/>
          <w:lang w:val="en-US" w:eastAsia="zh-CN"/>
        </w:rPr>
        <w:t>应进行色彩与标识设计，且色彩柔和温暖，标识应字体醒目、图案清晰</w:t>
      </w:r>
      <w:r>
        <w:rPr>
          <w:color w:val="auto"/>
          <w:highlight w:val="none"/>
        </w:rPr>
        <w:t>，标识系统应明晰、连续</w:t>
      </w:r>
      <w:r>
        <w:rPr>
          <w:rFonts w:hint="eastAsia"/>
          <w:color w:val="auto"/>
          <w:highlight w:val="none"/>
          <w:lang w:eastAsia="zh-CN"/>
        </w:rPr>
        <w:t>。</w:t>
      </w:r>
    </w:p>
    <w:p w14:paraId="6B47F57D">
      <w:pPr>
        <w:numPr>
          <w:ilvl w:val="2"/>
          <w:numId w:val="12"/>
        </w:numPr>
        <w:tabs>
          <w:tab w:val="left" w:pos="0"/>
        </w:tabs>
        <w:bidi w:val="0"/>
        <w:ind w:left="0" w:leftChars="0" w:hanging="9" w:firstLineChars="0"/>
        <w:rPr>
          <w:rFonts w:hint="eastAsia"/>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的主要出入口、内部道路、场地、建筑出入口、门厅、楼梯间等应设置</w:t>
      </w:r>
      <w:r>
        <w:rPr>
          <w:rFonts w:hint="default"/>
          <w:b w:val="0"/>
          <w:bCs w:val="0"/>
          <w:color w:val="auto"/>
          <w:highlight w:val="none"/>
          <w:lang w:val="en-US" w:eastAsia="zh-CN"/>
        </w:rPr>
        <w:t>导向标识，并应符合下列规定：</w:t>
      </w:r>
    </w:p>
    <w:p w14:paraId="05B843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1 </w:t>
      </w:r>
      <w:r>
        <w:rPr>
          <w:rFonts w:hint="default" w:asciiTheme="minorEastAsia" w:hAnsiTheme="minorEastAsia" w:eastAsiaTheme="minorEastAsia" w:cstheme="minorEastAsia"/>
          <w:color w:val="auto"/>
          <w:sz w:val="21"/>
          <w:szCs w:val="21"/>
          <w:highlight w:val="none"/>
          <w:lang w:val="en-US" w:eastAsia="zh-CN"/>
        </w:rPr>
        <w:t xml:space="preserve">出入口标识应易于辨别，且当有多个出入口时，应设置明显的号码或标识图案； </w:t>
      </w:r>
    </w:p>
    <w:p w14:paraId="6A14AA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2"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eastAsiaTheme="minorEastAsia" w:cstheme="minorEastAsia"/>
          <w:color w:val="auto"/>
          <w:sz w:val="21"/>
          <w:szCs w:val="21"/>
          <w:highlight w:val="none"/>
          <w:lang w:val="en-US" w:eastAsia="zh-CN"/>
        </w:rPr>
        <w:t>楼梯间附近的明显位置处应布置楼层平面示意图，楼梯间内应有楼层标识。</w:t>
      </w:r>
    </w:p>
    <w:p w14:paraId="02FFEBD6">
      <w:pPr>
        <w:numPr>
          <w:ilvl w:val="2"/>
          <w:numId w:val="12"/>
        </w:numPr>
        <w:tabs>
          <w:tab w:val="left" w:pos="0"/>
        </w:tabs>
        <w:bidi w:val="0"/>
        <w:ind w:left="0" w:leftChars="0" w:hanging="9" w:firstLineChars="0"/>
        <w:rPr>
          <w:rFonts w:hint="eastAsia"/>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室内外环境应纳入无障碍标识系统，应连续并清楚地指明无障碍设施的位置和方向。无障碍车位应设置</w:t>
      </w:r>
      <w:r>
        <w:rPr>
          <w:color w:val="auto"/>
          <w:highlight w:val="none"/>
        </w:rPr>
        <w:t>明显的标志</w:t>
      </w:r>
      <w:r>
        <w:rPr>
          <w:rFonts w:hint="eastAsia"/>
          <w:color w:val="auto"/>
          <w:highlight w:val="none"/>
          <w:lang w:eastAsia="zh-CN"/>
        </w:rPr>
        <w:t>。</w:t>
      </w:r>
    </w:p>
    <w:p w14:paraId="635EE162">
      <w:pPr>
        <w:numPr>
          <w:ilvl w:val="2"/>
          <w:numId w:val="12"/>
        </w:numPr>
        <w:tabs>
          <w:tab w:val="left" w:pos="0"/>
        </w:tabs>
        <w:bidi w:val="0"/>
        <w:ind w:left="0" w:leftChars="0" w:hanging="9" w:firstLineChars="0"/>
        <w:rPr>
          <w:rFonts w:hint="eastAsia"/>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的监控装置应有明显标识。</w:t>
      </w:r>
    </w:p>
    <w:p w14:paraId="5591B078">
      <w:pPr>
        <w:numPr>
          <w:ilvl w:val="2"/>
          <w:numId w:val="12"/>
        </w:numPr>
        <w:tabs>
          <w:tab w:val="left" w:pos="0"/>
        </w:tabs>
        <w:bidi w:val="0"/>
        <w:ind w:left="0" w:leftChars="0" w:hanging="9" w:firstLineChars="0"/>
        <w:rPr>
          <w:rFonts w:hint="eastAsia"/>
          <w:color w:val="auto"/>
          <w:highlight w:val="none"/>
          <w:lang w:val="en-US" w:eastAsia="zh-CN"/>
        </w:rPr>
      </w:pPr>
      <w:r>
        <w:rPr>
          <w:rFonts w:hint="default"/>
          <w:color w:val="auto"/>
          <w:highlight w:val="none"/>
          <w:lang w:val="en-US" w:eastAsia="zh-CN"/>
        </w:rPr>
        <w:t>老年人</w:t>
      </w:r>
      <w:r>
        <w:rPr>
          <w:rFonts w:hint="eastAsia"/>
          <w:color w:val="auto"/>
          <w:highlight w:val="none"/>
          <w:lang w:val="en-US" w:eastAsia="zh-CN"/>
        </w:rPr>
        <w:t>居室</w:t>
      </w:r>
      <w:r>
        <w:rPr>
          <w:rFonts w:hint="default"/>
          <w:color w:val="auto"/>
          <w:highlight w:val="none"/>
          <w:lang w:val="en-US" w:eastAsia="zh-CN"/>
        </w:rPr>
        <w:t>应设安全疏散指示标识，墙面凸出处、临空框架柱等应采用醒目的色彩或采取图案区分和警示标识</w:t>
      </w:r>
      <w:r>
        <w:rPr>
          <w:rFonts w:hint="eastAsia"/>
          <w:color w:val="auto"/>
          <w:highlight w:val="none"/>
          <w:lang w:val="en-US" w:eastAsia="zh-CN"/>
        </w:rPr>
        <w:t>。</w:t>
      </w:r>
    </w:p>
    <w:p w14:paraId="1674EA71">
      <w:pPr>
        <w:numPr>
          <w:ilvl w:val="2"/>
          <w:numId w:val="12"/>
        </w:numPr>
        <w:tabs>
          <w:tab w:val="left" w:pos="0"/>
        </w:tabs>
        <w:bidi w:val="0"/>
        <w:ind w:left="0" w:leftChars="0" w:hanging="9" w:firstLineChars="0"/>
        <w:rPr>
          <w:rFonts w:hint="eastAsia"/>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应设置具有引导、管理等功能的标识系统，并符合下列要求：</w:t>
      </w:r>
    </w:p>
    <w:p w14:paraId="2BB268FA">
      <w:pPr>
        <w:numPr>
          <w:ilvl w:val="0"/>
          <w:numId w:val="0"/>
        </w:numPr>
        <w:tabs>
          <w:tab w:val="left" w:pos="420"/>
        </w:tabs>
        <w:bidi w:val="0"/>
        <w:ind w:left="0" w:leftChars="0" w:firstLine="420" w:firstLineChars="0"/>
        <w:outlineLvl w:val="0"/>
        <w:rPr>
          <w:rFonts w:hint="eastAsia"/>
          <w:color w:val="auto"/>
          <w:highlight w:val="none"/>
          <w:lang w:val="en-US" w:eastAsia="zh-CN"/>
        </w:rPr>
      </w:pPr>
      <w:bookmarkStart w:id="87" w:name="_Toc22403"/>
      <w:bookmarkStart w:id="88" w:name="_Toc29631"/>
      <w:bookmarkStart w:id="89" w:name="_Toc25770"/>
      <w:r>
        <w:rPr>
          <w:rFonts w:hint="eastAsia"/>
          <w:b/>
          <w:bCs/>
          <w:color w:val="auto"/>
          <w:highlight w:val="none"/>
          <w:lang w:val="en-US" w:eastAsia="zh-CN"/>
        </w:rPr>
        <w:t>1</w:t>
      </w:r>
      <w:r>
        <w:rPr>
          <w:rFonts w:hint="eastAsia"/>
          <w:color w:val="auto"/>
          <w:highlight w:val="none"/>
          <w:lang w:val="en-US" w:eastAsia="zh-CN"/>
        </w:rPr>
        <w:t xml:space="preserve"> 安装牢固、无残缺破损，不会对人员带来安全隐患；</w:t>
      </w:r>
      <w:bookmarkEnd w:id="87"/>
      <w:bookmarkEnd w:id="88"/>
      <w:bookmarkEnd w:id="89"/>
    </w:p>
    <w:p w14:paraId="6C2F27E2">
      <w:pPr>
        <w:numPr>
          <w:ilvl w:val="0"/>
          <w:numId w:val="0"/>
        </w:numPr>
        <w:tabs>
          <w:tab w:val="left" w:pos="420"/>
        </w:tabs>
        <w:bidi w:val="0"/>
        <w:ind w:left="0" w:leftChars="0" w:firstLine="420" w:firstLineChars="0"/>
        <w:jc w:val="left"/>
        <w:rPr>
          <w:rFonts w:hint="default"/>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 xml:space="preserve"> 位置易于老年人查看，未被照明设施、监控设施、树木等遮挡，且不影响轮椅坡道等无障碍设施及其他设施功能的安全使用；</w:t>
      </w:r>
    </w:p>
    <w:p w14:paraId="63B85953">
      <w:pPr>
        <w:numPr>
          <w:ilvl w:val="0"/>
          <w:numId w:val="0"/>
        </w:numPr>
        <w:tabs>
          <w:tab w:val="left" w:pos="420"/>
        </w:tabs>
        <w:bidi w:val="0"/>
        <w:ind w:left="0" w:leftChars="0" w:firstLine="420" w:firstLineChars="0"/>
        <w:rPr>
          <w:rFonts w:hint="eastAsia"/>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标识设计在尺寸、颜色、文字、材质等方面符合老年人视觉特点和相关行业标准（例如字体放大、增加背景色与内容颜色的明度对比），易于老年人识别；</w:t>
      </w:r>
    </w:p>
    <w:p w14:paraId="0A10BB5D">
      <w:pPr>
        <w:numPr>
          <w:ilvl w:val="0"/>
          <w:numId w:val="0"/>
        </w:numPr>
        <w:tabs>
          <w:tab w:val="left" w:pos="420"/>
        </w:tabs>
        <w:bidi w:val="0"/>
        <w:ind w:left="0" w:leftChars="0" w:firstLine="420" w:firstLineChars="0"/>
        <w:outlineLvl w:val="0"/>
        <w:rPr>
          <w:rFonts w:hint="eastAsia"/>
          <w:color w:val="auto"/>
          <w:highlight w:val="none"/>
          <w:lang w:val="en-US" w:eastAsia="zh-CN"/>
        </w:rPr>
      </w:pPr>
      <w:bookmarkStart w:id="90" w:name="_Toc332"/>
      <w:bookmarkStart w:id="91" w:name="_Toc29486"/>
      <w:bookmarkStart w:id="92" w:name="_Toc24884"/>
      <w:r>
        <w:rPr>
          <w:rFonts w:hint="eastAsia"/>
          <w:b/>
          <w:bCs/>
          <w:color w:val="auto"/>
          <w:highlight w:val="none"/>
          <w:lang w:val="en-US" w:eastAsia="zh-CN"/>
        </w:rPr>
        <w:t>4</w:t>
      </w:r>
      <w:r>
        <w:rPr>
          <w:rFonts w:hint="eastAsia"/>
          <w:color w:val="auto"/>
          <w:highlight w:val="none"/>
          <w:lang w:val="en-US" w:eastAsia="zh-CN"/>
        </w:rPr>
        <w:t xml:space="preserve"> 标识导向分级宜按表5.7.2设置：</w:t>
      </w:r>
      <w:bookmarkEnd w:id="90"/>
      <w:bookmarkEnd w:id="91"/>
      <w:bookmarkEnd w:id="92"/>
    </w:p>
    <w:p w14:paraId="15F6C12D">
      <w:pPr>
        <w:numPr>
          <w:ilvl w:val="0"/>
          <w:numId w:val="0"/>
        </w:numPr>
        <w:jc w:val="center"/>
        <w:rPr>
          <w:rFonts w:hint="eastAsia"/>
          <w:b/>
          <w:bCs/>
          <w:color w:val="auto"/>
          <w:sz w:val="18"/>
          <w:szCs w:val="21"/>
          <w:highlight w:val="none"/>
          <w:lang w:val="en-US" w:eastAsia="zh-CN"/>
        </w:rPr>
      </w:pPr>
      <w:r>
        <w:rPr>
          <w:rFonts w:hint="eastAsia"/>
          <w:b/>
          <w:bCs/>
          <w:color w:val="auto"/>
          <w:sz w:val="18"/>
          <w:szCs w:val="21"/>
          <w:highlight w:val="none"/>
          <w:lang w:val="en-US" w:eastAsia="zh-CN"/>
        </w:rPr>
        <w:t>表5.7.2 标识导向分级表</w:t>
      </w:r>
    </w:p>
    <w:tbl>
      <w:tblPr>
        <w:tblStyle w:val="25"/>
        <w:tblW w:w="8381" w:type="dxa"/>
        <w:tblInd w:w="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32"/>
        <w:gridCol w:w="2313"/>
        <w:gridCol w:w="2125"/>
        <w:gridCol w:w="1811"/>
      </w:tblGrid>
      <w:tr w14:paraId="5AFB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132" w:type="dxa"/>
            <w:vAlign w:val="top"/>
          </w:tcPr>
          <w:p w14:paraId="39F3072B">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一级导向</w:t>
            </w:r>
          </w:p>
        </w:tc>
        <w:tc>
          <w:tcPr>
            <w:tcW w:w="2313" w:type="dxa"/>
            <w:vAlign w:val="top"/>
          </w:tcPr>
          <w:p w14:paraId="22BBA629">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二级导向</w:t>
            </w:r>
          </w:p>
        </w:tc>
        <w:tc>
          <w:tcPr>
            <w:tcW w:w="2125" w:type="dxa"/>
            <w:vAlign w:val="top"/>
          </w:tcPr>
          <w:p w14:paraId="539A871E">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三级导向</w:t>
            </w:r>
          </w:p>
        </w:tc>
        <w:tc>
          <w:tcPr>
            <w:tcW w:w="1811" w:type="dxa"/>
            <w:vAlign w:val="top"/>
          </w:tcPr>
          <w:p w14:paraId="3C59E4FC">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四级导向</w:t>
            </w:r>
          </w:p>
        </w:tc>
      </w:tr>
      <w:tr w14:paraId="5DAD2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132" w:type="dxa"/>
            <w:vAlign w:val="top"/>
          </w:tcPr>
          <w:p w14:paraId="0F0B32A7">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户外/楼</w:t>
            </w:r>
            <w:r>
              <w:rPr>
                <w:rFonts w:hint="eastAsia" w:asciiTheme="minorEastAsia" w:hAnsiTheme="minorEastAsia" w:eastAsiaTheme="minorEastAsia" w:cstheme="minorEastAsia"/>
                <w:color w:val="auto"/>
                <w:sz w:val="20"/>
                <w:szCs w:val="20"/>
                <w:highlight w:val="none"/>
                <w:lang w:eastAsia="zh-CN"/>
              </w:rPr>
              <w:t>栋</w:t>
            </w:r>
            <w:r>
              <w:rPr>
                <w:rFonts w:hint="eastAsia" w:asciiTheme="minorEastAsia" w:hAnsiTheme="minorEastAsia" w:eastAsiaTheme="minorEastAsia" w:cstheme="minorEastAsia"/>
                <w:color w:val="auto"/>
                <w:sz w:val="20"/>
                <w:szCs w:val="20"/>
                <w:highlight w:val="none"/>
              </w:rPr>
              <w:t>标牌</w:t>
            </w:r>
          </w:p>
        </w:tc>
        <w:tc>
          <w:tcPr>
            <w:tcW w:w="2313" w:type="dxa"/>
            <w:vAlign w:val="top"/>
          </w:tcPr>
          <w:p w14:paraId="61A9483C">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楼层、通道标牌</w:t>
            </w:r>
          </w:p>
        </w:tc>
        <w:tc>
          <w:tcPr>
            <w:tcW w:w="2125" w:type="dxa"/>
            <w:vAlign w:val="top"/>
          </w:tcPr>
          <w:p w14:paraId="1BA6AFC8">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各功能单元标牌</w:t>
            </w:r>
          </w:p>
        </w:tc>
        <w:tc>
          <w:tcPr>
            <w:tcW w:w="1811" w:type="dxa"/>
            <w:vAlign w:val="top"/>
          </w:tcPr>
          <w:p w14:paraId="0CBA4769">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门牌，窗口牌</w:t>
            </w:r>
          </w:p>
        </w:tc>
      </w:tr>
      <w:tr w14:paraId="0AE5C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132" w:type="dxa"/>
            <w:vAlign w:val="top"/>
          </w:tcPr>
          <w:p w14:paraId="608CD636">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建筑单体标识</w:t>
            </w:r>
          </w:p>
          <w:p w14:paraId="3153F36F">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建筑出入口标识</w:t>
            </w:r>
          </w:p>
          <w:p w14:paraId="4AE5FF8D">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道路引导标识</w:t>
            </w:r>
          </w:p>
          <w:p w14:paraId="41DD07FF">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总体平面图</w:t>
            </w:r>
          </w:p>
          <w:p w14:paraId="3323B470">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户外形象及设施标识</w:t>
            </w:r>
          </w:p>
        </w:tc>
        <w:tc>
          <w:tcPr>
            <w:tcW w:w="2313" w:type="dxa"/>
            <w:vAlign w:val="top"/>
          </w:tcPr>
          <w:p w14:paraId="7624A6C4">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楼层索引及平面示意图</w:t>
            </w:r>
          </w:p>
          <w:p w14:paraId="735DCA18">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大厅、通道标识</w:t>
            </w:r>
          </w:p>
          <w:p w14:paraId="0FFB7A22">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楼、电梯标识</w:t>
            </w:r>
          </w:p>
          <w:p w14:paraId="4AC20178">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公共服务设施标识</w:t>
            </w:r>
          </w:p>
          <w:p w14:paraId="693DE8DD">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出入口索引</w:t>
            </w:r>
          </w:p>
          <w:p w14:paraId="54065163">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消防疏散指示标识</w:t>
            </w:r>
          </w:p>
        </w:tc>
        <w:tc>
          <w:tcPr>
            <w:tcW w:w="2125" w:type="dxa"/>
            <w:vAlign w:val="top"/>
          </w:tcPr>
          <w:p w14:paraId="4459D94E">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各功能用房单元标识</w:t>
            </w:r>
          </w:p>
        </w:tc>
        <w:tc>
          <w:tcPr>
            <w:tcW w:w="1811" w:type="dxa"/>
            <w:vAlign w:val="top"/>
          </w:tcPr>
          <w:p w14:paraId="5371241C">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各</w:t>
            </w:r>
            <w:r>
              <w:rPr>
                <w:rFonts w:hint="eastAsia" w:asciiTheme="minorEastAsia" w:hAnsiTheme="minorEastAsia" w:eastAsiaTheme="minorEastAsia" w:cstheme="minorEastAsia"/>
                <w:color w:val="auto"/>
                <w:sz w:val="20"/>
                <w:szCs w:val="20"/>
                <w:highlight w:val="none"/>
                <w:lang w:eastAsia="zh-CN"/>
              </w:rPr>
              <w:t>房间</w:t>
            </w:r>
            <w:r>
              <w:rPr>
                <w:rFonts w:hint="eastAsia" w:asciiTheme="minorEastAsia" w:hAnsiTheme="minorEastAsia" w:eastAsiaTheme="minorEastAsia" w:cstheme="minorEastAsia"/>
                <w:color w:val="auto"/>
                <w:sz w:val="20"/>
                <w:szCs w:val="20"/>
                <w:highlight w:val="none"/>
              </w:rPr>
              <w:t>门牌</w:t>
            </w:r>
          </w:p>
          <w:p w14:paraId="02A3E055">
            <w:pPr>
              <w:bidi w:val="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各窗口牌</w:t>
            </w:r>
          </w:p>
        </w:tc>
      </w:tr>
    </w:tbl>
    <w:p w14:paraId="086ABB05">
      <w:pPr>
        <w:rPr>
          <w:rFonts w:hint="default"/>
          <w:color w:val="auto"/>
          <w:highlight w:val="none"/>
          <w:lang w:val="en-US" w:eastAsia="zh-CN"/>
        </w:rPr>
      </w:pPr>
    </w:p>
    <w:p w14:paraId="2FA3B69B">
      <w:pPr>
        <w:numPr>
          <w:ilvl w:val="2"/>
          <w:numId w:val="12"/>
        </w:numPr>
        <w:tabs>
          <w:tab w:val="left" w:pos="0"/>
        </w:tabs>
        <w:bidi w:val="0"/>
        <w:ind w:left="9" w:leftChars="0" w:hanging="9" w:firstLineChars="0"/>
        <w:rPr>
          <w:rFonts w:hint="default"/>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中常用图形符号及标志可参考《养老服务常用图形符号及标志》MZ/T131中相应图形符号及标志。</w:t>
      </w:r>
    </w:p>
    <w:p w14:paraId="33C136D8">
      <w:pPr>
        <w:numPr>
          <w:ilvl w:val="0"/>
          <w:numId w:val="2"/>
        </w:numPr>
        <w:ind w:left="425" w:leftChars="0" w:hanging="425" w:firstLineChars="0"/>
        <w:jc w:val="center"/>
        <w:outlineLvl w:val="0"/>
        <w:rPr>
          <w:rStyle w:val="19"/>
          <w:rFonts w:hint="eastAsia" w:ascii="Times New Roman" w:hAnsi="Times New Roman" w:eastAsia="宋体" w:cs="Times New Roman"/>
          <w:color w:val="auto"/>
          <w:highlight w:val="none"/>
          <w:lang w:val="en-US" w:eastAsia="zh-CN"/>
        </w:rPr>
      </w:pPr>
      <w:bookmarkStart w:id="93" w:name="_Toc398727935"/>
      <w:bookmarkStart w:id="94" w:name="_Toc6532"/>
      <w:bookmarkStart w:id="95" w:name="_Toc19558"/>
      <w:bookmarkStart w:id="96" w:name="_Toc30009"/>
      <w:r>
        <w:rPr>
          <w:rStyle w:val="19"/>
          <w:rFonts w:hint="eastAsia" w:ascii="Times New Roman" w:hAnsi="Times New Roman" w:eastAsia="宋体" w:cs="Times New Roman"/>
          <w:color w:val="auto"/>
          <w:highlight w:val="none"/>
          <w:lang w:val="en-US" w:eastAsia="zh-CN"/>
        </w:rPr>
        <w:t>建筑结构</w:t>
      </w:r>
      <w:bookmarkEnd w:id="93"/>
      <w:bookmarkEnd w:id="94"/>
      <w:bookmarkEnd w:id="95"/>
      <w:bookmarkEnd w:id="96"/>
    </w:p>
    <w:p w14:paraId="3D7C9514">
      <w:pPr>
        <w:numPr>
          <w:ilvl w:val="0"/>
          <w:numId w:val="0"/>
        </w:numPr>
        <w:tabs>
          <w:tab w:val="left" w:pos="0"/>
        </w:tabs>
        <w:bidi w:val="0"/>
        <w:ind w:left="-9" w:leftChars="0"/>
        <w:rPr>
          <w:rFonts w:hint="default"/>
          <w:color w:val="auto"/>
          <w:highlight w:val="none"/>
          <w:lang w:val="en-US" w:eastAsia="zh-CN"/>
        </w:rPr>
      </w:pPr>
    </w:p>
    <w:p w14:paraId="67A4568C">
      <w:pPr>
        <w:numPr>
          <w:ilvl w:val="0"/>
          <w:numId w:val="0"/>
        </w:numPr>
        <w:tabs>
          <w:tab w:val="left" w:pos="0"/>
        </w:tabs>
        <w:bidi w:val="0"/>
        <w:ind w:left="-9" w:leftChars="0"/>
        <w:rPr>
          <w:rFonts w:hint="eastAsia"/>
          <w:color w:val="auto"/>
          <w:highlight w:val="none"/>
          <w:lang w:val="en-US" w:eastAsia="zh-CN"/>
        </w:rPr>
      </w:pPr>
      <w:r>
        <w:rPr>
          <w:rFonts w:hint="default"/>
          <w:b/>
          <w:bCs/>
          <w:color w:val="auto"/>
          <w:highlight w:val="none"/>
          <w:lang w:val="en-US" w:eastAsia="zh-CN"/>
        </w:rPr>
        <w:t>6.0</w:t>
      </w:r>
      <w:r>
        <w:rPr>
          <w:rFonts w:hint="eastAsia"/>
          <w:b/>
          <w:bCs/>
          <w:color w:val="auto"/>
          <w:highlight w:val="none"/>
          <w:lang w:val="en-US" w:eastAsia="zh"/>
          <w:woUserID w:val="1"/>
        </w:rPr>
        <w:t>.1</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应按照不低于重点设防类的要求采取抗震措施。</w:t>
      </w:r>
    </w:p>
    <w:p w14:paraId="2E434062">
      <w:pPr>
        <w:numPr>
          <w:ilvl w:val="0"/>
          <w:numId w:val="0"/>
        </w:numPr>
        <w:tabs>
          <w:tab w:val="left" w:pos="0"/>
        </w:tabs>
        <w:bidi w:val="0"/>
        <w:ind w:left="-9" w:leftChars="0"/>
        <w:rPr>
          <w:rFonts w:hint="eastAsia"/>
          <w:color w:val="auto"/>
          <w:highlight w:val="none"/>
          <w:lang w:val="en-US" w:eastAsia="zh-CN"/>
        </w:rPr>
      </w:pPr>
      <w:r>
        <w:rPr>
          <w:rFonts w:hint="default"/>
          <w:b/>
          <w:bCs/>
          <w:color w:val="auto"/>
          <w:highlight w:val="none"/>
          <w:lang w:val="en-US" w:eastAsia="zh-CN"/>
        </w:rPr>
        <w:t>6.0.</w:t>
      </w:r>
      <w:r>
        <w:rPr>
          <w:rFonts w:hint="eastAsia"/>
          <w:b/>
          <w:bCs/>
          <w:color w:val="auto"/>
          <w:highlight w:val="none"/>
          <w:lang w:val="en-US" w:eastAsia="zh"/>
          <w:woUserID w:val="1"/>
        </w:rPr>
        <w:t>2</w:t>
      </w:r>
      <w:r>
        <w:rPr>
          <w:rFonts w:hint="default"/>
          <w:color w:val="auto"/>
          <w:highlight w:val="none"/>
          <w:lang w:val="en-US" w:eastAsia="zh-CN"/>
        </w:rPr>
        <w:t xml:space="preserve"> </w:t>
      </w:r>
      <w:r>
        <w:rPr>
          <w:rFonts w:hint="eastAsia"/>
          <w:color w:val="auto"/>
          <w:highlight w:val="none"/>
          <w:lang w:val="en-US" w:eastAsia="zh-CN"/>
        </w:rPr>
        <w:t>位于高烈度设防地区、地震重点监视防御区的新建</w:t>
      </w:r>
      <w:r>
        <w:rPr>
          <w:rFonts w:hint="eastAsia"/>
          <w:color w:val="auto"/>
          <w:highlight w:val="none"/>
          <w:lang w:val="en-US" w:eastAsia="zh"/>
        </w:rPr>
        <w:t>老年人照料设施</w:t>
      </w:r>
      <w:r>
        <w:rPr>
          <w:rFonts w:hint="eastAsia"/>
          <w:color w:val="auto"/>
          <w:highlight w:val="none"/>
          <w:lang w:val="en-US" w:eastAsia="zh-CN"/>
        </w:rPr>
        <w:t>应当按照国家有关规定采用隔震减震等技术，保证发生本区域设防地震时能够满足正常使用要求。</w:t>
      </w:r>
    </w:p>
    <w:p w14:paraId="118AD5AB">
      <w:pPr>
        <w:numPr>
          <w:ilvl w:val="0"/>
          <w:numId w:val="0"/>
        </w:numPr>
        <w:tabs>
          <w:tab w:val="left" w:pos="0"/>
        </w:tabs>
        <w:bidi w:val="0"/>
        <w:ind w:left="-9" w:leftChars="0"/>
        <w:rPr>
          <w:rFonts w:hint="eastAsia"/>
          <w:color w:val="auto"/>
          <w:highlight w:val="none"/>
          <w:lang w:val="en-US" w:eastAsia="zh-CN"/>
        </w:rPr>
      </w:pPr>
      <w:r>
        <w:rPr>
          <w:rFonts w:hint="default"/>
          <w:b/>
          <w:bCs/>
          <w:color w:val="auto"/>
          <w:highlight w:val="none"/>
          <w:lang w:val="en-US" w:eastAsia="zh-CN"/>
        </w:rPr>
        <w:t>6.0.</w:t>
      </w:r>
      <w:r>
        <w:rPr>
          <w:rFonts w:hint="eastAsia"/>
          <w:b/>
          <w:bCs/>
          <w:color w:val="auto"/>
          <w:highlight w:val="none"/>
          <w:lang w:val="en-US" w:eastAsia="zh"/>
          <w:woUserID w:val="1"/>
        </w:rPr>
        <w:t>3</w:t>
      </w:r>
      <w:r>
        <w:rPr>
          <w:rFonts w:hint="eastAsia"/>
          <w:color w:val="auto"/>
          <w:highlight w:val="none"/>
          <w:lang w:val="en-US" w:eastAsia="zh-CN"/>
        </w:rPr>
        <w:t xml:space="preserve"> </w:t>
      </w:r>
      <w:bookmarkStart w:id="97" w:name="OLE_LINK18"/>
      <w:bookmarkStart w:id="98" w:name="OLE_LINK19"/>
      <w:r>
        <w:rPr>
          <w:rFonts w:hint="eastAsia"/>
          <w:color w:val="auto"/>
          <w:highlight w:val="none"/>
          <w:lang w:val="en-US" w:eastAsia="zh-CN"/>
        </w:rPr>
        <w:t>新建的</w:t>
      </w:r>
      <w:r>
        <w:rPr>
          <w:rFonts w:hint="eastAsia"/>
          <w:color w:val="auto"/>
          <w:highlight w:val="none"/>
          <w:lang w:val="en-US" w:eastAsia="zh"/>
        </w:rPr>
        <w:t>老年人照料设施</w:t>
      </w:r>
      <w:r>
        <w:rPr>
          <w:rFonts w:hint="eastAsia"/>
          <w:color w:val="auto"/>
          <w:highlight w:val="none"/>
          <w:lang w:val="en-US" w:eastAsia="zh-CN"/>
        </w:rPr>
        <w:t>与其他功能建筑合建且为同一结构单元时</w:t>
      </w:r>
      <w:bookmarkEnd w:id="97"/>
      <w:bookmarkEnd w:id="98"/>
      <w:r>
        <w:rPr>
          <w:rFonts w:hint="eastAsia"/>
          <w:color w:val="auto"/>
          <w:highlight w:val="none"/>
          <w:lang w:val="en-US" w:eastAsia="zh-CN"/>
        </w:rPr>
        <w:t>，</w:t>
      </w:r>
      <w:bookmarkStart w:id="99" w:name="OLE_LINK16"/>
      <w:bookmarkStart w:id="100" w:name="OLE_LINK17"/>
      <w:r>
        <w:rPr>
          <w:rFonts w:hint="eastAsia"/>
          <w:color w:val="auto"/>
          <w:highlight w:val="none"/>
          <w:lang w:val="en-US" w:eastAsia="zh"/>
        </w:rPr>
        <w:t>老年人照料设施</w:t>
      </w:r>
      <w:r>
        <w:rPr>
          <w:rFonts w:hint="eastAsia"/>
          <w:color w:val="auto"/>
          <w:highlight w:val="none"/>
          <w:lang w:val="en-US" w:eastAsia="zh-CN"/>
        </w:rPr>
        <w:t>的建筑面积超过结构单元建筑面积50%，或</w:t>
      </w:r>
      <w:r>
        <w:rPr>
          <w:rFonts w:hint="eastAsia"/>
          <w:color w:val="auto"/>
          <w:highlight w:val="none"/>
          <w:lang w:val="en-US" w:eastAsia="zh"/>
        </w:rPr>
        <w:t>老年人照料设施</w:t>
      </w:r>
      <w:r>
        <w:rPr>
          <w:rFonts w:hint="eastAsia"/>
          <w:color w:val="auto"/>
          <w:highlight w:val="none"/>
          <w:lang w:val="en-US" w:eastAsia="zh-CN"/>
        </w:rPr>
        <w:t>的建筑面积超过1000平方米</w:t>
      </w:r>
      <w:bookmarkEnd w:id="99"/>
      <w:bookmarkEnd w:id="100"/>
      <w:r>
        <w:rPr>
          <w:rFonts w:hint="eastAsia"/>
          <w:color w:val="auto"/>
          <w:highlight w:val="none"/>
          <w:lang w:val="en-US" w:eastAsia="zh-CN"/>
        </w:rPr>
        <w:t>，</w:t>
      </w:r>
      <w:bookmarkStart w:id="101" w:name="OLE_LINK21"/>
      <w:bookmarkStart w:id="102" w:name="OLE_LINK20"/>
      <w:r>
        <w:rPr>
          <w:rFonts w:hint="eastAsia"/>
          <w:color w:val="auto"/>
          <w:highlight w:val="none"/>
          <w:lang w:val="en-US" w:eastAsia="zh-CN"/>
        </w:rPr>
        <w:t>整个结构单元的抗震设防类别应不低于重点设防类</w:t>
      </w:r>
      <w:bookmarkEnd w:id="101"/>
      <w:bookmarkEnd w:id="102"/>
      <w:r>
        <w:rPr>
          <w:rFonts w:hint="eastAsia"/>
          <w:color w:val="auto"/>
          <w:highlight w:val="none"/>
          <w:lang w:val="en-US" w:eastAsia="zh-CN"/>
        </w:rPr>
        <w:t>，且应当按照国家有关规定采用隔震减震等技术，保证发生本区域设防地震时整个结构单元能够满足正常使用要求。</w:t>
      </w:r>
    </w:p>
    <w:p w14:paraId="10A63B11">
      <w:pPr>
        <w:keepNext w:val="0"/>
        <w:keepLines w:val="0"/>
        <w:widowControl w:val="0"/>
        <w:numPr>
          <w:ilvl w:val="0"/>
          <w:numId w:val="0"/>
        </w:numPr>
        <w:suppressLineNumbers w:val="0"/>
        <w:tabs>
          <w:tab w:val="left" w:pos="0"/>
        </w:tabs>
        <w:bidi w:val="0"/>
        <w:spacing w:before="0" w:beforeAutospacing="0" w:after="0" w:afterAutospacing="0"/>
        <w:ind w:left="0" w:leftChars="0" w:right="0"/>
        <w:jc w:val="both"/>
        <w:rPr>
          <w:rFonts w:hint="eastAsia" w:ascii="宋体" w:hAnsi="宋体" w:eastAsia="宋体" w:cs="宋体"/>
          <w:kern w:val="0"/>
          <w:sz w:val="21"/>
          <w:szCs w:val="21"/>
          <w:lang w:val="en-US" w:eastAsia="zh-CN" w:bidi="ar"/>
          <w:woUserID w:val="7"/>
        </w:rPr>
      </w:pPr>
      <w:r>
        <w:rPr>
          <w:rFonts w:hint="eastAsia"/>
          <w:b/>
          <w:bCs/>
          <w:color w:val="auto"/>
          <w:highlight w:val="none"/>
          <w:lang w:val="en-US" w:eastAsia="zh"/>
          <w:woUserID w:val="7"/>
        </w:rPr>
        <w:t>6.0.4</w:t>
      </w:r>
      <w:r>
        <w:rPr>
          <w:rFonts w:hint="eastAsia"/>
          <w:color w:val="auto"/>
          <w:highlight w:val="none"/>
          <w:lang w:val="en-US" w:eastAsia="zh"/>
          <w:woUserID w:val="7"/>
        </w:rPr>
        <w:t xml:space="preserve"> </w:t>
      </w:r>
      <w:r>
        <w:rPr>
          <w:rFonts w:hint="default"/>
          <w:color w:val="auto"/>
          <w:highlight w:val="none"/>
          <w:lang w:val="en-US" w:eastAsia="zh-CN"/>
          <w:woUserID w:val="7"/>
        </w:rPr>
        <w:t>改建及扩建的</w:t>
      </w:r>
      <w:r>
        <w:rPr>
          <w:rFonts w:hint="eastAsia" w:ascii="宋体" w:hAnsi="宋体" w:eastAsia="宋体" w:cs="宋体"/>
          <w:kern w:val="0"/>
          <w:sz w:val="21"/>
          <w:szCs w:val="21"/>
          <w:lang w:val="en-US" w:eastAsia="zh" w:bidi="ar"/>
          <w:woUserID w:val="7"/>
        </w:rPr>
        <w:t>老年人照料设施</w:t>
      </w:r>
      <w:r>
        <w:rPr>
          <w:rFonts w:hint="eastAsia" w:ascii="宋体" w:hAnsi="宋体" w:eastAsia="宋体" w:cs="宋体"/>
          <w:kern w:val="0"/>
          <w:sz w:val="21"/>
          <w:szCs w:val="21"/>
          <w:lang w:val="en-US" w:eastAsia="zh-CN" w:bidi="ar"/>
          <w:woUserID w:val="7"/>
        </w:rPr>
        <w:t>，应当按照《既有建筑鉴定与加固通用规范》</w:t>
      </w:r>
      <w:r>
        <w:rPr>
          <w:rFonts w:hint="default" w:ascii="Times New Roman" w:hAnsi="Times New Roman" w:eastAsia="宋体" w:cs="Times New Roman"/>
          <w:kern w:val="0"/>
          <w:sz w:val="21"/>
          <w:szCs w:val="21"/>
          <w:lang w:val="en-US" w:eastAsia="zh-CN" w:bidi="ar"/>
          <w:woUserID w:val="7"/>
        </w:rPr>
        <w:t>GB55021</w:t>
      </w:r>
      <w:r>
        <w:rPr>
          <w:rFonts w:hint="eastAsia" w:ascii="宋体" w:hAnsi="宋体" w:eastAsia="宋体" w:cs="宋体"/>
          <w:kern w:val="0"/>
          <w:sz w:val="21"/>
          <w:szCs w:val="21"/>
          <w:lang w:val="en-US" w:eastAsia="zh-CN" w:bidi="ar"/>
          <w:woUserID w:val="7"/>
        </w:rPr>
        <w:t>的规定，进行安全性鉴定和抗震鉴定。</w:t>
      </w:r>
    </w:p>
    <w:p w14:paraId="3CD37910">
      <w:pPr>
        <w:keepNext w:val="0"/>
        <w:keepLines w:val="0"/>
        <w:widowControl w:val="0"/>
        <w:numPr>
          <w:ilvl w:val="0"/>
          <w:numId w:val="0"/>
        </w:numPr>
        <w:suppressLineNumbers w:val="0"/>
        <w:tabs>
          <w:tab w:val="left" w:pos="0"/>
        </w:tabs>
        <w:bidi w:val="0"/>
        <w:spacing w:before="0" w:beforeAutospacing="0" w:after="0" w:afterAutospacing="0"/>
        <w:ind w:left="0" w:leftChars="0" w:right="0"/>
        <w:jc w:val="both"/>
        <w:rPr>
          <w:rFonts w:hint="eastAsia" w:ascii="宋体" w:hAnsi="宋体" w:eastAsia="宋体" w:cs="宋体"/>
          <w:kern w:val="0"/>
          <w:sz w:val="21"/>
          <w:szCs w:val="21"/>
          <w:lang w:val="en-US" w:eastAsia="zh" w:bidi="ar"/>
          <w:woUserID w:val="7"/>
        </w:rPr>
      </w:pPr>
      <w:r>
        <w:rPr>
          <w:rFonts w:hint="eastAsia" w:asciiTheme="minorHAnsi" w:hAnsiTheme="minorHAnsi" w:eastAsiaTheme="minorEastAsia" w:cstheme="minorBidi"/>
          <w:b/>
          <w:bCs/>
          <w:color w:val="auto"/>
          <w:kern w:val="2"/>
          <w:sz w:val="21"/>
          <w:szCs w:val="24"/>
          <w:highlight w:val="none"/>
          <w:lang w:val="en-US" w:eastAsia="zh" w:bidi="ar"/>
          <w:woUserID w:val="7"/>
        </w:rPr>
        <w:t>6.0.5</w:t>
      </w:r>
      <w:r>
        <w:rPr>
          <w:rFonts w:hint="eastAsia" w:ascii="宋体" w:hAnsi="宋体" w:eastAsia="宋体" w:cs="宋体"/>
          <w:kern w:val="0"/>
          <w:sz w:val="21"/>
          <w:szCs w:val="21"/>
          <w:lang w:val="en-US" w:eastAsia="zh" w:bidi="ar"/>
          <w:woUserID w:val="7"/>
        </w:rPr>
        <w:t xml:space="preserve"> </w:t>
      </w:r>
      <w:r>
        <w:rPr>
          <w:rFonts w:hint="eastAsia" w:ascii="宋体" w:hAnsi="宋体" w:eastAsia="宋体" w:cs="宋体"/>
          <w:kern w:val="2"/>
          <w:sz w:val="21"/>
          <w:szCs w:val="21"/>
          <w:lang w:val="en-US" w:eastAsia="zh-CN" w:bidi="ar"/>
          <w:woUserID w:val="7"/>
        </w:rPr>
        <w:t>改建及扩建的</w:t>
      </w:r>
      <w:r>
        <w:rPr>
          <w:rFonts w:hint="eastAsia" w:ascii="宋体" w:hAnsi="宋体" w:eastAsia="宋体" w:cs="宋体"/>
          <w:kern w:val="0"/>
          <w:sz w:val="21"/>
          <w:szCs w:val="21"/>
          <w:lang w:val="en-US" w:eastAsia="zh" w:bidi="ar"/>
          <w:woUserID w:val="7"/>
        </w:rPr>
        <w:t>老年人照料设施</w:t>
      </w:r>
      <w:r>
        <w:rPr>
          <w:rFonts w:hint="eastAsia" w:ascii="宋体" w:hAnsi="宋体" w:eastAsia="宋体" w:cs="宋体"/>
          <w:color w:val="333333"/>
          <w:kern w:val="2"/>
          <w:sz w:val="21"/>
          <w:szCs w:val="21"/>
          <w:lang w:val="en-US" w:eastAsia="zh-CN" w:bidi="ar"/>
          <w:woUserID w:val="7"/>
        </w:rPr>
        <w:t>进行抗震加固时，应当经充分论证后采用隔震减震等技术，保证其抗震性能符合抗震设防强制性标准。</w:t>
      </w:r>
    </w:p>
    <w:p w14:paraId="550E8C7B">
      <w:pPr>
        <w:numPr>
          <w:ilvl w:val="0"/>
          <w:numId w:val="0"/>
        </w:numPr>
        <w:tabs>
          <w:tab w:val="left" w:pos="0"/>
        </w:tabs>
        <w:bidi w:val="0"/>
        <w:ind w:leftChars="0"/>
        <w:rPr>
          <w:rFonts w:hint="eastAsia"/>
          <w:color w:val="auto"/>
          <w:highlight w:val="none"/>
          <w:lang w:val="en-US" w:eastAsia="zh-CN"/>
        </w:rPr>
      </w:pPr>
    </w:p>
    <w:p w14:paraId="13F61146">
      <w:pPr>
        <w:numPr>
          <w:ilvl w:val="0"/>
          <w:numId w:val="2"/>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103" w:name="_Toc272"/>
      <w:bookmarkStart w:id="104" w:name="_Toc31949"/>
      <w:bookmarkStart w:id="105" w:name="_Toc10632"/>
      <w:r>
        <w:rPr>
          <w:rStyle w:val="19"/>
          <w:rFonts w:hint="eastAsia" w:ascii="Times New Roman" w:hAnsi="Times New Roman" w:eastAsia="宋体" w:cs="Times New Roman"/>
          <w:color w:val="auto"/>
          <w:highlight w:val="none"/>
          <w:lang w:val="en-US" w:eastAsia="zh-CN"/>
        </w:rPr>
        <w:t>建筑设备</w:t>
      </w:r>
      <w:bookmarkEnd w:id="103"/>
      <w:bookmarkEnd w:id="104"/>
      <w:bookmarkEnd w:id="105"/>
    </w:p>
    <w:p w14:paraId="4395B549">
      <w:pPr>
        <w:numPr>
          <w:ilvl w:val="0"/>
          <w:numId w:val="0"/>
        </w:numPr>
        <w:rPr>
          <w:rFonts w:hint="default"/>
          <w:color w:val="auto"/>
          <w:highlight w:val="none"/>
          <w:lang w:val="en-US" w:eastAsia="zh-CN"/>
        </w:rPr>
      </w:pPr>
    </w:p>
    <w:p w14:paraId="7AFAC0CF">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06" w:name="_Toc11335"/>
      <w:bookmarkStart w:id="107" w:name="_Toc3455"/>
      <w:bookmarkStart w:id="108" w:name="_Toc28807"/>
      <w:r>
        <w:rPr>
          <w:rStyle w:val="19"/>
          <w:rFonts w:hint="eastAsia" w:ascii="黑体" w:hAnsi="黑体" w:eastAsia="黑体" w:cs="黑体"/>
          <w:color w:val="auto"/>
          <w:sz w:val="28"/>
          <w:szCs w:val="40"/>
          <w:highlight w:val="none"/>
          <w:lang w:val="en-US" w:eastAsia="zh-CN"/>
        </w:rPr>
        <w:t>7.1 给水排水</w:t>
      </w:r>
      <w:bookmarkEnd w:id="106"/>
      <w:bookmarkEnd w:id="107"/>
    </w:p>
    <w:bookmarkEnd w:id="108"/>
    <w:p w14:paraId="5C33FE86">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7.1.1</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给水排水系统及其</w:t>
      </w:r>
      <w:r>
        <w:rPr>
          <w:rFonts w:hint="default"/>
          <w:color w:val="auto"/>
          <w:highlight w:val="none"/>
          <w:lang w:val="en-US" w:eastAsia="zh-CN"/>
        </w:rPr>
        <w:t>设备选型，应</w:t>
      </w:r>
      <w:r>
        <w:rPr>
          <w:rFonts w:hint="eastAsia"/>
          <w:color w:val="auto"/>
          <w:highlight w:val="none"/>
          <w:lang w:val="en-US" w:eastAsia="zh-CN"/>
        </w:rPr>
        <w:t>适合</w:t>
      </w:r>
      <w:r>
        <w:rPr>
          <w:rFonts w:hint="default"/>
          <w:color w:val="auto"/>
          <w:highlight w:val="none"/>
          <w:lang w:val="en-US" w:eastAsia="zh-CN"/>
        </w:rPr>
        <w:t>老年人使用。</w:t>
      </w:r>
    </w:p>
    <w:p w14:paraId="54A8E851">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7.1.2</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的生活</w:t>
      </w:r>
      <w:r>
        <w:rPr>
          <w:rFonts w:hint="default"/>
          <w:color w:val="auto"/>
          <w:highlight w:val="none"/>
          <w:lang w:val="en-US" w:eastAsia="zh-CN"/>
        </w:rPr>
        <w:t>用水</w:t>
      </w:r>
      <w:r>
        <w:rPr>
          <w:rFonts w:hint="eastAsia"/>
          <w:color w:val="auto"/>
          <w:highlight w:val="none"/>
          <w:lang w:val="en-US" w:eastAsia="zh-CN"/>
        </w:rPr>
        <w:t>定额</w:t>
      </w:r>
      <w:r>
        <w:rPr>
          <w:rFonts w:hint="default"/>
          <w:color w:val="auto"/>
          <w:highlight w:val="none"/>
          <w:lang w:val="en-US" w:eastAsia="zh-CN"/>
        </w:rPr>
        <w:t>及小时变化系数</w:t>
      </w:r>
      <w:r>
        <w:rPr>
          <w:rFonts w:hint="eastAsia"/>
          <w:color w:val="auto"/>
          <w:highlight w:val="none"/>
          <w:lang w:val="en-US" w:eastAsia="zh-CN"/>
        </w:rPr>
        <w:t>，宜</w:t>
      </w:r>
      <w:r>
        <w:rPr>
          <w:rFonts w:hint="default"/>
          <w:color w:val="auto"/>
          <w:highlight w:val="none"/>
          <w:lang w:val="en-US" w:eastAsia="zh-CN"/>
        </w:rPr>
        <w:t>按表</w:t>
      </w:r>
      <w:r>
        <w:rPr>
          <w:rFonts w:hint="eastAsia"/>
          <w:color w:val="auto"/>
          <w:highlight w:val="none"/>
          <w:lang w:val="en-US" w:eastAsia="zh-CN"/>
        </w:rPr>
        <w:t>7</w:t>
      </w:r>
      <w:r>
        <w:rPr>
          <w:rFonts w:hint="default"/>
          <w:color w:val="auto"/>
          <w:highlight w:val="none"/>
          <w:lang w:val="en-US" w:eastAsia="zh-CN"/>
        </w:rPr>
        <w:t>.1.2确定：</w:t>
      </w:r>
    </w:p>
    <w:p w14:paraId="46E28957">
      <w:pPr>
        <w:numPr>
          <w:ilvl w:val="0"/>
          <w:numId w:val="0"/>
        </w:numPr>
        <w:jc w:val="center"/>
        <w:rPr>
          <w:rFonts w:hint="default"/>
          <w:b/>
          <w:bCs/>
          <w:color w:val="auto"/>
          <w:sz w:val="18"/>
          <w:szCs w:val="21"/>
          <w:highlight w:val="none"/>
          <w:lang w:val="en-US" w:eastAsia="zh-CN"/>
        </w:rPr>
      </w:pPr>
      <w:r>
        <w:rPr>
          <w:rFonts w:hint="default"/>
          <w:b/>
          <w:bCs/>
          <w:color w:val="auto"/>
          <w:sz w:val="18"/>
          <w:szCs w:val="21"/>
          <w:highlight w:val="none"/>
          <w:lang w:val="en-US" w:eastAsia="zh-CN"/>
        </w:rPr>
        <w:t>表</w:t>
      </w:r>
      <w:r>
        <w:rPr>
          <w:rFonts w:hint="eastAsia"/>
          <w:b/>
          <w:bCs/>
          <w:color w:val="auto"/>
          <w:sz w:val="18"/>
          <w:szCs w:val="21"/>
          <w:highlight w:val="none"/>
          <w:lang w:val="en-US" w:eastAsia="zh-CN"/>
        </w:rPr>
        <w:t>7</w:t>
      </w:r>
      <w:r>
        <w:rPr>
          <w:rFonts w:hint="default"/>
          <w:b/>
          <w:bCs/>
          <w:color w:val="auto"/>
          <w:sz w:val="18"/>
          <w:szCs w:val="21"/>
          <w:highlight w:val="none"/>
          <w:lang w:val="en-US" w:eastAsia="zh-CN"/>
        </w:rPr>
        <w:t>.1.2  用水</w:t>
      </w:r>
      <w:r>
        <w:rPr>
          <w:rFonts w:hint="eastAsia"/>
          <w:b/>
          <w:bCs/>
          <w:color w:val="auto"/>
          <w:sz w:val="18"/>
          <w:szCs w:val="21"/>
          <w:highlight w:val="none"/>
          <w:lang w:val="en-US" w:eastAsia="zh-CN"/>
        </w:rPr>
        <w:t>定额</w:t>
      </w:r>
      <w:r>
        <w:rPr>
          <w:rFonts w:hint="default"/>
          <w:b/>
          <w:bCs/>
          <w:color w:val="auto"/>
          <w:sz w:val="18"/>
          <w:szCs w:val="21"/>
          <w:highlight w:val="none"/>
          <w:lang w:val="en-US" w:eastAsia="zh-CN"/>
        </w:rPr>
        <w:t>及小时变化系数</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652"/>
        <w:gridCol w:w="1913"/>
        <w:gridCol w:w="1125"/>
        <w:gridCol w:w="990"/>
        <w:gridCol w:w="870"/>
        <w:gridCol w:w="1035"/>
        <w:gridCol w:w="1319"/>
      </w:tblGrid>
      <w:tr w14:paraId="0E6E5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8" w:type="dxa"/>
            <w:vMerge w:val="restart"/>
            <w:tcBorders>
              <w:top w:val="single" w:color="auto" w:sz="8" w:space="0"/>
              <w:left w:val="single" w:color="auto" w:sz="8" w:space="0"/>
              <w:right w:val="single" w:color="auto" w:sz="4" w:space="0"/>
            </w:tcBorders>
            <w:vAlign w:val="center"/>
          </w:tcPr>
          <w:p w14:paraId="22E6A89D">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序　号</w:t>
            </w:r>
          </w:p>
        </w:tc>
        <w:tc>
          <w:tcPr>
            <w:tcW w:w="2565" w:type="dxa"/>
            <w:gridSpan w:val="2"/>
            <w:vMerge w:val="restart"/>
            <w:tcBorders>
              <w:top w:val="single" w:color="auto" w:sz="8" w:space="0"/>
              <w:left w:val="single" w:color="auto" w:sz="4" w:space="0"/>
              <w:right w:val="single" w:color="auto" w:sz="4" w:space="0"/>
            </w:tcBorders>
            <w:vAlign w:val="center"/>
          </w:tcPr>
          <w:p w14:paraId="5489798D">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设施标准</w:t>
            </w:r>
          </w:p>
        </w:tc>
        <w:tc>
          <w:tcPr>
            <w:tcW w:w="1125" w:type="dxa"/>
            <w:vMerge w:val="restart"/>
            <w:tcBorders>
              <w:top w:val="single" w:color="auto" w:sz="8" w:space="0"/>
              <w:left w:val="single" w:color="auto" w:sz="4" w:space="0"/>
              <w:right w:val="single" w:color="auto" w:sz="4" w:space="0"/>
            </w:tcBorders>
            <w:vAlign w:val="center"/>
          </w:tcPr>
          <w:p w14:paraId="55480D7D">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单位</w:t>
            </w:r>
          </w:p>
        </w:tc>
        <w:tc>
          <w:tcPr>
            <w:tcW w:w="1860" w:type="dxa"/>
            <w:gridSpan w:val="2"/>
            <w:tcBorders>
              <w:top w:val="single" w:color="auto" w:sz="8" w:space="0"/>
              <w:left w:val="single" w:color="auto" w:sz="4" w:space="0"/>
              <w:bottom w:val="single" w:color="auto" w:sz="4" w:space="0"/>
              <w:right w:val="single" w:color="auto" w:sz="4" w:space="0"/>
            </w:tcBorders>
            <w:vAlign w:val="center"/>
          </w:tcPr>
          <w:p w14:paraId="34B985B3">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用水定额（L）</w:t>
            </w:r>
          </w:p>
        </w:tc>
        <w:tc>
          <w:tcPr>
            <w:tcW w:w="1035" w:type="dxa"/>
            <w:vMerge w:val="restart"/>
            <w:tcBorders>
              <w:top w:val="single" w:color="auto" w:sz="8" w:space="0"/>
              <w:left w:val="single" w:color="auto" w:sz="4" w:space="0"/>
              <w:right w:val="single" w:color="auto" w:sz="8" w:space="0"/>
            </w:tcBorders>
            <w:vAlign w:val="center"/>
          </w:tcPr>
          <w:p w14:paraId="2D6E4D80">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使用时数（h）</w:t>
            </w:r>
          </w:p>
        </w:tc>
        <w:tc>
          <w:tcPr>
            <w:tcW w:w="1319" w:type="dxa"/>
            <w:vMerge w:val="restart"/>
            <w:tcBorders>
              <w:top w:val="single" w:color="auto" w:sz="8" w:space="0"/>
              <w:left w:val="single" w:color="auto" w:sz="4" w:space="0"/>
              <w:right w:val="single" w:color="auto" w:sz="8" w:space="0"/>
            </w:tcBorders>
            <w:vAlign w:val="center"/>
          </w:tcPr>
          <w:p w14:paraId="3C8BCD61">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最高日</w:t>
            </w:r>
            <w:r>
              <w:rPr>
                <w:rFonts w:hint="default"/>
                <w:color w:val="auto"/>
                <w:sz w:val="20"/>
                <w:szCs w:val="20"/>
                <w:highlight w:val="none"/>
                <w:lang w:val="en-US" w:eastAsia="zh-CN"/>
              </w:rPr>
              <w:t>小时变化系数</w:t>
            </w:r>
          </w:p>
        </w:tc>
      </w:tr>
      <w:tr w14:paraId="3A439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8" w:type="dxa"/>
            <w:vMerge w:val="continue"/>
            <w:tcBorders>
              <w:left w:val="single" w:color="auto" w:sz="8" w:space="0"/>
              <w:bottom w:val="single" w:color="auto" w:sz="4" w:space="0"/>
              <w:right w:val="single" w:color="auto" w:sz="4" w:space="0"/>
            </w:tcBorders>
            <w:vAlign w:val="center"/>
          </w:tcPr>
          <w:p w14:paraId="061921BF">
            <w:pPr>
              <w:numPr>
                <w:ilvl w:val="0"/>
                <w:numId w:val="0"/>
              </w:numPr>
              <w:tabs>
                <w:tab w:val="left" w:pos="0"/>
              </w:tabs>
              <w:bidi w:val="0"/>
              <w:ind w:left="-9" w:leftChars="0"/>
              <w:jc w:val="center"/>
              <w:rPr>
                <w:rFonts w:hint="default"/>
                <w:color w:val="auto"/>
                <w:sz w:val="20"/>
                <w:szCs w:val="20"/>
                <w:highlight w:val="none"/>
                <w:lang w:val="en-US" w:eastAsia="zh-CN"/>
              </w:rPr>
            </w:pPr>
          </w:p>
        </w:tc>
        <w:tc>
          <w:tcPr>
            <w:tcW w:w="2565" w:type="dxa"/>
            <w:gridSpan w:val="2"/>
            <w:vMerge w:val="continue"/>
            <w:tcBorders>
              <w:left w:val="single" w:color="auto" w:sz="4" w:space="0"/>
              <w:bottom w:val="single" w:color="auto" w:sz="4" w:space="0"/>
              <w:right w:val="single" w:color="auto" w:sz="4" w:space="0"/>
            </w:tcBorders>
            <w:vAlign w:val="center"/>
          </w:tcPr>
          <w:p w14:paraId="0D01BD96">
            <w:pPr>
              <w:numPr>
                <w:ilvl w:val="0"/>
                <w:numId w:val="0"/>
              </w:numPr>
              <w:tabs>
                <w:tab w:val="left" w:pos="0"/>
              </w:tabs>
              <w:bidi w:val="0"/>
              <w:ind w:left="-9" w:leftChars="0"/>
              <w:jc w:val="center"/>
              <w:rPr>
                <w:rFonts w:hint="default"/>
                <w:color w:val="auto"/>
                <w:sz w:val="20"/>
                <w:szCs w:val="20"/>
                <w:highlight w:val="none"/>
                <w:lang w:val="en-US" w:eastAsia="zh-CN"/>
              </w:rPr>
            </w:pPr>
          </w:p>
        </w:tc>
        <w:tc>
          <w:tcPr>
            <w:tcW w:w="1125" w:type="dxa"/>
            <w:vMerge w:val="continue"/>
            <w:tcBorders>
              <w:left w:val="single" w:color="auto" w:sz="4" w:space="0"/>
              <w:bottom w:val="single" w:color="auto" w:sz="4" w:space="0"/>
              <w:right w:val="single" w:color="auto" w:sz="4" w:space="0"/>
            </w:tcBorders>
            <w:vAlign w:val="center"/>
          </w:tcPr>
          <w:p w14:paraId="472FFA88">
            <w:pPr>
              <w:numPr>
                <w:ilvl w:val="0"/>
                <w:numId w:val="0"/>
              </w:numPr>
              <w:tabs>
                <w:tab w:val="left" w:pos="0"/>
              </w:tabs>
              <w:bidi w:val="0"/>
              <w:ind w:left="-9" w:leftChars="0"/>
              <w:jc w:val="center"/>
              <w:rPr>
                <w:rFonts w:hint="eastAsia"/>
                <w:color w:val="auto"/>
                <w:sz w:val="20"/>
                <w:szCs w:val="20"/>
                <w:highlight w:val="none"/>
                <w:lang w:val="en-US" w:eastAsia="zh-CN"/>
              </w:rPr>
            </w:pPr>
          </w:p>
        </w:tc>
        <w:tc>
          <w:tcPr>
            <w:tcW w:w="990" w:type="dxa"/>
            <w:tcBorders>
              <w:top w:val="single" w:color="auto" w:sz="8" w:space="0"/>
              <w:left w:val="single" w:color="auto" w:sz="4" w:space="0"/>
              <w:bottom w:val="single" w:color="auto" w:sz="4" w:space="0"/>
              <w:right w:val="single" w:color="auto" w:sz="4" w:space="0"/>
            </w:tcBorders>
            <w:vAlign w:val="center"/>
          </w:tcPr>
          <w:p w14:paraId="397B9E98">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最高日</w:t>
            </w:r>
          </w:p>
        </w:tc>
        <w:tc>
          <w:tcPr>
            <w:tcW w:w="870" w:type="dxa"/>
            <w:tcBorders>
              <w:top w:val="single" w:color="auto" w:sz="8" w:space="0"/>
              <w:left w:val="single" w:color="auto" w:sz="4" w:space="0"/>
              <w:bottom w:val="single" w:color="auto" w:sz="4" w:space="0"/>
              <w:right w:val="single" w:color="auto" w:sz="4" w:space="0"/>
            </w:tcBorders>
            <w:vAlign w:val="center"/>
          </w:tcPr>
          <w:p w14:paraId="2CE978C2">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平均日</w:t>
            </w:r>
          </w:p>
        </w:tc>
        <w:tc>
          <w:tcPr>
            <w:tcW w:w="1035" w:type="dxa"/>
            <w:vMerge w:val="continue"/>
            <w:tcBorders>
              <w:left w:val="single" w:color="auto" w:sz="4" w:space="0"/>
              <w:bottom w:val="single" w:color="auto" w:sz="4" w:space="0"/>
              <w:right w:val="single" w:color="auto" w:sz="8" w:space="0"/>
            </w:tcBorders>
            <w:vAlign w:val="center"/>
          </w:tcPr>
          <w:p w14:paraId="0FED87EC">
            <w:pPr>
              <w:numPr>
                <w:ilvl w:val="0"/>
                <w:numId w:val="0"/>
              </w:numPr>
              <w:tabs>
                <w:tab w:val="left" w:pos="0"/>
              </w:tabs>
              <w:bidi w:val="0"/>
              <w:ind w:left="-9" w:leftChars="0"/>
              <w:jc w:val="center"/>
              <w:rPr>
                <w:rFonts w:hint="default"/>
                <w:color w:val="auto"/>
                <w:sz w:val="20"/>
                <w:szCs w:val="20"/>
                <w:highlight w:val="none"/>
                <w:lang w:val="en-US" w:eastAsia="zh-CN"/>
              </w:rPr>
            </w:pPr>
          </w:p>
        </w:tc>
        <w:tc>
          <w:tcPr>
            <w:tcW w:w="1319" w:type="dxa"/>
            <w:vMerge w:val="continue"/>
            <w:tcBorders>
              <w:left w:val="single" w:color="auto" w:sz="4" w:space="0"/>
              <w:bottom w:val="single" w:color="auto" w:sz="4" w:space="0"/>
              <w:right w:val="single" w:color="auto" w:sz="8" w:space="0"/>
            </w:tcBorders>
            <w:vAlign w:val="center"/>
          </w:tcPr>
          <w:p w14:paraId="566BF88B">
            <w:pPr>
              <w:numPr>
                <w:ilvl w:val="0"/>
                <w:numId w:val="0"/>
              </w:numPr>
              <w:tabs>
                <w:tab w:val="left" w:pos="0"/>
              </w:tabs>
              <w:bidi w:val="0"/>
              <w:ind w:left="-9" w:leftChars="0"/>
              <w:jc w:val="center"/>
              <w:rPr>
                <w:rFonts w:hint="default"/>
                <w:color w:val="auto"/>
                <w:sz w:val="20"/>
                <w:szCs w:val="20"/>
                <w:highlight w:val="none"/>
                <w:lang w:val="en-US" w:eastAsia="zh-CN"/>
              </w:rPr>
            </w:pPr>
          </w:p>
        </w:tc>
      </w:tr>
      <w:tr w14:paraId="57770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8" w:type="dxa"/>
            <w:vMerge w:val="restart"/>
            <w:tcBorders>
              <w:top w:val="single" w:color="auto" w:sz="4" w:space="0"/>
              <w:left w:val="single" w:color="auto" w:sz="8" w:space="0"/>
              <w:right w:val="single" w:color="auto" w:sz="4" w:space="0"/>
            </w:tcBorders>
            <w:vAlign w:val="center"/>
          </w:tcPr>
          <w:p w14:paraId="3DDAF7C6">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1</w:t>
            </w:r>
          </w:p>
        </w:tc>
        <w:tc>
          <w:tcPr>
            <w:tcW w:w="652" w:type="dxa"/>
            <w:vMerge w:val="restart"/>
            <w:tcBorders>
              <w:top w:val="single" w:color="auto" w:sz="4" w:space="0"/>
              <w:left w:val="single" w:color="auto" w:sz="4" w:space="0"/>
              <w:right w:val="single" w:color="auto" w:sz="4" w:space="0"/>
            </w:tcBorders>
            <w:vAlign w:val="center"/>
          </w:tcPr>
          <w:p w14:paraId="0E446A80">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全托</w:t>
            </w:r>
          </w:p>
        </w:tc>
        <w:tc>
          <w:tcPr>
            <w:tcW w:w="1913" w:type="dxa"/>
            <w:tcBorders>
              <w:top w:val="single" w:color="auto" w:sz="4" w:space="0"/>
              <w:left w:val="single" w:color="auto" w:sz="4" w:space="0"/>
              <w:bottom w:val="single" w:color="auto" w:sz="4" w:space="0"/>
              <w:right w:val="single" w:color="auto" w:sz="4" w:space="0"/>
            </w:tcBorders>
            <w:vAlign w:val="center"/>
          </w:tcPr>
          <w:p w14:paraId="595F9A6C">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集中厕所、盥洗</w:t>
            </w:r>
          </w:p>
        </w:tc>
        <w:tc>
          <w:tcPr>
            <w:tcW w:w="1125" w:type="dxa"/>
            <w:tcBorders>
              <w:top w:val="single" w:color="auto" w:sz="4" w:space="0"/>
              <w:left w:val="single" w:color="auto" w:sz="4" w:space="0"/>
              <w:bottom w:val="single" w:color="auto" w:sz="4" w:space="0"/>
              <w:right w:val="single" w:color="auto" w:sz="4" w:space="0"/>
            </w:tcBorders>
            <w:vAlign w:val="center"/>
          </w:tcPr>
          <w:p w14:paraId="1D3B684C">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每床每日</w:t>
            </w:r>
          </w:p>
        </w:tc>
        <w:tc>
          <w:tcPr>
            <w:tcW w:w="990" w:type="dxa"/>
            <w:tcBorders>
              <w:top w:val="single" w:color="auto" w:sz="4" w:space="0"/>
              <w:left w:val="single" w:color="auto" w:sz="4" w:space="0"/>
              <w:bottom w:val="single" w:color="auto" w:sz="4" w:space="0"/>
              <w:right w:val="single" w:color="auto" w:sz="4" w:space="0"/>
            </w:tcBorders>
            <w:vAlign w:val="center"/>
          </w:tcPr>
          <w:p w14:paraId="4FBCC0FB">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50~100</w:t>
            </w:r>
          </w:p>
        </w:tc>
        <w:tc>
          <w:tcPr>
            <w:tcW w:w="870" w:type="dxa"/>
            <w:tcBorders>
              <w:top w:val="single" w:color="auto" w:sz="4" w:space="0"/>
              <w:left w:val="single" w:color="auto" w:sz="4" w:space="0"/>
              <w:bottom w:val="single" w:color="auto" w:sz="4" w:space="0"/>
              <w:right w:val="single" w:color="auto" w:sz="4" w:space="0"/>
            </w:tcBorders>
            <w:vAlign w:val="center"/>
          </w:tcPr>
          <w:p w14:paraId="0D8FA65A">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40~80</w:t>
            </w:r>
          </w:p>
        </w:tc>
        <w:tc>
          <w:tcPr>
            <w:tcW w:w="1035" w:type="dxa"/>
            <w:tcBorders>
              <w:top w:val="single" w:color="auto" w:sz="4" w:space="0"/>
              <w:left w:val="single" w:color="auto" w:sz="4" w:space="0"/>
              <w:bottom w:val="single" w:color="auto" w:sz="4" w:space="0"/>
              <w:right w:val="single" w:color="auto" w:sz="8" w:space="0"/>
            </w:tcBorders>
            <w:vAlign w:val="center"/>
          </w:tcPr>
          <w:p w14:paraId="070531F5">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24</w:t>
            </w:r>
          </w:p>
        </w:tc>
        <w:tc>
          <w:tcPr>
            <w:tcW w:w="1319" w:type="dxa"/>
            <w:tcBorders>
              <w:top w:val="single" w:color="auto" w:sz="4" w:space="0"/>
              <w:left w:val="single" w:color="auto" w:sz="4" w:space="0"/>
              <w:bottom w:val="single" w:color="auto" w:sz="4" w:space="0"/>
              <w:right w:val="single" w:color="auto" w:sz="8" w:space="0"/>
            </w:tcBorders>
            <w:vAlign w:val="center"/>
          </w:tcPr>
          <w:p w14:paraId="165801A8">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2.5~2.0</w:t>
            </w:r>
          </w:p>
        </w:tc>
      </w:tr>
      <w:tr w14:paraId="73474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8" w:type="dxa"/>
            <w:vMerge w:val="continue"/>
            <w:tcBorders>
              <w:left w:val="single" w:color="auto" w:sz="8" w:space="0"/>
              <w:right w:val="single" w:color="auto" w:sz="4" w:space="0"/>
            </w:tcBorders>
            <w:vAlign w:val="center"/>
          </w:tcPr>
          <w:p w14:paraId="28A118BA">
            <w:pPr>
              <w:numPr>
                <w:ilvl w:val="0"/>
                <w:numId w:val="0"/>
              </w:numPr>
              <w:tabs>
                <w:tab w:val="left" w:pos="0"/>
              </w:tabs>
              <w:bidi w:val="0"/>
              <w:ind w:left="-9" w:leftChars="0"/>
              <w:jc w:val="center"/>
              <w:rPr>
                <w:rFonts w:hint="default"/>
                <w:color w:val="auto"/>
                <w:sz w:val="20"/>
                <w:szCs w:val="20"/>
                <w:highlight w:val="none"/>
                <w:lang w:val="en-US" w:eastAsia="zh-CN"/>
              </w:rPr>
            </w:pPr>
          </w:p>
        </w:tc>
        <w:tc>
          <w:tcPr>
            <w:tcW w:w="652" w:type="dxa"/>
            <w:vMerge w:val="continue"/>
            <w:tcBorders>
              <w:left w:val="single" w:color="auto" w:sz="4" w:space="0"/>
              <w:right w:val="single" w:color="auto" w:sz="4" w:space="0"/>
            </w:tcBorders>
            <w:vAlign w:val="center"/>
          </w:tcPr>
          <w:p w14:paraId="51E9821D">
            <w:pPr>
              <w:numPr>
                <w:ilvl w:val="0"/>
                <w:numId w:val="0"/>
              </w:numPr>
              <w:tabs>
                <w:tab w:val="left" w:pos="0"/>
              </w:tabs>
              <w:bidi w:val="0"/>
              <w:ind w:left="-9" w:leftChars="0"/>
              <w:jc w:val="center"/>
              <w:rPr>
                <w:rFonts w:hint="default"/>
                <w:color w:val="auto"/>
                <w:sz w:val="20"/>
                <w:szCs w:val="20"/>
                <w:highlight w:val="none"/>
                <w:lang w:val="en-US" w:eastAsia="zh-CN"/>
              </w:rPr>
            </w:pPr>
          </w:p>
        </w:tc>
        <w:tc>
          <w:tcPr>
            <w:tcW w:w="1913" w:type="dxa"/>
            <w:tcBorders>
              <w:top w:val="single" w:color="auto" w:sz="4" w:space="0"/>
              <w:left w:val="single" w:color="auto" w:sz="4" w:space="0"/>
              <w:bottom w:val="single" w:color="auto" w:sz="4" w:space="0"/>
              <w:right w:val="single" w:color="auto" w:sz="4" w:space="0"/>
            </w:tcBorders>
            <w:vAlign w:val="center"/>
          </w:tcPr>
          <w:p w14:paraId="5FA58DD8">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集中浴室、厕所、盥洗</w:t>
            </w:r>
          </w:p>
        </w:tc>
        <w:tc>
          <w:tcPr>
            <w:tcW w:w="1125" w:type="dxa"/>
            <w:tcBorders>
              <w:top w:val="single" w:color="auto" w:sz="4" w:space="0"/>
              <w:left w:val="single" w:color="auto" w:sz="4" w:space="0"/>
              <w:bottom w:val="single" w:color="auto" w:sz="4" w:space="0"/>
              <w:right w:val="single" w:color="auto" w:sz="4" w:space="0"/>
            </w:tcBorders>
            <w:vAlign w:val="center"/>
          </w:tcPr>
          <w:p w14:paraId="12527443">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每床每日</w:t>
            </w:r>
          </w:p>
        </w:tc>
        <w:tc>
          <w:tcPr>
            <w:tcW w:w="990" w:type="dxa"/>
            <w:tcBorders>
              <w:top w:val="single" w:color="auto" w:sz="4" w:space="0"/>
              <w:left w:val="single" w:color="auto" w:sz="4" w:space="0"/>
              <w:bottom w:val="single" w:color="auto" w:sz="4" w:space="0"/>
              <w:right w:val="single" w:color="auto" w:sz="4" w:space="0"/>
            </w:tcBorders>
            <w:vAlign w:val="center"/>
          </w:tcPr>
          <w:p w14:paraId="3C07125B">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80~130</w:t>
            </w:r>
          </w:p>
        </w:tc>
        <w:tc>
          <w:tcPr>
            <w:tcW w:w="870" w:type="dxa"/>
            <w:tcBorders>
              <w:top w:val="single" w:color="auto" w:sz="4" w:space="0"/>
              <w:left w:val="single" w:color="auto" w:sz="4" w:space="0"/>
              <w:bottom w:val="single" w:color="auto" w:sz="4" w:space="0"/>
              <w:right w:val="single" w:color="auto" w:sz="4" w:space="0"/>
            </w:tcBorders>
            <w:vAlign w:val="center"/>
          </w:tcPr>
          <w:p w14:paraId="7AF214B5">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70~100</w:t>
            </w:r>
          </w:p>
        </w:tc>
        <w:tc>
          <w:tcPr>
            <w:tcW w:w="1035" w:type="dxa"/>
            <w:tcBorders>
              <w:top w:val="single" w:color="auto" w:sz="4" w:space="0"/>
              <w:left w:val="single" w:color="auto" w:sz="4" w:space="0"/>
              <w:bottom w:val="single" w:color="auto" w:sz="4" w:space="0"/>
              <w:right w:val="single" w:color="auto" w:sz="8" w:space="0"/>
            </w:tcBorders>
            <w:vAlign w:val="center"/>
          </w:tcPr>
          <w:p w14:paraId="7C066516">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24</w:t>
            </w:r>
          </w:p>
        </w:tc>
        <w:tc>
          <w:tcPr>
            <w:tcW w:w="1319" w:type="dxa"/>
            <w:tcBorders>
              <w:top w:val="single" w:color="auto" w:sz="4" w:space="0"/>
              <w:left w:val="single" w:color="auto" w:sz="4" w:space="0"/>
              <w:bottom w:val="single" w:color="auto" w:sz="4" w:space="0"/>
              <w:right w:val="single" w:color="auto" w:sz="8" w:space="0"/>
            </w:tcBorders>
            <w:vAlign w:val="center"/>
          </w:tcPr>
          <w:p w14:paraId="7E7D4A5C">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2.5~2.0</w:t>
            </w:r>
          </w:p>
        </w:tc>
      </w:tr>
      <w:tr w14:paraId="28B4E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8" w:type="dxa"/>
            <w:vMerge w:val="continue"/>
            <w:tcBorders>
              <w:left w:val="single" w:color="auto" w:sz="8" w:space="0"/>
              <w:right w:val="single" w:color="auto" w:sz="4" w:space="0"/>
            </w:tcBorders>
            <w:vAlign w:val="center"/>
          </w:tcPr>
          <w:p w14:paraId="2D11CEE5">
            <w:pPr>
              <w:numPr>
                <w:ilvl w:val="0"/>
                <w:numId w:val="0"/>
              </w:numPr>
              <w:tabs>
                <w:tab w:val="left" w:pos="0"/>
              </w:tabs>
              <w:bidi w:val="0"/>
              <w:ind w:left="-9" w:leftChars="0"/>
              <w:jc w:val="center"/>
              <w:rPr>
                <w:rFonts w:hint="default"/>
                <w:color w:val="auto"/>
                <w:sz w:val="20"/>
                <w:szCs w:val="20"/>
                <w:highlight w:val="none"/>
                <w:lang w:val="en-US" w:eastAsia="zh-CN"/>
              </w:rPr>
            </w:pPr>
          </w:p>
        </w:tc>
        <w:tc>
          <w:tcPr>
            <w:tcW w:w="652" w:type="dxa"/>
            <w:vMerge w:val="continue"/>
            <w:tcBorders>
              <w:left w:val="single" w:color="auto" w:sz="4" w:space="0"/>
              <w:right w:val="single" w:color="auto" w:sz="4" w:space="0"/>
            </w:tcBorders>
            <w:vAlign w:val="center"/>
          </w:tcPr>
          <w:p w14:paraId="0FC09410">
            <w:pPr>
              <w:numPr>
                <w:ilvl w:val="0"/>
                <w:numId w:val="0"/>
              </w:numPr>
              <w:tabs>
                <w:tab w:val="left" w:pos="0"/>
              </w:tabs>
              <w:bidi w:val="0"/>
              <w:ind w:left="-9" w:leftChars="0"/>
              <w:jc w:val="center"/>
              <w:rPr>
                <w:rFonts w:hint="default"/>
                <w:color w:val="auto"/>
                <w:sz w:val="20"/>
                <w:szCs w:val="20"/>
                <w:highlight w:val="none"/>
                <w:lang w:val="en-US" w:eastAsia="zh-CN"/>
              </w:rPr>
            </w:pPr>
          </w:p>
        </w:tc>
        <w:tc>
          <w:tcPr>
            <w:tcW w:w="1913" w:type="dxa"/>
            <w:tcBorders>
              <w:top w:val="single" w:color="auto" w:sz="4" w:space="0"/>
              <w:left w:val="single" w:color="auto" w:sz="4" w:space="0"/>
              <w:bottom w:val="single" w:color="auto" w:sz="4" w:space="0"/>
              <w:right w:val="single" w:color="auto" w:sz="4" w:space="0"/>
            </w:tcBorders>
            <w:vAlign w:val="center"/>
          </w:tcPr>
          <w:p w14:paraId="0E177992">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集中浴室、房间设盥洗、厕所</w:t>
            </w:r>
          </w:p>
        </w:tc>
        <w:tc>
          <w:tcPr>
            <w:tcW w:w="1125" w:type="dxa"/>
            <w:tcBorders>
              <w:top w:val="single" w:color="auto" w:sz="4" w:space="0"/>
              <w:left w:val="single" w:color="auto" w:sz="4" w:space="0"/>
              <w:bottom w:val="single" w:color="auto" w:sz="4" w:space="0"/>
              <w:right w:val="single" w:color="auto" w:sz="4" w:space="0"/>
            </w:tcBorders>
            <w:vAlign w:val="center"/>
          </w:tcPr>
          <w:p w14:paraId="313E018E">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每床每日</w:t>
            </w:r>
          </w:p>
        </w:tc>
        <w:tc>
          <w:tcPr>
            <w:tcW w:w="990" w:type="dxa"/>
            <w:tcBorders>
              <w:top w:val="single" w:color="auto" w:sz="4" w:space="0"/>
              <w:left w:val="single" w:color="auto" w:sz="4" w:space="0"/>
              <w:bottom w:val="single" w:color="auto" w:sz="4" w:space="0"/>
              <w:right w:val="single" w:color="auto" w:sz="4" w:space="0"/>
            </w:tcBorders>
            <w:vAlign w:val="center"/>
          </w:tcPr>
          <w:p w14:paraId="464AF630">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100~150</w:t>
            </w:r>
          </w:p>
        </w:tc>
        <w:tc>
          <w:tcPr>
            <w:tcW w:w="870" w:type="dxa"/>
            <w:tcBorders>
              <w:top w:val="single" w:color="auto" w:sz="4" w:space="0"/>
              <w:left w:val="single" w:color="auto" w:sz="4" w:space="0"/>
              <w:bottom w:val="single" w:color="auto" w:sz="4" w:space="0"/>
              <w:right w:val="single" w:color="auto" w:sz="4" w:space="0"/>
            </w:tcBorders>
            <w:vAlign w:val="center"/>
          </w:tcPr>
          <w:p w14:paraId="43FB6DF4">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90~120</w:t>
            </w:r>
          </w:p>
        </w:tc>
        <w:tc>
          <w:tcPr>
            <w:tcW w:w="1035" w:type="dxa"/>
            <w:tcBorders>
              <w:top w:val="single" w:color="auto" w:sz="4" w:space="0"/>
              <w:left w:val="single" w:color="auto" w:sz="4" w:space="0"/>
              <w:bottom w:val="single" w:color="auto" w:sz="4" w:space="0"/>
              <w:right w:val="single" w:color="auto" w:sz="8" w:space="0"/>
            </w:tcBorders>
            <w:vAlign w:val="center"/>
          </w:tcPr>
          <w:p w14:paraId="6808D233">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24</w:t>
            </w:r>
          </w:p>
        </w:tc>
        <w:tc>
          <w:tcPr>
            <w:tcW w:w="1319" w:type="dxa"/>
            <w:tcBorders>
              <w:top w:val="single" w:color="auto" w:sz="4" w:space="0"/>
              <w:left w:val="single" w:color="auto" w:sz="4" w:space="0"/>
              <w:bottom w:val="single" w:color="auto" w:sz="4" w:space="0"/>
              <w:right w:val="single" w:color="auto" w:sz="8" w:space="0"/>
            </w:tcBorders>
            <w:vAlign w:val="center"/>
          </w:tcPr>
          <w:p w14:paraId="181301A0">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2.5~2.0</w:t>
            </w:r>
          </w:p>
        </w:tc>
      </w:tr>
      <w:tr w14:paraId="0D5DD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8" w:type="dxa"/>
            <w:vMerge w:val="continue"/>
            <w:tcBorders>
              <w:left w:val="single" w:color="auto" w:sz="8" w:space="0"/>
              <w:bottom w:val="single" w:color="auto" w:sz="4" w:space="0"/>
              <w:right w:val="single" w:color="auto" w:sz="4" w:space="0"/>
            </w:tcBorders>
            <w:vAlign w:val="center"/>
          </w:tcPr>
          <w:p w14:paraId="1F84D3C4">
            <w:pPr>
              <w:numPr>
                <w:ilvl w:val="0"/>
                <w:numId w:val="0"/>
              </w:numPr>
              <w:tabs>
                <w:tab w:val="left" w:pos="0"/>
              </w:tabs>
              <w:bidi w:val="0"/>
              <w:ind w:left="-9" w:leftChars="0"/>
              <w:jc w:val="center"/>
              <w:rPr>
                <w:rFonts w:hint="default"/>
                <w:color w:val="auto"/>
                <w:sz w:val="20"/>
                <w:szCs w:val="20"/>
                <w:highlight w:val="none"/>
                <w:lang w:val="en-US" w:eastAsia="zh-CN"/>
              </w:rPr>
            </w:pPr>
          </w:p>
        </w:tc>
        <w:tc>
          <w:tcPr>
            <w:tcW w:w="652" w:type="dxa"/>
            <w:vMerge w:val="continue"/>
            <w:tcBorders>
              <w:left w:val="single" w:color="auto" w:sz="4" w:space="0"/>
              <w:bottom w:val="single" w:color="auto" w:sz="4" w:space="0"/>
              <w:right w:val="single" w:color="auto" w:sz="4" w:space="0"/>
            </w:tcBorders>
            <w:vAlign w:val="center"/>
          </w:tcPr>
          <w:p w14:paraId="54264ABD">
            <w:pPr>
              <w:numPr>
                <w:ilvl w:val="0"/>
                <w:numId w:val="0"/>
              </w:numPr>
              <w:tabs>
                <w:tab w:val="left" w:pos="0"/>
              </w:tabs>
              <w:bidi w:val="0"/>
              <w:ind w:left="-9" w:leftChars="0"/>
              <w:jc w:val="center"/>
              <w:rPr>
                <w:rFonts w:hint="default"/>
                <w:color w:val="auto"/>
                <w:sz w:val="20"/>
                <w:szCs w:val="20"/>
                <w:highlight w:val="none"/>
                <w:lang w:val="en-US" w:eastAsia="zh-CN"/>
              </w:rPr>
            </w:pPr>
          </w:p>
        </w:tc>
        <w:tc>
          <w:tcPr>
            <w:tcW w:w="1913" w:type="dxa"/>
            <w:tcBorders>
              <w:top w:val="single" w:color="auto" w:sz="4" w:space="0"/>
              <w:left w:val="single" w:color="auto" w:sz="4" w:space="0"/>
              <w:bottom w:val="single" w:color="auto" w:sz="4" w:space="0"/>
              <w:right w:val="single" w:color="auto" w:sz="4" w:space="0"/>
            </w:tcBorders>
            <w:vAlign w:val="center"/>
          </w:tcPr>
          <w:p w14:paraId="0A8D5D17">
            <w:pPr>
              <w:numPr>
                <w:ilvl w:val="0"/>
                <w:numId w:val="0"/>
              </w:numPr>
              <w:tabs>
                <w:tab w:val="left" w:pos="0"/>
              </w:tabs>
              <w:bidi w:val="0"/>
              <w:ind w:left="-9" w:leftChars="0"/>
              <w:jc w:val="center"/>
              <w:rPr>
                <w:rFonts w:hint="default"/>
                <w:color w:val="auto"/>
                <w:sz w:val="20"/>
                <w:szCs w:val="20"/>
                <w:highlight w:val="none"/>
                <w:lang w:val="en-US" w:eastAsia="zh-CN"/>
              </w:rPr>
            </w:pPr>
            <w:r>
              <w:rPr>
                <w:rFonts w:hint="default"/>
                <w:color w:val="auto"/>
                <w:sz w:val="20"/>
                <w:szCs w:val="20"/>
                <w:highlight w:val="none"/>
                <w:lang w:val="en-US" w:eastAsia="zh-CN"/>
              </w:rPr>
              <w:t>房间内设浴室、盥洗、厕所</w:t>
            </w:r>
          </w:p>
        </w:tc>
        <w:tc>
          <w:tcPr>
            <w:tcW w:w="1125" w:type="dxa"/>
            <w:tcBorders>
              <w:top w:val="single" w:color="auto" w:sz="4" w:space="0"/>
              <w:left w:val="single" w:color="auto" w:sz="4" w:space="0"/>
              <w:bottom w:val="single" w:color="auto" w:sz="4" w:space="0"/>
              <w:right w:val="single" w:color="auto" w:sz="4" w:space="0"/>
            </w:tcBorders>
            <w:vAlign w:val="center"/>
          </w:tcPr>
          <w:p w14:paraId="245326FC">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每床每日</w:t>
            </w:r>
          </w:p>
        </w:tc>
        <w:tc>
          <w:tcPr>
            <w:tcW w:w="990" w:type="dxa"/>
            <w:tcBorders>
              <w:top w:val="single" w:color="auto" w:sz="4" w:space="0"/>
              <w:left w:val="single" w:color="auto" w:sz="4" w:space="0"/>
              <w:bottom w:val="single" w:color="auto" w:sz="4" w:space="0"/>
              <w:right w:val="single" w:color="auto" w:sz="4" w:space="0"/>
            </w:tcBorders>
            <w:vAlign w:val="center"/>
          </w:tcPr>
          <w:p w14:paraId="0F25F19C">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120~200</w:t>
            </w:r>
          </w:p>
        </w:tc>
        <w:tc>
          <w:tcPr>
            <w:tcW w:w="870" w:type="dxa"/>
            <w:tcBorders>
              <w:top w:val="single" w:color="auto" w:sz="4" w:space="0"/>
              <w:left w:val="single" w:color="auto" w:sz="4" w:space="0"/>
              <w:bottom w:val="single" w:color="auto" w:sz="4" w:space="0"/>
              <w:right w:val="single" w:color="auto" w:sz="4" w:space="0"/>
            </w:tcBorders>
            <w:vAlign w:val="center"/>
          </w:tcPr>
          <w:p w14:paraId="7A327E65">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110~160</w:t>
            </w:r>
          </w:p>
        </w:tc>
        <w:tc>
          <w:tcPr>
            <w:tcW w:w="1035" w:type="dxa"/>
            <w:tcBorders>
              <w:top w:val="single" w:color="auto" w:sz="4" w:space="0"/>
              <w:left w:val="single" w:color="auto" w:sz="4" w:space="0"/>
              <w:bottom w:val="single" w:color="auto" w:sz="4" w:space="0"/>
              <w:right w:val="single" w:color="auto" w:sz="8" w:space="0"/>
            </w:tcBorders>
            <w:vAlign w:val="center"/>
          </w:tcPr>
          <w:p w14:paraId="43A8EA11">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24</w:t>
            </w:r>
          </w:p>
        </w:tc>
        <w:tc>
          <w:tcPr>
            <w:tcW w:w="1319" w:type="dxa"/>
            <w:tcBorders>
              <w:top w:val="single" w:color="auto" w:sz="4" w:space="0"/>
              <w:left w:val="single" w:color="auto" w:sz="4" w:space="0"/>
              <w:bottom w:val="single" w:color="auto" w:sz="4" w:space="0"/>
              <w:right w:val="single" w:color="auto" w:sz="8" w:space="0"/>
            </w:tcBorders>
            <w:vAlign w:val="center"/>
          </w:tcPr>
          <w:p w14:paraId="5BAD45E7">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2.5~2.0</w:t>
            </w:r>
          </w:p>
        </w:tc>
      </w:tr>
      <w:tr w14:paraId="120EF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8" w:type="dxa"/>
            <w:tcBorders>
              <w:top w:val="single" w:color="auto" w:sz="4" w:space="0"/>
              <w:left w:val="single" w:color="auto" w:sz="8" w:space="0"/>
              <w:bottom w:val="single" w:color="auto" w:sz="4" w:space="0"/>
              <w:right w:val="single" w:color="auto" w:sz="4" w:space="0"/>
            </w:tcBorders>
            <w:vAlign w:val="center"/>
          </w:tcPr>
          <w:p w14:paraId="67CF2C61">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2</w:t>
            </w:r>
          </w:p>
        </w:tc>
        <w:tc>
          <w:tcPr>
            <w:tcW w:w="2565" w:type="dxa"/>
            <w:gridSpan w:val="2"/>
            <w:tcBorders>
              <w:top w:val="single" w:color="auto" w:sz="4" w:space="0"/>
              <w:left w:val="single" w:color="auto" w:sz="4" w:space="0"/>
              <w:bottom w:val="single" w:color="auto" w:sz="4" w:space="0"/>
              <w:right w:val="single" w:color="auto" w:sz="4" w:space="0"/>
            </w:tcBorders>
            <w:vAlign w:val="center"/>
          </w:tcPr>
          <w:p w14:paraId="503C5B92">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日托</w:t>
            </w:r>
          </w:p>
        </w:tc>
        <w:tc>
          <w:tcPr>
            <w:tcW w:w="1125" w:type="dxa"/>
            <w:tcBorders>
              <w:top w:val="single" w:color="auto" w:sz="4" w:space="0"/>
              <w:left w:val="single" w:color="auto" w:sz="4" w:space="0"/>
              <w:bottom w:val="single" w:color="auto" w:sz="4" w:space="0"/>
              <w:right w:val="single" w:color="auto" w:sz="4" w:space="0"/>
            </w:tcBorders>
            <w:vAlign w:val="center"/>
          </w:tcPr>
          <w:p w14:paraId="663FE2DB">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每人每日</w:t>
            </w:r>
          </w:p>
        </w:tc>
        <w:tc>
          <w:tcPr>
            <w:tcW w:w="990" w:type="dxa"/>
            <w:tcBorders>
              <w:top w:val="single" w:color="auto" w:sz="4" w:space="0"/>
              <w:left w:val="single" w:color="auto" w:sz="4" w:space="0"/>
              <w:bottom w:val="single" w:color="auto" w:sz="4" w:space="0"/>
              <w:right w:val="single" w:color="auto" w:sz="4" w:space="0"/>
            </w:tcBorders>
            <w:vAlign w:val="center"/>
          </w:tcPr>
          <w:p w14:paraId="610128C5">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50~80</w:t>
            </w:r>
          </w:p>
        </w:tc>
        <w:tc>
          <w:tcPr>
            <w:tcW w:w="870" w:type="dxa"/>
            <w:tcBorders>
              <w:top w:val="single" w:color="auto" w:sz="4" w:space="0"/>
              <w:left w:val="single" w:color="auto" w:sz="4" w:space="0"/>
              <w:bottom w:val="single" w:color="auto" w:sz="4" w:space="0"/>
              <w:right w:val="single" w:color="auto" w:sz="4" w:space="0"/>
            </w:tcBorders>
            <w:vAlign w:val="center"/>
          </w:tcPr>
          <w:p w14:paraId="47EA6F57">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40~60</w:t>
            </w:r>
          </w:p>
        </w:tc>
        <w:tc>
          <w:tcPr>
            <w:tcW w:w="1035" w:type="dxa"/>
            <w:tcBorders>
              <w:top w:val="single" w:color="auto" w:sz="4" w:space="0"/>
              <w:left w:val="single" w:color="auto" w:sz="4" w:space="0"/>
              <w:bottom w:val="single" w:color="auto" w:sz="4" w:space="0"/>
              <w:right w:val="single" w:color="auto" w:sz="8" w:space="0"/>
            </w:tcBorders>
            <w:vAlign w:val="center"/>
          </w:tcPr>
          <w:p w14:paraId="76AC012A">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10</w:t>
            </w:r>
          </w:p>
        </w:tc>
        <w:tc>
          <w:tcPr>
            <w:tcW w:w="1319" w:type="dxa"/>
            <w:tcBorders>
              <w:top w:val="single" w:color="auto" w:sz="4" w:space="0"/>
              <w:left w:val="single" w:color="auto" w:sz="4" w:space="0"/>
              <w:bottom w:val="single" w:color="auto" w:sz="4" w:space="0"/>
              <w:right w:val="single" w:color="auto" w:sz="8" w:space="0"/>
            </w:tcBorders>
            <w:vAlign w:val="center"/>
          </w:tcPr>
          <w:p w14:paraId="1BD07CE9">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2.0</w:t>
            </w:r>
          </w:p>
        </w:tc>
      </w:tr>
      <w:tr w14:paraId="4E499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8" w:type="dxa"/>
            <w:tcBorders>
              <w:top w:val="single" w:color="auto" w:sz="4" w:space="0"/>
              <w:left w:val="single" w:color="auto" w:sz="8" w:space="0"/>
              <w:bottom w:val="single" w:color="auto" w:sz="8" w:space="0"/>
              <w:right w:val="single" w:color="auto" w:sz="4" w:space="0"/>
            </w:tcBorders>
            <w:vAlign w:val="center"/>
          </w:tcPr>
          <w:p w14:paraId="1E19FC3B">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3</w:t>
            </w:r>
          </w:p>
        </w:tc>
        <w:tc>
          <w:tcPr>
            <w:tcW w:w="2565" w:type="dxa"/>
            <w:gridSpan w:val="2"/>
            <w:tcBorders>
              <w:top w:val="single" w:color="auto" w:sz="4" w:space="0"/>
              <w:left w:val="single" w:color="auto" w:sz="4" w:space="0"/>
              <w:bottom w:val="single" w:color="auto" w:sz="8" w:space="0"/>
              <w:right w:val="single" w:color="auto" w:sz="4" w:space="0"/>
            </w:tcBorders>
            <w:vAlign w:val="center"/>
          </w:tcPr>
          <w:p w14:paraId="4A9F0E40">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食堂</w:t>
            </w:r>
          </w:p>
        </w:tc>
        <w:tc>
          <w:tcPr>
            <w:tcW w:w="1125" w:type="dxa"/>
            <w:tcBorders>
              <w:top w:val="single" w:color="auto" w:sz="4" w:space="0"/>
              <w:left w:val="single" w:color="auto" w:sz="4" w:space="0"/>
              <w:bottom w:val="single" w:color="auto" w:sz="8" w:space="0"/>
              <w:right w:val="single" w:color="auto" w:sz="4" w:space="0"/>
            </w:tcBorders>
            <w:vAlign w:val="center"/>
          </w:tcPr>
          <w:p w14:paraId="3AF9388A">
            <w:pPr>
              <w:numPr>
                <w:ilvl w:val="0"/>
                <w:numId w:val="0"/>
              </w:numPr>
              <w:tabs>
                <w:tab w:val="left" w:pos="0"/>
              </w:tabs>
              <w:bidi w:val="0"/>
              <w:ind w:left="-9" w:leftChars="0"/>
              <w:jc w:val="center"/>
              <w:rPr>
                <w:rFonts w:hint="eastAsia"/>
                <w:color w:val="auto"/>
                <w:sz w:val="20"/>
                <w:szCs w:val="20"/>
                <w:highlight w:val="none"/>
                <w:lang w:val="en-US" w:eastAsia="zh-CN"/>
              </w:rPr>
            </w:pPr>
            <w:r>
              <w:rPr>
                <w:rFonts w:hint="eastAsia"/>
                <w:color w:val="auto"/>
                <w:sz w:val="20"/>
                <w:szCs w:val="20"/>
                <w:highlight w:val="none"/>
                <w:lang w:val="en-US" w:eastAsia="zh-CN"/>
              </w:rPr>
              <w:t>每人每次</w:t>
            </w:r>
          </w:p>
        </w:tc>
        <w:tc>
          <w:tcPr>
            <w:tcW w:w="990" w:type="dxa"/>
            <w:tcBorders>
              <w:top w:val="single" w:color="auto" w:sz="4" w:space="0"/>
              <w:left w:val="single" w:color="auto" w:sz="4" w:space="0"/>
              <w:bottom w:val="single" w:color="auto" w:sz="8" w:space="0"/>
              <w:right w:val="single" w:color="auto" w:sz="4" w:space="0"/>
            </w:tcBorders>
            <w:vAlign w:val="center"/>
          </w:tcPr>
          <w:p w14:paraId="44E0CD8E">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20~25</w:t>
            </w:r>
          </w:p>
        </w:tc>
        <w:tc>
          <w:tcPr>
            <w:tcW w:w="870" w:type="dxa"/>
            <w:tcBorders>
              <w:top w:val="single" w:color="auto" w:sz="4" w:space="0"/>
              <w:left w:val="single" w:color="auto" w:sz="4" w:space="0"/>
              <w:bottom w:val="single" w:color="auto" w:sz="8" w:space="0"/>
              <w:right w:val="single" w:color="auto" w:sz="4" w:space="0"/>
            </w:tcBorders>
            <w:vAlign w:val="center"/>
          </w:tcPr>
          <w:p w14:paraId="0AE19492">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15~20</w:t>
            </w:r>
          </w:p>
        </w:tc>
        <w:tc>
          <w:tcPr>
            <w:tcW w:w="1035" w:type="dxa"/>
            <w:tcBorders>
              <w:top w:val="single" w:color="auto" w:sz="4" w:space="0"/>
              <w:left w:val="single" w:color="auto" w:sz="4" w:space="0"/>
              <w:bottom w:val="single" w:color="auto" w:sz="8" w:space="0"/>
              <w:right w:val="single" w:color="auto" w:sz="8" w:space="0"/>
            </w:tcBorders>
            <w:vAlign w:val="center"/>
          </w:tcPr>
          <w:p w14:paraId="7C6097DE">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12~16</w:t>
            </w:r>
          </w:p>
        </w:tc>
        <w:tc>
          <w:tcPr>
            <w:tcW w:w="1319" w:type="dxa"/>
            <w:tcBorders>
              <w:top w:val="single" w:color="auto" w:sz="4" w:space="0"/>
              <w:left w:val="single" w:color="auto" w:sz="4" w:space="0"/>
              <w:bottom w:val="single" w:color="auto" w:sz="8" w:space="0"/>
              <w:right w:val="single" w:color="auto" w:sz="8" w:space="0"/>
            </w:tcBorders>
            <w:vAlign w:val="center"/>
          </w:tcPr>
          <w:p w14:paraId="4DB91682">
            <w:pPr>
              <w:numPr>
                <w:ilvl w:val="0"/>
                <w:numId w:val="0"/>
              </w:numPr>
              <w:tabs>
                <w:tab w:val="left" w:pos="0"/>
              </w:tabs>
              <w:bidi w:val="0"/>
              <w:ind w:left="-9" w:leftChars="0"/>
              <w:jc w:val="center"/>
              <w:rPr>
                <w:rFonts w:hint="default"/>
                <w:color w:val="auto"/>
                <w:sz w:val="20"/>
                <w:szCs w:val="20"/>
                <w:highlight w:val="none"/>
                <w:lang w:val="en-US" w:eastAsia="zh-CN"/>
              </w:rPr>
            </w:pPr>
            <w:r>
              <w:rPr>
                <w:rFonts w:hint="eastAsia"/>
                <w:color w:val="auto"/>
                <w:sz w:val="20"/>
                <w:szCs w:val="20"/>
                <w:highlight w:val="none"/>
                <w:lang w:val="en-US" w:eastAsia="zh-CN"/>
              </w:rPr>
              <w:t>1.5~1.2</w:t>
            </w:r>
          </w:p>
        </w:tc>
      </w:tr>
    </w:tbl>
    <w:p w14:paraId="19EC7568">
      <w:pPr>
        <w:numPr>
          <w:ilvl w:val="0"/>
          <w:numId w:val="0"/>
        </w:numPr>
        <w:tabs>
          <w:tab w:val="left" w:pos="0"/>
        </w:tabs>
        <w:bidi w:val="0"/>
        <w:ind w:left="-9" w:leftChars="0"/>
        <w:rPr>
          <w:rFonts w:hint="eastAsia"/>
          <w:color w:val="auto"/>
          <w:highlight w:val="none"/>
          <w:lang w:val="en-US" w:eastAsia="zh-CN"/>
        </w:rPr>
      </w:pPr>
    </w:p>
    <w:p w14:paraId="249A5383">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7.1.3</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
          <w:woUserID w:val="9"/>
        </w:rPr>
        <w:t>热水供应应符合下列规定</w:t>
      </w:r>
      <w:r>
        <w:rPr>
          <w:rFonts w:hint="eastAsia"/>
          <w:color w:val="auto"/>
          <w:highlight w:val="none"/>
          <w:lang w:val="en-US" w:eastAsia="zh-CN"/>
        </w:rPr>
        <w:t>：</w:t>
      </w:r>
    </w:p>
    <w:p w14:paraId="7A0DE144">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1</w:t>
      </w:r>
      <w:r>
        <w:rPr>
          <w:rFonts w:hint="eastAsia"/>
          <w:color w:val="auto"/>
          <w:highlight w:val="none"/>
          <w:lang w:val="en-US" w:eastAsia="zh-CN"/>
        </w:rPr>
        <w:t xml:space="preserve"> 在寒冷、严寒、夏热冬冷地区应供应热水，其余地区宜设置热水供应；</w:t>
      </w:r>
    </w:p>
    <w:p w14:paraId="335174B2">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2</w:t>
      </w:r>
      <w:r>
        <w:rPr>
          <w:rFonts w:hint="eastAsia"/>
          <w:color w:val="auto"/>
          <w:highlight w:val="none"/>
          <w:lang w:val="en-US" w:eastAsia="zh-CN"/>
        </w:rPr>
        <w:t xml:space="preserve"> 宜采用集中热水供应系统，并保证集中热水供应系统出水温度适合、操作简单、安全；</w:t>
      </w:r>
    </w:p>
    <w:p w14:paraId="5E9D0A7B">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3</w:t>
      </w:r>
      <w:r>
        <w:rPr>
          <w:rFonts w:hint="eastAsia"/>
          <w:color w:val="auto"/>
          <w:highlight w:val="none"/>
          <w:lang w:val="en-US" w:eastAsia="zh-CN"/>
        </w:rPr>
        <w:t xml:space="preserve"> 热水系统用水点出水温度不低于46℃的放水时间，不应大于</w:t>
      </w:r>
      <w:r>
        <w:rPr>
          <w:rFonts w:hint="default"/>
          <w:color w:val="auto"/>
          <w:highlight w:val="none"/>
          <w:lang w:val="en-US" w:eastAsia="zh-CN"/>
        </w:rPr>
        <w:t>1</w:t>
      </w:r>
      <w:r>
        <w:rPr>
          <w:rFonts w:hint="eastAsia"/>
          <w:color w:val="auto"/>
          <w:highlight w:val="none"/>
          <w:lang w:val="en-US" w:eastAsia="zh-CN"/>
        </w:rPr>
        <w:t>0</w:t>
      </w:r>
      <w:r>
        <w:rPr>
          <w:rFonts w:hint="default"/>
          <w:color w:val="auto"/>
          <w:highlight w:val="none"/>
          <w:lang w:val="en-US" w:eastAsia="zh-CN"/>
        </w:rPr>
        <w:t>s</w:t>
      </w:r>
      <w:r>
        <w:rPr>
          <w:rFonts w:hint="eastAsia"/>
          <w:color w:val="auto"/>
          <w:highlight w:val="none"/>
          <w:lang w:val="en-US" w:eastAsia="zh-CN"/>
        </w:rPr>
        <w:t>；</w:t>
      </w:r>
    </w:p>
    <w:p w14:paraId="4098EACD">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color w:val="auto"/>
          <w:highlight w:val="none"/>
          <w:lang w:val="en-US" w:eastAsia="zh-CN"/>
        </w:rPr>
        <w:t xml:space="preserve"> 热水系统的热源，有条件的地方宜优先采用太阳能和空气能等可再生能源。</w:t>
      </w:r>
    </w:p>
    <w:p w14:paraId="6683AE06">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7.1.4</w:t>
      </w:r>
      <w:r>
        <w:rPr>
          <w:rFonts w:hint="eastAsia"/>
          <w:color w:val="auto"/>
          <w:highlight w:val="none"/>
          <w:lang w:val="en-US" w:eastAsia="zh-CN"/>
        </w:rPr>
        <w:t xml:space="preserve"> 卫生器具应符合老年人的生理特点和心理特征，使用方便；并符合下列规定：</w:t>
      </w:r>
    </w:p>
    <w:p w14:paraId="0772DF5C">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1</w:t>
      </w:r>
      <w:r>
        <w:rPr>
          <w:rFonts w:hint="eastAsia"/>
          <w:color w:val="auto"/>
          <w:highlight w:val="none"/>
          <w:lang w:val="en-US" w:eastAsia="zh-CN"/>
        </w:rPr>
        <w:t xml:space="preserve"> 水龙头、淋浴器、便器及冲洗阀等应符合现行业标准《节水型生活用水器具》</w:t>
      </w:r>
      <w:r>
        <w:rPr>
          <w:rFonts w:hint="default"/>
          <w:color w:val="auto"/>
          <w:highlight w:val="none"/>
          <w:lang w:val="en-US" w:eastAsia="zh-CN"/>
        </w:rPr>
        <w:t xml:space="preserve">CJ </w:t>
      </w:r>
      <w:r>
        <w:rPr>
          <w:rFonts w:hint="eastAsia"/>
          <w:color w:val="auto"/>
          <w:highlight w:val="none"/>
          <w:lang w:val="en-US" w:eastAsia="zh-CN"/>
        </w:rPr>
        <w:t xml:space="preserve">/T </w:t>
      </w:r>
      <w:r>
        <w:rPr>
          <w:rFonts w:hint="default"/>
          <w:color w:val="auto"/>
          <w:highlight w:val="none"/>
          <w:lang w:val="en-US" w:eastAsia="zh-CN"/>
        </w:rPr>
        <w:t>164</w:t>
      </w:r>
      <w:r>
        <w:rPr>
          <w:rFonts w:hint="eastAsia"/>
          <w:color w:val="auto"/>
          <w:highlight w:val="none"/>
          <w:lang w:val="en-US" w:eastAsia="zh-CN"/>
        </w:rPr>
        <w:t>的要求；</w:t>
      </w:r>
    </w:p>
    <w:p w14:paraId="48E8DA81">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2</w:t>
      </w:r>
      <w:r>
        <w:rPr>
          <w:rFonts w:hint="eastAsia"/>
          <w:color w:val="auto"/>
          <w:highlight w:val="none"/>
          <w:lang w:val="en-US" w:eastAsia="zh-CN"/>
        </w:rPr>
        <w:t xml:space="preserve"> </w:t>
      </w:r>
      <w:r>
        <w:rPr>
          <w:rFonts w:hint="default"/>
          <w:color w:val="auto"/>
          <w:highlight w:val="none"/>
          <w:lang w:val="en-US" w:eastAsia="zh-CN"/>
        </w:rPr>
        <w:t>公共卫生间的</w:t>
      </w:r>
      <w:r>
        <w:rPr>
          <w:rFonts w:hint="eastAsia"/>
          <w:color w:val="auto"/>
          <w:highlight w:val="none"/>
          <w:lang w:val="en-US" w:eastAsia="zh-CN"/>
        </w:rPr>
        <w:t>大便器和</w:t>
      </w:r>
      <w:r>
        <w:rPr>
          <w:rFonts w:hint="default"/>
          <w:color w:val="auto"/>
          <w:highlight w:val="none"/>
          <w:lang w:val="en-US" w:eastAsia="zh-CN"/>
        </w:rPr>
        <w:t>小便器</w:t>
      </w:r>
      <w:r>
        <w:rPr>
          <w:rFonts w:hint="eastAsia"/>
          <w:color w:val="auto"/>
          <w:highlight w:val="none"/>
          <w:lang w:val="en-US" w:eastAsia="zh-CN"/>
        </w:rPr>
        <w:t>宜</w:t>
      </w:r>
      <w:r>
        <w:rPr>
          <w:rFonts w:hint="default"/>
          <w:color w:val="auto"/>
          <w:highlight w:val="none"/>
          <w:lang w:val="en-US" w:eastAsia="zh-CN"/>
        </w:rPr>
        <w:t>采用</w:t>
      </w:r>
      <w:r>
        <w:rPr>
          <w:rFonts w:hint="eastAsia"/>
          <w:color w:val="auto"/>
          <w:highlight w:val="none"/>
          <w:lang w:val="en-US" w:eastAsia="zh-CN"/>
        </w:rPr>
        <w:t>感应式冲洗阀</w:t>
      </w:r>
      <w:r>
        <w:rPr>
          <w:rFonts w:hint="default"/>
          <w:color w:val="auto"/>
          <w:highlight w:val="none"/>
          <w:lang w:val="en-US" w:eastAsia="zh-CN"/>
        </w:rPr>
        <w:t>。洗面盆宜采用</w:t>
      </w:r>
      <w:r>
        <w:rPr>
          <w:rFonts w:hint="eastAsia"/>
          <w:color w:val="auto"/>
          <w:highlight w:val="none"/>
          <w:lang w:val="en-US" w:eastAsia="zh-CN"/>
        </w:rPr>
        <w:t>感应式水嘴</w:t>
      </w:r>
      <w:r>
        <w:rPr>
          <w:rFonts w:hint="default"/>
          <w:color w:val="auto"/>
          <w:highlight w:val="none"/>
          <w:lang w:val="en-US" w:eastAsia="zh-CN"/>
        </w:rPr>
        <w:t>。公用小厨房的水龙头把手宜采用杠杆式</w:t>
      </w:r>
      <w:r>
        <w:rPr>
          <w:rFonts w:hint="eastAsia"/>
          <w:color w:val="auto"/>
          <w:highlight w:val="none"/>
          <w:lang w:val="en-US" w:eastAsia="zh-CN"/>
        </w:rPr>
        <w:t>；</w:t>
      </w:r>
    </w:p>
    <w:p w14:paraId="4F806F37">
      <w:pPr>
        <w:keepNext w:val="0"/>
        <w:keepLines w:val="0"/>
        <w:widowControl w:val="0"/>
        <w:numPr>
          <w:ilvl w:val="0"/>
          <w:numId w:val="0"/>
        </w:numPr>
        <w:suppressLineNumbers w:val="0"/>
        <w:tabs>
          <w:tab w:val="left" w:pos="0"/>
        </w:tabs>
        <w:bidi w:val="0"/>
        <w:spacing w:before="0" w:beforeAutospacing="0" w:after="0" w:afterAutospacing="0"/>
        <w:ind w:left="0" w:leftChars="0" w:right="0" w:firstLine="430" w:firstLineChars="204"/>
        <w:jc w:val="both"/>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3</w:t>
      </w:r>
      <w:r>
        <w:rPr>
          <w:rFonts w:hint="eastAsia"/>
          <w:color w:val="auto"/>
          <w:highlight w:val="none"/>
          <w:lang w:val="en-US" w:eastAsia="zh-CN"/>
        </w:rPr>
        <w:t xml:space="preserve"> </w:t>
      </w:r>
      <w:r>
        <w:rPr>
          <w:rFonts w:hint="default"/>
          <w:color w:val="auto"/>
          <w:highlight w:val="none"/>
          <w:lang w:val="en-US" w:eastAsia="zh-CN"/>
        </w:rPr>
        <w:t>淋浴器、浴盆、洗面盆</w:t>
      </w:r>
      <w:r>
        <w:rPr>
          <w:rFonts w:hint="default" w:asciiTheme="minorHAnsi" w:hAnsiTheme="minorHAnsi" w:eastAsiaTheme="minorEastAsia" w:cstheme="minorBidi"/>
          <w:bCs w:val="0"/>
          <w:color w:val="auto"/>
          <w:kern w:val="2"/>
          <w:sz w:val="21"/>
          <w:szCs w:val="24"/>
          <w:highlight w:val="none"/>
          <w:lang w:val="en-US" w:eastAsia="zh-CN" w:bidi="ar"/>
          <w:woUserID w:val="0"/>
        </w:rPr>
        <w:t>应有控温装置</w:t>
      </w:r>
      <w:r>
        <w:rPr>
          <w:rFonts w:hint="default"/>
          <w:color w:val="auto"/>
          <w:highlight w:val="none"/>
          <w:lang w:val="en-US" w:eastAsia="zh-CN"/>
        </w:rPr>
        <w:t>。</w:t>
      </w:r>
      <w:r>
        <w:rPr>
          <w:rFonts w:hint="eastAsia"/>
          <w:color w:val="auto"/>
          <w:highlight w:val="none"/>
          <w:lang w:val="en-US" w:eastAsia="zh"/>
          <w:woUserID w:val="9"/>
        </w:rPr>
        <w:t>冷、</w:t>
      </w:r>
      <w:r>
        <w:rPr>
          <w:rFonts w:hint="default"/>
          <w:color w:val="auto"/>
          <w:highlight w:val="none"/>
          <w:lang w:val="en-US" w:eastAsia="zh-CN"/>
        </w:rPr>
        <w:t>热水龙头</w:t>
      </w:r>
      <w:r>
        <w:rPr>
          <w:rFonts w:hint="eastAsia"/>
          <w:color w:val="auto"/>
          <w:highlight w:val="none"/>
          <w:lang w:val="en-US" w:eastAsia="zh"/>
          <w:woUserID w:val="9"/>
        </w:rPr>
        <w:t>应采用色标区分</w:t>
      </w:r>
      <w:r>
        <w:rPr>
          <w:rFonts w:hint="eastAsia"/>
          <w:color w:val="auto"/>
          <w:highlight w:val="none"/>
          <w:lang w:val="en-US" w:eastAsia="zh-CN"/>
        </w:rPr>
        <w:t>；</w:t>
      </w:r>
    </w:p>
    <w:p w14:paraId="2F7A24BF">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color w:val="auto"/>
          <w:highlight w:val="none"/>
          <w:lang w:val="en-US" w:eastAsia="zh-CN"/>
        </w:rPr>
        <w:t xml:space="preserve"> 介助和介护</w:t>
      </w:r>
      <w:r>
        <w:rPr>
          <w:rFonts w:hint="default"/>
          <w:color w:val="auto"/>
          <w:highlight w:val="none"/>
          <w:lang w:val="en-US" w:eastAsia="zh-CN"/>
        </w:rPr>
        <w:t>老</w:t>
      </w:r>
      <w:r>
        <w:rPr>
          <w:rFonts w:hint="eastAsia"/>
          <w:color w:val="auto"/>
          <w:highlight w:val="none"/>
          <w:lang w:val="en-US" w:eastAsia="zh-CN"/>
        </w:rPr>
        <w:t>年</w:t>
      </w:r>
      <w:r>
        <w:rPr>
          <w:rFonts w:hint="default"/>
          <w:color w:val="auto"/>
          <w:highlight w:val="none"/>
          <w:lang w:val="en-US" w:eastAsia="zh-CN"/>
        </w:rPr>
        <w:t>人居住用房卫生间的坐便器</w:t>
      </w:r>
      <w:r>
        <w:rPr>
          <w:rFonts w:hint="eastAsia"/>
          <w:color w:val="auto"/>
          <w:highlight w:val="none"/>
          <w:lang w:val="en-US" w:eastAsia="zh-CN"/>
        </w:rPr>
        <w:t>，宜</w:t>
      </w:r>
      <w:r>
        <w:rPr>
          <w:rFonts w:hint="default"/>
          <w:color w:val="auto"/>
          <w:highlight w:val="none"/>
          <w:lang w:val="en-US" w:eastAsia="zh-CN"/>
        </w:rPr>
        <w:t>安装温水净身风干式坐便盖。</w:t>
      </w:r>
      <w:r>
        <w:rPr>
          <w:rFonts w:hint="eastAsia"/>
          <w:color w:val="auto"/>
          <w:highlight w:val="none"/>
          <w:lang w:val="en-US" w:eastAsia="zh-CN"/>
        </w:rPr>
        <w:t>坐便器高度不宜大于0.40m；</w:t>
      </w:r>
    </w:p>
    <w:p w14:paraId="5D19C841">
      <w:pPr>
        <w:numPr>
          <w:ilvl w:val="0"/>
          <w:numId w:val="0"/>
        </w:numPr>
        <w:tabs>
          <w:tab w:val="left" w:pos="0"/>
        </w:tabs>
        <w:bidi w:val="0"/>
        <w:ind w:left="-9" w:leftChars="0" w:firstLine="430" w:firstLineChars="204"/>
        <w:rPr>
          <w:rFonts w:hint="eastAsia"/>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5 </w:t>
      </w:r>
      <w:r>
        <w:rPr>
          <w:rFonts w:hint="eastAsia"/>
          <w:color w:val="auto"/>
          <w:highlight w:val="none"/>
          <w:lang w:val="en-US" w:eastAsia="zh-CN"/>
        </w:rPr>
        <w:t>卫生间、淋浴间、浴室等布置应考虑通行便捷、无障碍；</w:t>
      </w:r>
    </w:p>
    <w:p w14:paraId="0C0E0BC0">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6</w:t>
      </w:r>
      <w:r>
        <w:rPr>
          <w:rFonts w:hint="eastAsia"/>
          <w:color w:val="auto"/>
          <w:highlight w:val="none"/>
          <w:lang w:val="en-US" w:eastAsia="zh-CN"/>
        </w:rPr>
        <w:t xml:space="preserve"> 集中洗衣房内宜设置浸泡污物的污水池。</w:t>
      </w:r>
    </w:p>
    <w:p w14:paraId="0E0BD7B8">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7.1.5</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建筑给排水系统应严格控制噪声，并应符合下列规定：</w:t>
      </w:r>
    </w:p>
    <w:p w14:paraId="1F50F205">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1</w:t>
      </w:r>
      <w:r>
        <w:rPr>
          <w:rFonts w:hint="eastAsia"/>
          <w:color w:val="auto"/>
          <w:highlight w:val="none"/>
          <w:lang w:val="en-US" w:eastAsia="zh-CN"/>
        </w:rPr>
        <w:t xml:space="preserve"> 卫生器具及配件</w:t>
      </w:r>
      <w:r>
        <w:rPr>
          <w:rFonts w:hint="eastAsia"/>
          <w:color w:val="auto"/>
          <w:highlight w:val="none"/>
          <w:lang w:val="en-US" w:eastAsia="zh"/>
          <w:woUserID w:val="9"/>
        </w:rPr>
        <w:t>应</w:t>
      </w:r>
      <w:r>
        <w:rPr>
          <w:rFonts w:hint="eastAsia"/>
          <w:color w:val="auto"/>
          <w:highlight w:val="none"/>
          <w:lang w:val="en-US" w:eastAsia="zh-CN"/>
        </w:rPr>
        <w:t>选用低噪声产品;</w:t>
      </w:r>
    </w:p>
    <w:p w14:paraId="70CFAD5D">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2 </w:t>
      </w:r>
      <w:r>
        <w:rPr>
          <w:rFonts w:hint="eastAsia"/>
          <w:color w:val="auto"/>
          <w:highlight w:val="none"/>
          <w:lang w:val="en-US" w:eastAsia="zh-CN"/>
        </w:rPr>
        <w:t>采用低噪声管材，</w:t>
      </w:r>
      <w:r>
        <w:rPr>
          <w:rFonts w:hint="default"/>
          <w:color w:val="auto"/>
          <w:highlight w:val="none"/>
          <w:lang w:val="en-US" w:eastAsia="zh-CN"/>
        </w:rPr>
        <w:t>给水管、热水管、污水管、废水管</w:t>
      </w:r>
      <w:r>
        <w:rPr>
          <w:rFonts w:hint="eastAsia"/>
          <w:color w:val="auto"/>
          <w:highlight w:val="none"/>
          <w:lang w:val="en-US" w:eastAsia="zh-CN"/>
        </w:rPr>
        <w:t>等</w:t>
      </w:r>
      <w:r>
        <w:rPr>
          <w:rFonts w:hint="default"/>
          <w:color w:val="auto"/>
          <w:highlight w:val="none"/>
          <w:lang w:val="en-US" w:eastAsia="zh-CN"/>
        </w:rPr>
        <w:t>宜暗敷</w:t>
      </w:r>
      <w:r>
        <w:rPr>
          <w:rFonts w:hint="eastAsia"/>
          <w:color w:val="auto"/>
          <w:highlight w:val="none"/>
          <w:lang w:val="en-US" w:eastAsia="zh-CN"/>
        </w:rPr>
        <w:t>；</w:t>
      </w:r>
    </w:p>
    <w:p w14:paraId="5CB4D7BA">
      <w:pPr>
        <w:numPr>
          <w:ilvl w:val="0"/>
          <w:numId w:val="0"/>
        </w:numPr>
        <w:tabs>
          <w:tab w:val="left" w:pos="0"/>
        </w:tabs>
        <w:bidi w:val="0"/>
        <w:ind w:left="-9" w:leftChars="0" w:firstLine="430" w:firstLineChars="204"/>
        <w:rPr>
          <w:rFonts w:hint="eastAsia"/>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3 </w:t>
      </w:r>
      <w:r>
        <w:rPr>
          <w:rFonts w:hint="eastAsia"/>
          <w:color w:val="auto"/>
          <w:highlight w:val="none"/>
          <w:lang w:val="en-US" w:eastAsia="zh-CN"/>
        </w:rPr>
        <w:t>合理控制管道内水流速度，减少管道振动和噪声对环境的影响。</w:t>
      </w:r>
      <w:r>
        <w:rPr>
          <w:rFonts w:hint="default"/>
          <w:color w:val="auto"/>
          <w:highlight w:val="none"/>
          <w:lang w:val="en-US" w:eastAsia="zh-CN"/>
        </w:rPr>
        <w:t>给水管流速宜小于1m/s</w:t>
      </w:r>
      <w:r>
        <w:rPr>
          <w:rFonts w:hint="eastAsia"/>
          <w:color w:val="auto"/>
          <w:highlight w:val="none"/>
          <w:lang w:val="en-US" w:eastAsia="zh-CN"/>
        </w:rPr>
        <w:t>，</w:t>
      </w:r>
      <w:r>
        <w:rPr>
          <w:rFonts w:hint="default"/>
          <w:color w:val="auto"/>
          <w:highlight w:val="none"/>
          <w:lang w:val="en-US" w:eastAsia="zh-CN"/>
        </w:rPr>
        <w:t>热水管流速宜小于0.8m/s</w:t>
      </w:r>
      <w:r>
        <w:rPr>
          <w:rFonts w:hint="eastAsia"/>
          <w:color w:val="auto"/>
          <w:highlight w:val="none"/>
          <w:lang w:val="en-US" w:eastAsia="zh-CN"/>
        </w:rPr>
        <w:t>;</w:t>
      </w:r>
    </w:p>
    <w:p w14:paraId="30D72579">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color w:val="auto"/>
          <w:highlight w:val="none"/>
          <w:lang w:val="en-US" w:eastAsia="zh-CN"/>
        </w:rPr>
        <w:t xml:space="preserve"> </w:t>
      </w:r>
      <w:r>
        <w:rPr>
          <w:rFonts w:hint="eastAsia"/>
          <w:color w:val="auto"/>
          <w:highlight w:val="none"/>
          <w:lang w:val="en-US" w:eastAsia="zh"/>
          <w:woUserID w:val="9"/>
        </w:rPr>
        <w:t>给水管和热水管不宜穿越</w:t>
      </w:r>
      <w:r>
        <w:rPr>
          <w:rFonts w:hint="eastAsia"/>
          <w:color w:val="auto"/>
          <w:highlight w:val="none"/>
          <w:lang w:val="en-US" w:eastAsia="zh-CN"/>
          <w:woUserID w:val="9"/>
        </w:rPr>
        <w:t>老年居住用房</w:t>
      </w:r>
      <w:r>
        <w:rPr>
          <w:rFonts w:hint="eastAsia"/>
          <w:color w:val="auto"/>
          <w:highlight w:val="none"/>
          <w:lang w:val="en-US" w:eastAsia="zh"/>
          <w:woUserID w:val="9"/>
        </w:rPr>
        <w:t>；</w:t>
      </w:r>
      <w:r>
        <w:rPr>
          <w:rFonts w:hint="eastAsia"/>
          <w:color w:val="auto"/>
          <w:highlight w:val="none"/>
          <w:lang w:val="en-US" w:eastAsia="zh-CN"/>
        </w:rPr>
        <w:t>排水</w:t>
      </w:r>
      <w:r>
        <w:rPr>
          <w:rFonts w:hint="eastAsia"/>
          <w:color w:val="auto"/>
          <w:highlight w:val="none"/>
          <w:lang w:val="en-US" w:eastAsia="zh"/>
          <w:woUserID w:val="9"/>
        </w:rPr>
        <w:t>管道</w:t>
      </w:r>
      <w:r>
        <w:rPr>
          <w:rFonts w:hint="eastAsia"/>
          <w:color w:val="auto"/>
          <w:highlight w:val="none"/>
          <w:lang w:val="en-US" w:eastAsia="zh-CN"/>
        </w:rPr>
        <w:t>不得穿越老年居住用房，且不</w:t>
      </w:r>
      <w:r>
        <w:rPr>
          <w:rFonts w:hint="eastAsia"/>
          <w:color w:val="auto"/>
          <w:highlight w:val="none"/>
          <w:lang w:val="en-US" w:eastAsia="zh"/>
          <w:woUserID w:val="9"/>
        </w:rPr>
        <w:t>应</w:t>
      </w:r>
      <w:r>
        <w:rPr>
          <w:rFonts w:hint="default"/>
          <w:color w:val="auto"/>
          <w:highlight w:val="none"/>
          <w:lang w:val="en-US" w:eastAsia="zh-CN"/>
        </w:rPr>
        <w:t>靠近</w:t>
      </w:r>
      <w:r>
        <w:rPr>
          <w:rFonts w:hint="eastAsia"/>
          <w:color w:val="auto"/>
          <w:highlight w:val="none"/>
          <w:lang w:val="en-US" w:eastAsia="zh-CN"/>
        </w:rPr>
        <w:t>与</w:t>
      </w:r>
      <w:r>
        <w:rPr>
          <w:rFonts w:hint="default"/>
          <w:color w:val="auto"/>
          <w:highlight w:val="none"/>
          <w:lang w:val="en-US" w:eastAsia="zh-CN"/>
        </w:rPr>
        <w:t>卧室</w:t>
      </w:r>
      <w:r>
        <w:rPr>
          <w:rFonts w:hint="eastAsia"/>
          <w:color w:val="auto"/>
          <w:highlight w:val="none"/>
          <w:lang w:val="en-US" w:eastAsia="zh-CN"/>
        </w:rPr>
        <w:t>相邻的</w:t>
      </w:r>
      <w:r>
        <w:rPr>
          <w:rFonts w:hint="default"/>
          <w:color w:val="auto"/>
          <w:highlight w:val="none"/>
          <w:lang w:val="en-US" w:eastAsia="zh-CN"/>
        </w:rPr>
        <w:t>内墙，当受条件限制不能避免时，应采取防噪措施</w:t>
      </w:r>
      <w:r>
        <w:rPr>
          <w:rFonts w:hint="eastAsia"/>
          <w:color w:val="auto"/>
          <w:highlight w:val="none"/>
          <w:lang w:val="en-US" w:eastAsia="zh-CN"/>
        </w:rPr>
        <w:t>;</w:t>
      </w:r>
    </w:p>
    <w:p w14:paraId="4E354F78">
      <w:pPr>
        <w:numPr>
          <w:ilvl w:val="0"/>
          <w:numId w:val="0"/>
        </w:numPr>
        <w:tabs>
          <w:tab w:val="left" w:pos="0"/>
        </w:tabs>
        <w:bidi w:val="0"/>
        <w:ind w:left="-9" w:leftChars="0" w:firstLine="430" w:firstLineChars="204"/>
        <w:rPr>
          <w:rFonts w:hint="eastAsia"/>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 xml:space="preserve">5 </w:t>
      </w:r>
      <w:r>
        <w:rPr>
          <w:rFonts w:hint="default"/>
          <w:color w:val="auto"/>
          <w:highlight w:val="none"/>
          <w:lang w:val="en-US" w:eastAsia="zh-CN"/>
        </w:rPr>
        <w:t>选用低噪声水泵</w:t>
      </w:r>
      <w:r>
        <w:rPr>
          <w:rFonts w:hint="eastAsia"/>
          <w:color w:val="auto"/>
          <w:highlight w:val="none"/>
          <w:lang w:val="en-US" w:eastAsia="zh-CN"/>
        </w:rPr>
        <w:t>和</w:t>
      </w:r>
      <w:r>
        <w:rPr>
          <w:rFonts w:hint="default"/>
          <w:color w:val="auto"/>
          <w:highlight w:val="none"/>
          <w:lang w:val="en-US" w:eastAsia="zh-CN"/>
        </w:rPr>
        <w:t>加热设备</w:t>
      </w:r>
      <w:r>
        <w:rPr>
          <w:rFonts w:hint="eastAsia"/>
          <w:color w:val="auto"/>
          <w:highlight w:val="none"/>
          <w:lang w:val="en-US" w:eastAsia="zh-CN"/>
        </w:rPr>
        <w:t>，</w:t>
      </w:r>
      <w:r>
        <w:rPr>
          <w:rFonts w:hint="default"/>
          <w:color w:val="auto"/>
          <w:highlight w:val="none"/>
          <w:lang w:val="en-US" w:eastAsia="zh-CN"/>
        </w:rPr>
        <w:t>水泵及加热设备应采取消声和减振措施</w:t>
      </w:r>
      <w:r>
        <w:rPr>
          <w:rFonts w:hint="eastAsia"/>
          <w:color w:val="auto"/>
          <w:highlight w:val="none"/>
          <w:lang w:val="en-US" w:eastAsia="zh-CN"/>
        </w:rPr>
        <w:t>；</w:t>
      </w:r>
    </w:p>
    <w:p w14:paraId="2BE714BF">
      <w:pPr>
        <w:numPr>
          <w:ilvl w:val="0"/>
          <w:numId w:val="0"/>
        </w:numPr>
        <w:tabs>
          <w:tab w:val="left" w:pos="0"/>
        </w:tabs>
        <w:bidi w:val="0"/>
        <w:ind w:left="-9" w:leftChars="0" w:firstLine="430" w:firstLineChars="204"/>
        <w:rPr>
          <w:rFonts w:hint="default"/>
          <w:color w:val="auto"/>
          <w:highlight w:val="none"/>
          <w:lang w:val="en-US" w:eastAsia="zh-CN"/>
        </w:rPr>
      </w:pPr>
      <w:r>
        <w:rPr>
          <w:rFonts w:hint="eastAsia" w:asciiTheme="minorEastAsia" w:hAnsiTheme="minorEastAsia" w:cstheme="minorEastAsia"/>
          <w:b/>
          <w:bCs/>
          <w:color w:val="auto"/>
          <w:sz w:val="21"/>
          <w:szCs w:val="21"/>
          <w:highlight w:val="none"/>
          <w:lang w:val="en-US" w:eastAsia="zh-CN"/>
        </w:rPr>
        <w:t>6</w:t>
      </w:r>
      <w:r>
        <w:rPr>
          <w:rFonts w:hint="eastAsia"/>
          <w:color w:val="auto"/>
          <w:highlight w:val="none"/>
          <w:lang w:val="en-US" w:eastAsia="zh-CN"/>
        </w:rPr>
        <w:t xml:space="preserve"> 给水加压、循环冷却和消防增压等设备，不得设置在休息厅或居住用房的上层、下层和毗邻的房间内。</w:t>
      </w:r>
    </w:p>
    <w:p w14:paraId="513DDF00">
      <w:pPr>
        <w:numPr>
          <w:ilvl w:val="0"/>
          <w:numId w:val="0"/>
        </w:numPr>
        <w:tabs>
          <w:tab w:val="left" w:pos="0"/>
        </w:tabs>
        <w:bidi w:val="0"/>
        <w:ind w:left="-9" w:leftChars="0"/>
        <w:rPr>
          <w:rFonts w:hint="eastAsia" w:ascii="Times New Roman" w:hAnsi="Times New Roman" w:cs="Times New Roman"/>
          <w:b/>
          <w:bCs/>
          <w:color w:val="auto"/>
          <w:sz w:val="20"/>
          <w:szCs w:val="20"/>
          <w:highlight w:val="none"/>
          <w:lang w:val="en-US" w:eastAsia="zh-CN"/>
        </w:rPr>
      </w:pPr>
      <w:r>
        <w:rPr>
          <w:rFonts w:hint="eastAsia" w:ascii="Times New Roman" w:hAnsi="Times New Roman" w:cs="Times New Roman"/>
          <w:b/>
          <w:bCs/>
          <w:color w:val="auto"/>
          <w:sz w:val="20"/>
          <w:szCs w:val="20"/>
          <w:highlight w:val="none"/>
          <w:lang w:val="en-US" w:eastAsia="zh-CN"/>
        </w:rPr>
        <w:t>7.1.6</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宜按用途和计费单元分别设置水表计量。</w:t>
      </w:r>
    </w:p>
    <w:p w14:paraId="3F576B3F">
      <w:pPr>
        <w:numPr>
          <w:ilvl w:val="0"/>
          <w:numId w:val="0"/>
        </w:numPr>
        <w:tabs>
          <w:tab w:val="left" w:pos="0"/>
        </w:tabs>
        <w:bidi w:val="0"/>
        <w:ind w:left="0"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7.1.7</w:t>
      </w:r>
      <w:r>
        <w:rPr>
          <w:rFonts w:hint="eastAsia"/>
          <w:color w:val="auto"/>
          <w:highlight w:val="none"/>
          <w:lang w:val="en-US" w:eastAsia="zh-CN"/>
        </w:rPr>
        <w:t xml:space="preserve"> </w:t>
      </w:r>
      <w:r>
        <w:rPr>
          <w:rFonts w:hint="default"/>
          <w:color w:val="auto"/>
          <w:highlight w:val="none"/>
          <w:lang w:val="en-US" w:eastAsia="zh-CN"/>
        </w:rPr>
        <w:t>卫生间设有洗面盆、浴盆和洗衣机</w:t>
      </w:r>
      <w:r>
        <w:rPr>
          <w:rFonts w:hint="eastAsia"/>
          <w:color w:val="auto"/>
          <w:highlight w:val="none"/>
          <w:lang w:val="en-US" w:eastAsia="zh-CN"/>
        </w:rPr>
        <w:t>等洗涤设施时，宜就近利用洗涤废水向地漏处水封补水</w:t>
      </w:r>
      <w:r>
        <w:rPr>
          <w:rFonts w:hint="default"/>
          <w:color w:val="auto"/>
          <w:highlight w:val="none"/>
          <w:lang w:val="en-US" w:eastAsia="zh-CN"/>
        </w:rPr>
        <w:t>。</w:t>
      </w:r>
    </w:p>
    <w:p w14:paraId="4EE84126">
      <w:pPr>
        <w:numPr>
          <w:ilvl w:val="0"/>
          <w:numId w:val="0"/>
        </w:numPr>
        <w:tabs>
          <w:tab w:val="left" w:pos="0"/>
        </w:tabs>
        <w:bidi w:val="0"/>
        <w:ind w:left="0" w:leftChars="0"/>
        <w:rPr>
          <w:rFonts w:hint="eastAsia" w:eastAsiaTheme="minorEastAsia"/>
          <w:color w:val="auto"/>
          <w:highlight w:val="none"/>
          <w:lang w:val="en-US" w:eastAsia="zh-CN"/>
          <w:woUserID w:val="0"/>
        </w:rPr>
      </w:pPr>
      <w:r>
        <w:rPr>
          <w:rFonts w:hint="eastAsia" w:ascii="Times New Roman" w:hAnsi="Times New Roman" w:cs="Times New Roman"/>
          <w:b/>
          <w:bCs/>
          <w:color w:val="auto"/>
          <w:sz w:val="20"/>
          <w:szCs w:val="20"/>
          <w:highlight w:val="none"/>
          <w:lang w:val="en-US" w:eastAsia="zh-CN"/>
          <w:woUserID w:val="0"/>
        </w:rPr>
        <w:t>7.1.8</w:t>
      </w:r>
      <w:r>
        <w:rPr>
          <w:rFonts w:hint="eastAsia"/>
          <w:color w:val="auto"/>
          <w:highlight w:val="none"/>
          <w:lang w:val="en-US" w:eastAsia="zh"/>
          <w:woUserID w:val="9"/>
        </w:rPr>
        <w:t xml:space="preserve"> </w:t>
      </w:r>
      <w:r>
        <w:rPr>
          <w:rFonts w:hint="default"/>
          <w:color w:val="auto"/>
          <w:highlight w:val="none"/>
          <w:lang w:val="en-US" w:eastAsia="zh-CN"/>
          <w:woUserID w:val="9"/>
        </w:rPr>
        <w:t>老</w:t>
      </w:r>
      <w:r>
        <w:rPr>
          <w:rFonts w:hint="eastAsia"/>
          <w:color w:val="auto"/>
          <w:highlight w:val="none"/>
          <w:lang w:val="en-US" w:eastAsia="zh-CN"/>
          <w:woUserID w:val="9"/>
        </w:rPr>
        <w:t>年</w:t>
      </w:r>
      <w:r>
        <w:rPr>
          <w:rFonts w:hint="default"/>
          <w:color w:val="auto"/>
          <w:highlight w:val="none"/>
          <w:lang w:val="en-US" w:eastAsia="zh-CN"/>
          <w:woUserID w:val="9"/>
        </w:rPr>
        <w:t>人居住用房卫生间</w:t>
      </w:r>
      <w:r>
        <w:rPr>
          <w:rFonts w:hint="eastAsia" w:asciiTheme="minorHAnsi" w:hAnsiTheme="minorHAnsi" w:eastAsiaTheme="minorEastAsia" w:cstheme="minorBidi"/>
          <w:b w:val="0"/>
          <w:bCs w:val="0"/>
          <w:color w:val="auto"/>
          <w:kern w:val="2"/>
          <w:sz w:val="21"/>
          <w:szCs w:val="24"/>
          <w:highlight w:val="none"/>
          <w:lang w:val="en-US" w:eastAsia="zh-CN" w:bidi="ar"/>
          <w:woUserID w:val="0"/>
        </w:rPr>
        <w:t>截水用条形地漏应与地面平齐，不得影响人员及轮椅通行；卫生间地漏宜设在靠近角部最低处不易被踩踏的部位。</w:t>
      </w:r>
    </w:p>
    <w:p w14:paraId="648247FA">
      <w:pPr>
        <w:numPr>
          <w:ilvl w:val="0"/>
          <w:numId w:val="0"/>
        </w:numPr>
        <w:tabs>
          <w:tab w:val="left" w:pos="0"/>
        </w:tabs>
        <w:bidi w:val="0"/>
        <w:ind w:left="-9" w:leftChars="0"/>
        <w:rPr>
          <w:rFonts w:hint="eastAsia"/>
          <w:color w:val="auto"/>
          <w:highlight w:val="none"/>
          <w:lang w:val="en-US" w:eastAsia="zh-CN"/>
        </w:rPr>
      </w:pPr>
      <w:r>
        <w:rPr>
          <w:rFonts w:hint="eastAsia" w:ascii="Times New Roman" w:hAnsi="Times New Roman" w:cs="Times New Roman"/>
          <w:b/>
          <w:bCs/>
          <w:color w:val="auto"/>
          <w:sz w:val="20"/>
          <w:szCs w:val="20"/>
          <w:highlight w:val="none"/>
          <w:lang w:val="en-US" w:eastAsia="zh-CN"/>
        </w:rPr>
        <w:t>7.1.</w:t>
      </w:r>
      <w:r>
        <w:rPr>
          <w:rFonts w:hint="eastAsia" w:ascii="Times New Roman" w:hAnsi="Times New Roman" w:cs="Times New Roman"/>
          <w:b/>
          <w:bCs/>
          <w:color w:val="auto"/>
          <w:sz w:val="20"/>
          <w:szCs w:val="20"/>
          <w:highlight w:val="none"/>
          <w:lang w:val="en-US" w:eastAsia="zh"/>
          <w:woUserID w:val="9"/>
        </w:rPr>
        <w:t>9</w:t>
      </w:r>
      <w:r>
        <w:rPr>
          <w:rFonts w:hint="eastAsia" w:ascii="Times New Roman" w:hAnsi="Times New Roman" w:cs="Times New Roman"/>
          <w:b/>
          <w:bCs/>
          <w:color w:val="auto"/>
          <w:sz w:val="20"/>
          <w:szCs w:val="20"/>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附属医疗设施，应按医疗建筑的要求设置给水管道或冲洗龙头；医疗区的污、废水排放标准应执行《医疗机构水污染物排放标准》GB 18466的相关要求。</w:t>
      </w:r>
    </w:p>
    <w:p w14:paraId="1D6F1AE3">
      <w:pPr>
        <w:numPr>
          <w:ilvl w:val="0"/>
          <w:numId w:val="0"/>
        </w:numPr>
        <w:tabs>
          <w:tab w:val="left" w:pos="0"/>
        </w:tabs>
        <w:bidi w:val="0"/>
        <w:ind w:left="0" w:leftChars="0"/>
        <w:rPr>
          <w:rFonts w:hint="eastAsia" w:ascii="Times New Roman" w:hAnsi="Times New Roman" w:cs="Times New Roman" w:eastAsiaTheme="minorEastAsia"/>
          <w:b/>
          <w:bCs/>
          <w:color w:val="auto"/>
          <w:sz w:val="20"/>
          <w:szCs w:val="20"/>
          <w:highlight w:val="none"/>
          <w:lang w:val="en-US" w:eastAsia="zh"/>
          <w:woUserID w:val="9"/>
        </w:rPr>
      </w:pPr>
      <w:r>
        <w:rPr>
          <w:rFonts w:hint="eastAsia" w:ascii="Times New Roman" w:hAnsi="Times New Roman" w:cs="Times New Roman"/>
          <w:b/>
          <w:bCs/>
          <w:color w:val="auto"/>
          <w:sz w:val="20"/>
          <w:szCs w:val="20"/>
          <w:highlight w:val="none"/>
          <w:lang w:val="en-US" w:eastAsia="zh-CN"/>
          <w:woUserID w:val="0"/>
        </w:rPr>
        <w:t>7.1.10</w:t>
      </w:r>
      <w:r>
        <w:rPr>
          <w:rFonts w:hint="eastAsia" w:ascii="Times New Roman" w:hAnsi="Times New Roman" w:cs="Times New Roman"/>
          <w:b/>
          <w:bCs/>
          <w:color w:val="auto"/>
          <w:sz w:val="20"/>
          <w:szCs w:val="20"/>
          <w:highlight w:val="none"/>
          <w:lang w:val="en-US" w:eastAsia="zh"/>
          <w:woUserID w:val="9"/>
        </w:rPr>
        <w:t xml:space="preserve"> 当设置消火栓、消防软管卷盘或轻便消防水龙灭火设施时，应将其设置在箱体内，箱体应暗装设置。消防立管和阀门布置应避免老年人碰撞，单独设置的灭火器箱应设置在不妨碍通行处。</w:t>
      </w:r>
    </w:p>
    <w:p w14:paraId="3858BB9A">
      <w:pPr>
        <w:numPr>
          <w:ilvl w:val="0"/>
          <w:numId w:val="0"/>
        </w:numPr>
        <w:tabs>
          <w:tab w:val="left" w:pos="0"/>
        </w:tabs>
        <w:bidi w:val="0"/>
        <w:ind w:left="-9" w:leftChars="0"/>
        <w:rPr>
          <w:rFonts w:hint="eastAsia"/>
          <w:color w:val="auto"/>
          <w:highlight w:val="none"/>
          <w:lang w:val="en-US" w:eastAsia="zh-CN"/>
        </w:rPr>
      </w:pPr>
      <w:r>
        <w:rPr>
          <w:rFonts w:hint="eastAsia" w:ascii="Times New Roman" w:hAnsi="Times New Roman" w:cs="Times New Roman"/>
          <w:b/>
          <w:bCs/>
          <w:color w:val="auto"/>
          <w:sz w:val="20"/>
          <w:szCs w:val="20"/>
          <w:highlight w:val="none"/>
          <w:lang w:val="en-US" w:eastAsia="zh-CN"/>
        </w:rPr>
        <w:t>7.1.</w:t>
      </w:r>
      <w:r>
        <w:rPr>
          <w:rFonts w:hint="eastAsia" w:ascii="Times New Roman" w:hAnsi="Times New Roman" w:cs="Times New Roman"/>
          <w:b/>
          <w:bCs/>
          <w:color w:val="auto"/>
          <w:sz w:val="20"/>
          <w:szCs w:val="20"/>
          <w:highlight w:val="none"/>
          <w:lang w:val="en-US" w:eastAsia="zh"/>
          <w:woUserID w:val="9"/>
        </w:rPr>
        <w:t>11</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kern w:val="0"/>
          <w:highlight w:val="none"/>
          <w:lang w:val="en-US" w:eastAsia="zh-CN"/>
        </w:rPr>
        <w:t>应设置自动灭火系统，并宜采用自动喷水灭火系统。</w:t>
      </w:r>
    </w:p>
    <w:p w14:paraId="5BF6F978">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09" w:name="_Toc15692"/>
      <w:bookmarkStart w:id="110" w:name="_Toc352"/>
      <w:bookmarkStart w:id="111" w:name="_Toc29499"/>
      <w:r>
        <w:rPr>
          <w:rStyle w:val="19"/>
          <w:rFonts w:hint="eastAsia" w:ascii="黑体" w:hAnsi="黑体" w:eastAsia="黑体" w:cs="黑体"/>
          <w:color w:val="auto"/>
          <w:sz w:val="28"/>
          <w:szCs w:val="40"/>
          <w:highlight w:val="none"/>
          <w:lang w:val="en-US" w:eastAsia="zh-CN"/>
        </w:rPr>
        <w:t>7.2 暖通空调</w:t>
      </w:r>
      <w:bookmarkEnd w:id="109"/>
      <w:bookmarkEnd w:id="110"/>
    </w:p>
    <w:bookmarkEnd w:id="111"/>
    <w:p w14:paraId="17D68FB0">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7.2.1</w:t>
      </w:r>
      <w:r>
        <w:rPr>
          <w:rFonts w:hint="eastAsia"/>
          <w:color w:val="auto"/>
          <w:highlight w:val="none"/>
          <w:lang w:val="en-US" w:eastAsia="zh-CN"/>
        </w:rPr>
        <w:t xml:space="preserve"> 夏热冬冷、严寒及寒冷地区</w:t>
      </w:r>
      <w:r>
        <w:rPr>
          <w:rFonts w:hint="eastAsia"/>
          <w:color w:val="auto"/>
          <w:highlight w:val="none"/>
          <w:lang w:val="en-US" w:eastAsia="zh"/>
        </w:rPr>
        <w:t>老年人照料设施</w:t>
      </w:r>
      <w:r>
        <w:rPr>
          <w:rFonts w:hint="eastAsia"/>
          <w:color w:val="auto"/>
          <w:highlight w:val="none"/>
          <w:lang w:val="en-US" w:eastAsia="zh-CN"/>
        </w:rPr>
        <w:t>的老年人用房应设置供暖设施，其生活用房中带有洗浴功能的卫生间、公共浴室及其更衣间必须设置供暖设施。</w:t>
      </w:r>
    </w:p>
    <w:p w14:paraId="4DA4918C">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7.2.2</w:t>
      </w:r>
      <w:r>
        <w:rPr>
          <w:rFonts w:hint="eastAsia"/>
          <w:color w:val="auto"/>
          <w:highlight w:val="none"/>
          <w:lang w:val="en-US" w:eastAsia="zh-CN"/>
        </w:rPr>
        <w:t xml:space="preserve"> 老年人用房的供暖室内设计温度宜符合表7.2.2的规定。</w:t>
      </w:r>
    </w:p>
    <w:p w14:paraId="06803787">
      <w:pPr>
        <w:numPr>
          <w:ilvl w:val="0"/>
          <w:numId w:val="0"/>
        </w:numPr>
        <w:jc w:val="center"/>
        <w:rPr>
          <w:rFonts w:hint="eastAsia"/>
          <w:b/>
          <w:bCs/>
          <w:color w:val="auto"/>
          <w:sz w:val="18"/>
          <w:szCs w:val="21"/>
          <w:highlight w:val="none"/>
          <w:lang w:val="en-US" w:eastAsia="zh-CN"/>
        </w:rPr>
      </w:pPr>
      <w:r>
        <w:rPr>
          <w:rFonts w:hint="eastAsia"/>
          <w:b/>
          <w:bCs/>
          <w:color w:val="auto"/>
          <w:sz w:val="18"/>
          <w:szCs w:val="21"/>
          <w:highlight w:val="none"/>
          <w:lang w:val="en-US" w:eastAsia="zh-CN"/>
        </w:rPr>
        <w:t>表7.2.2老年人用房供暖室内设计温度</w:t>
      </w:r>
    </w:p>
    <w:tbl>
      <w:tblPr>
        <w:tblStyle w:val="12"/>
        <w:tblW w:w="84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909"/>
        <w:gridCol w:w="722"/>
        <w:gridCol w:w="826"/>
        <w:gridCol w:w="826"/>
        <w:gridCol w:w="826"/>
        <w:gridCol w:w="1131"/>
        <w:gridCol w:w="1080"/>
        <w:gridCol w:w="1080"/>
      </w:tblGrid>
      <w:tr w14:paraId="18A4D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225" w:hRule="atLeast"/>
        </w:trPr>
        <w:tc>
          <w:tcPr>
            <w:tcW w:w="0" w:type="auto"/>
            <w:vAlign w:val="center"/>
          </w:tcPr>
          <w:p w14:paraId="103C2C40">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房间</w:t>
            </w:r>
          </w:p>
        </w:tc>
        <w:tc>
          <w:tcPr>
            <w:tcW w:w="0" w:type="auto"/>
            <w:vAlign w:val="center"/>
          </w:tcPr>
          <w:p w14:paraId="72FE9E51">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居住</w:t>
            </w:r>
          </w:p>
          <w:p w14:paraId="5CB33AB1">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用房</w:t>
            </w:r>
          </w:p>
        </w:tc>
        <w:tc>
          <w:tcPr>
            <w:tcW w:w="0" w:type="auto"/>
            <w:vAlign w:val="center"/>
          </w:tcPr>
          <w:p w14:paraId="005030C4">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含沐浴</w:t>
            </w:r>
          </w:p>
          <w:p w14:paraId="1000CD1A">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的用房</w:t>
            </w:r>
          </w:p>
        </w:tc>
        <w:tc>
          <w:tcPr>
            <w:tcW w:w="0" w:type="auto"/>
            <w:vAlign w:val="center"/>
          </w:tcPr>
          <w:p w14:paraId="40683DB7">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生活辅</w:t>
            </w:r>
          </w:p>
          <w:p w14:paraId="758981C2">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助用房</w:t>
            </w:r>
          </w:p>
        </w:tc>
        <w:tc>
          <w:tcPr>
            <w:tcW w:w="0" w:type="auto"/>
            <w:vAlign w:val="center"/>
          </w:tcPr>
          <w:p w14:paraId="7395CAE9">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生活服</w:t>
            </w:r>
          </w:p>
          <w:p w14:paraId="62726D60">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务用房</w:t>
            </w:r>
          </w:p>
        </w:tc>
        <w:tc>
          <w:tcPr>
            <w:tcW w:w="1130" w:type="dxa"/>
            <w:vAlign w:val="center"/>
          </w:tcPr>
          <w:p w14:paraId="333EE7ED">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 xml:space="preserve">活动室 </w:t>
            </w:r>
          </w:p>
          <w:p w14:paraId="76817330">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多功能厅</w:t>
            </w:r>
          </w:p>
        </w:tc>
        <w:tc>
          <w:tcPr>
            <w:tcW w:w="1079" w:type="dxa"/>
            <w:vAlign w:val="center"/>
          </w:tcPr>
          <w:p w14:paraId="0626427B">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医疗保</w:t>
            </w:r>
          </w:p>
          <w:p w14:paraId="321D14DE">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健用房</w:t>
            </w:r>
          </w:p>
        </w:tc>
        <w:tc>
          <w:tcPr>
            <w:tcW w:w="1079" w:type="dxa"/>
            <w:vAlign w:val="center"/>
          </w:tcPr>
          <w:p w14:paraId="3A30ED54">
            <w:pPr>
              <w:autoSpaceDN w:val="0"/>
              <w:spacing w:line="480" w:lineRule="exact"/>
              <w:jc w:val="center"/>
              <w:rPr>
                <w:rFonts w:hint="eastAsia"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管理服</w:t>
            </w:r>
          </w:p>
          <w:p w14:paraId="268A65EA">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务用房</w:t>
            </w:r>
          </w:p>
        </w:tc>
      </w:tr>
      <w:tr w14:paraId="5B19F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0" w:hRule="atLeast"/>
        </w:trPr>
        <w:tc>
          <w:tcPr>
            <w:tcW w:w="0" w:type="auto"/>
            <w:vAlign w:val="center"/>
          </w:tcPr>
          <w:p w14:paraId="48898EB6">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计算温度（℃）</w:t>
            </w:r>
          </w:p>
        </w:tc>
        <w:tc>
          <w:tcPr>
            <w:tcW w:w="0" w:type="auto"/>
            <w:vAlign w:val="center"/>
          </w:tcPr>
          <w:p w14:paraId="7A402586">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20</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24</w:t>
            </w:r>
          </w:p>
        </w:tc>
        <w:tc>
          <w:tcPr>
            <w:tcW w:w="0" w:type="auto"/>
            <w:vAlign w:val="center"/>
          </w:tcPr>
          <w:p w14:paraId="7DFE14B2">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24</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26</w:t>
            </w:r>
          </w:p>
        </w:tc>
        <w:tc>
          <w:tcPr>
            <w:tcW w:w="0" w:type="auto"/>
            <w:vAlign w:val="center"/>
          </w:tcPr>
          <w:p w14:paraId="10193291">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20</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24</w:t>
            </w:r>
          </w:p>
        </w:tc>
        <w:tc>
          <w:tcPr>
            <w:tcW w:w="0" w:type="auto"/>
            <w:vAlign w:val="center"/>
          </w:tcPr>
          <w:p w14:paraId="6B13C9D6">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18</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22</w:t>
            </w:r>
          </w:p>
        </w:tc>
        <w:tc>
          <w:tcPr>
            <w:tcW w:w="1130" w:type="dxa"/>
            <w:vAlign w:val="center"/>
          </w:tcPr>
          <w:p w14:paraId="73C3020A">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20</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24</w:t>
            </w:r>
          </w:p>
        </w:tc>
        <w:tc>
          <w:tcPr>
            <w:tcW w:w="1079" w:type="dxa"/>
            <w:vAlign w:val="center"/>
          </w:tcPr>
          <w:p w14:paraId="0A82A4E3">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20</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24</w:t>
            </w:r>
          </w:p>
        </w:tc>
        <w:tc>
          <w:tcPr>
            <w:tcW w:w="1079" w:type="dxa"/>
            <w:vAlign w:val="center"/>
          </w:tcPr>
          <w:p w14:paraId="02F018B2">
            <w:pPr>
              <w:autoSpaceDN w:val="0"/>
              <w:spacing w:line="480" w:lineRule="exact"/>
              <w:jc w:val="center"/>
              <w:rPr>
                <w:rFonts w:asciiTheme="minorEastAsia" w:hAnsiTheme="minorEastAsia" w:eastAsiaTheme="minorEastAsia"/>
                <w:color w:val="auto"/>
                <w:kern w:val="0"/>
                <w:sz w:val="20"/>
                <w:szCs w:val="20"/>
                <w:highlight w:val="none"/>
              </w:rPr>
            </w:pPr>
            <w:r>
              <w:rPr>
                <w:rFonts w:hint="eastAsia" w:asciiTheme="minorEastAsia" w:hAnsiTheme="minorEastAsia" w:eastAsiaTheme="minorEastAsia"/>
                <w:color w:val="auto"/>
                <w:kern w:val="0"/>
                <w:sz w:val="20"/>
                <w:szCs w:val="20"/>
                <w:highlight w:val="none"/>
              </w:rPr>
              <w:t>18</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 w:val="20"/>
                <w:szCs w:val="20"/>
                <w:highlight w:val="none"/>
              </w:rPr>
              <w:t>22</w:t>
            </w:r>
          </w:p>
        </w:tc>
      </w:tr>
    </w:tbl>
    <w:p w14:paraId="6CC3C6DC">
      <w:pPr>
        <w:numPr>
          <w:ilvl w:val="0"/>
          <w:numId w:val="0"/>
        </w:numPr>
        <w:tabs>
          <w:tab w:val="left" w:pos="0"/>
        </w:tabs>
        <w:bidi w:val="0"/>
        <w:ind w:left="-9" w:leftChars="0"/>
        <w:rPr>
          <w:rFonts w:hint="eastAsia"/>
          <w:color w:val="auto"/>
          <w:highlight w:val="none"/>
          <w:lang w:val="en-US" w:eastAsia="zh-CN"/>
        </w:rPr>
      </w:pPr>
    </w:p>
    <w:p w14:paraId="3E1DC963">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7.2.3</w:t>
      </w:r>
      <w:r>
        <w:rPr>
          <w:rFonts w:hint="default" w:ascii="Times New Roman" w:hAnsi="Times New Roman" w:cs="Times New Roman"/>
          <w:b/>
          <w:bCs/>
          <w:color w:val="auto"/>
          <w:sz w:val="20"/>
          <w:szCs w:val="20"/>
          <w:highlight w:val="none"/>
          <w:lang w:val="en-US" w:eastAsia="zh-CN"/>
        </w:rPr>
        <w:tab/>
      </w:r>
      <w:r>
        <w:rPr>
          <w:rFonts w:hint="eastAsia"/>
          <w:color w:val="auto"/>
          <w:highlight w:val="none"/>
          <w:lang w:val="en-US" w:eastAsia="zh-CN"/>
        </w:rPr>
        <w:t xml:space="preserve"> 严寒、寒冷地区的供暖系统应按连续供暖进行设计。</w:t>
      </w:r>
    </w:p>
    <w:p w14:paraId="08DBD268">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7.2.4</w:t>
      </w:r>
      <w:r>
        <w:rPr>
          <w:rFonts w:hint="default" w:ascii="Times New Roman" w:hAnsi="Times New Roman" w:cs="Times New Roman"/>
          <w:b/>
          <w:bCs/>
          <w:color w:val="auto"/>
          <w:sz w:val="20"/>
          <w:szCs w:val="20"/>
          <w:highlight w:val="none"/>
          <w:lang w:val="en-US" w:eastAsia="zh-CN"/>
        </w:rPr>
        <w:tab/>
      </w:r>
      <w:r>
        <w:rPr>
          <w:rFonts w:hint="default" w:ascii="Times New Roman" w:hAnsi="Times New Roman" w:cs="Times New Roman"/>
          <w:b/>
          <w:bCs/>
          <w:color w:val="auto"/>
          <w:sz w:val="20"/>
          <w:szCs w:val="20"/>
          <w:highlight w:val="none"/>
          <w:lang w:val="en-US" w:eastAsia="zh-CN"/>
        </w:rPr>
        <w:t xml:space="preserve"> </w:t>
      </w:r>
      <w:r>
        <w:rPr>
          <w:rFonts w:hint="eastAsia"/>
          <w:color w:val="auto"/>
          <w:highlight w:val="none"/>
          <w:lang w:val="en-US" w:eastAsia="zh-CN"/>
        </w:rPr>
        <w:t>供暖系统的末端设备应具备室温调控功能。</w:t>
      </w:r>
    </w:p>
    <w:p w14:paraId="0C345AF8">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7.2.5</w:t>
      </w:r>
      <w:r>
        <w:rPr>
          <w:rFonts w:hint="default" w:ascii="Times New Roman" w:hAnsi="Times New Roman" w:cs="Times New Roman"/>
          <w:b/>
          <w:bCs/>
          <w:color w:val="auto"/>
          <w:sz w:val="20"/>
          <w:szCs w:val="20"/>
          <w:highlight w:val="none"/>
          <w:lang w:val="en-US" w:eastAsia="zh-CN"/>
        </w:rPr>
        <w:tab/>
      </w:r>
      <w:r>
        <w:rPr>
          <w:rFonts w:hint="eastAsia"/>
          <w:color w:val="auto"/>
          <w:highlight w:val="none"/>
          <w:lang w:val="en-US" w:eastAsia="zh-CN"/>
        </w:rPr>
        <w:t xml:space="preserve"> 老年人用房的散热器应暗装或加防护罩。</w:t>
      </w:r>
    </w:p>
    <w:p w14:paraId="76577474">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7.2.6</w:t>
      </w:r>
      <w:r>
        <w:rPr>
          <w:rFonts w:hint="eastAsia"/>
          <w:color w:val="auto"/>
          <w:highlight w:val="none"/>
          <w:lang w:val="en-US" w:eastAsia="zh-CN"/>
        </w:rPr>
        <w:t xml:space="preserve"> 最热月平均室外气温高于25℃地区的</w:t>
      </w:r>
      <w:r>
        <w:rPr>
          <w:rFonts w:hint="eastAsia"/>
          <w:color w:val="auto"/>
          <w:highlight w:val="none"/>
          <w:lang w:val="en-US" w:eastAsia="zh"/>
        </w:rPr>
        <w:t>老年人照料设施</w:t>
      </w:r>
      <w:r>
        <w:rPr>
          <w:rFonts w:hint="eastAsia"/>
          <w:color w:val="auto"/>
          <w:highlight w:val="none"/>
          <w:lang w:val="en-US" w:eastAsia="zh-CN"/>
        </w:rPr>
        <w:t>老年人用房应设置降温设施。</w:t>
      </w:r>
    </w:p>
    <w:p w14:paraId="019CB451">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7.2.7</w:t>
      </w:r>
      <w:r>
        <w:rPr>
          <w:rFonts w:hint="eastAsia"/>
          <w:color w:val="auto"/>
          <w:highlight w:val="none"/>
          <w:lang w:val="en-US" w:eastAsia="zh-CN"/>
        </w:rPr>
        <w:t xml:space="preserve"> 老年人居住用房空调室内设计温度及风速宜符合表7.2.7的规定。</w:t>
      </w:r>
    </w:p>
    <w:p w14:paraId="6A096D7F">
      <w:pPr>
        <w:numPr>
          <w:ilvl w:val="0"/>
          <w:numId w:val="0"/>
        </w:numPr>
        <w:jc w:val="center"/>
        <w:rPr>
          <w:rFonts w:hint="eastAsia"/>
          <w:color w:val="auto"/>
          <w:highlight w:val="none"/>
          <w:lang w:val="en-US" w:eastAsia="zh-CN"/>
        </w:rPr>
      </w:pPr>
      <w:r>
        <w:rPr>
          <w:rFonts w:hint="eastAsia"/>
          <w:b/>
          <w:bCs/>
          <w:color w:val="auto"/>
          <w:sz w:val="18"/>
          <w:szCs w:val="21"/>
          <w:highlight w:val="none"/>
          <w:lang w:val="en-US" w:eastAsia="zh-CN"/>
        </w:rPr>
        <w:t>表7.2.7老年人居住用房空调室内设计温度及风速</w:t>
      </w:r>
    </w:p>
    <w:tbl>
      <w:tblPr>
        <w:tblStyle w:val="12"/>
        <w:tblpPr w:leftFromText="180" w:rightFromText="180" w:vertAnchor="text" w:horzAnchor="page" w:tblpX="1792" w:tblpY="296"/>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14:paraId="3FB9D0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6996B792">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类别</w:t>
            </w:r>
          </w:p>
        </w:tc>
        <w:tc>
          <w:tcPr>
            <w:tcW w:w="2841" w:type="dxa"/>
          </w:tcPr>
          <w:p w14:paraId="081E51DD">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温度（℃）</w:t>
            </w:r>
          </w:p>
        </w:tc>
        <w:tc>
          <w:tcPr>
            <w:tcW w:w="2841" w:type="dxa"/>
          </w:tcPr>
          <w:p w14:paraId="7DB90A87">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风速（m/s</w:t>
            </w:r>
            <w:r>
              <w:rPr>
                <w:rFonts w:asciiTheme="minorEastAsia" w:hAnsiTheme="minorEastAsia" w:eastAsiaTheme="minorEastAsia"/>
                <w:color w:val="auto"/>
                <w:kern w:val="0"/>
                <w:szCs w:val="21"/>
                <w:highlight w:val="none"/>
              </w:rPr>
              <w:t>）</w:t>
            </w:r>
          </w:p>
        </w:tc>
      </w:tr>
      <w:tr w14:paraId="46758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44E35C19">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供热工况</w:t>
            </w:r>
          </w:p>
        </w:tc>
        <w:tc>
          <w:tcPr>
            <w:tcW w:w="2841" w:type="dxa"/>
          </w:tcPr>
          <w:p w14:paraId="054DFF1E">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lang w:val="en-US" w:eastAsia="zh-CN"/>
              </w:rPr>
              <w:t>2</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Cs w:val="21"/>
                <w:highlight w:val="none"/>
              </w:rPr>
              <w:t>24</w:t>
            </w:r>
          </w:p>
        </w:tc>
        <w:tc>
          <w:tcPr>
            <w:tcW w:w="2841" w:type="dxa"/>
          </w:tcPr>
          <w:p w14:paraId="328AB640">
            <w:pPr>
              <w:spacing w:line="360" w:lineRule="auto"/>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0.2</w:t>
            </w:r>
          </w:p>
        </w:tc>
      </w:tr>
      <w:tr w14:paraId="1784F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049B01AA">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供冷工况</w:t>
            </w:r>
          </w:p>
        </w:tc>
        <w:tc>
          <w:tcPr>
            <w:tcW w:w="2841" w:type="dxa"/>
          </w:tcPr>
          <w:p w14:paraId="3252353F">
            <w:pPr>
              <w:spacing w:line="360" w:lineRule="auto"/>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26</w:t>
            </w:r>
            <w:r>
              <w:rPr>
                <w:rFonts w:ascii="Helvetica" w:hAnsi="Helvetica" w:eastAsia="Helvetica" w:cs="Helvetica"/>
                <w:i w:val="0"/>
                <w:iCs w:val="0"/>
                <w:caps w:val="0"/>
                <w:color w:val="auto"/>
                <w:spacing w:val="0"/>
                <w:sz w:val="21"/>
                <w:szCs w:val="21"/>
                <w:highlight w:val="none"/>
                <w:shd w:val="clear" w:fill="FFFFFF"/>
              </w:rPr>
              <w:t>~</w:t>
            </w:r>
            <w:r>
              <w:rPr>
                <w:rFonts w:hint="eastAsia" w:asciiTheme="minorEastAsia" w:hAnsiTheme="minorEastAsia" w:eastAsiaTheme="minorEastAsia"/>
                <w:color w:val="auto"/>
                <w:kern w:val="0"/>
                <w:szCs w:val="21"/>
                <w:highlight w:val="none"/>
              </w:rPr>
              <w:t>28</w:t>
            </w:r>
          </w:p>
        </w:tc>
        <w:tc>
          <w:tcPr>
            <w:tcW w:w="2841" w:type="dxa"/>
          </w:tcPr>
          <w:p w14:paraId="07F476D6">
            <w:pPr>
              <w:spacing w:line="360" w:lineRule="auto"/>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0.25</w:t>
            </w:r>
          </w:p>
        </w:tc>
      </w:tr>
    </w:tbl>
    <w:p w14:paraId="74CC0217">
      <w:pPr>
        <w:numPr>
          <w:ilvl w:val="0"/>
          <w:numId w:val="0"/>
        </w:numPr>
        <w:tabs>
          <w:tab w:val="left" w:pos="0"/>
        </w:tabs>
        <w:bidi w:val="0"/>
        <w:ind w:left="-9" w:leftChars="0"/>
        <w:rPr>
          <w:rFonts w:hint="eastAsia"/>
          <w:color w:val="auto"/>
          <w:highlight w:val="none"/>
          <w:lang w:val="en-US" w:eastAsia="zh-CN"/>
        </w:rPr>
      </w:pPr>
    </w:p>
    <w:p w14:paraId="075D0FD3">
      <w:pPr>
        <w:numPr>
          <w:ilvl w:val="0"/>
          <w:numId w:val="0"/>
        </w:numPr>
        <w:tabs>
          <w:tab w:val="left" w:pos="0"/>
        </w:tabs>
        <w:bidi w:val="0"/>
        <w:ind w:left="-9" w:leftChars="0"/>
        <w:rPr>
          <w:rFonts w:hint="eastAsia"/>
          <w:color w:val="auto"/>
          <w:highlight w:val="none"/>
          <w:lang w:val="en-US" w:eastAsia="zh-CN"/>
        </w:rPr>
      </w:pPr>
      <w:r>
        <w:rPr>
          <w:rFonts w:hint="default" w:ascii="Times New Roman" w:hAnsi="Times New Roman" w:cs="Times New Roman"/>
          <w:b/>
          <w:bCs/>
          <w:color w:val="auto"/>
          <w:sz w:val="20"/>
          <w:szCs w:val="20"/>
          <w:highlight w:val="none"/>
          <w:lang w:val="en-US" w:eastAsia="zh-CN"/>
        </w:rPr>
        <w:t>7.2.8</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空调系统应符合下列规定：</w:t>
      </w:r>
    </w:p>
    <w:p w14:paraId="3DCE9BEB">
      <w:pPr>
        <w:numPr>
          <w:ilvl w:val="0"/>
          <w:numId w:val="0"/>
        </w:numPr>
        <w:tabs>
          <w:tab w:val="left" w:pos="0"/>
        </w:tabs>
        <w:bidi w:val="0"/>
        <w:ind w:left="-9" w:leftChars="0" w:firstLine="428" w:firstLineChars="204"/>
        <w:rPr>
          <w:rFonts w:hint="eastAsia"/>
          <w:color w:val="auto"/>
          <w:highlight w:val="none"/>
          <w:lang w:val="en-US" w:eastAsia="zh-CN"/>
        </w:rPr>
      </w:pPr>
      <w:r>
        <w:rPr>
          <w:rFonts w:hint="eastAsia"/>
          <w:color w:val="auto"/>
          <w:highlight w:val="none"/>
          <w:lang w:val="en-US" w:eastAsia="zh-CN"/>
        </w:rPr>
        <w:t>1 老年人居住用房的最小新风量不应小于1.5次每小时换气次数；</w:t>
      </w:r>
    </w:p>
    <w:p w14:paraId="25A8AFC8">
      <w:pPr>
        <w:numPr>
          <w:ilvl w:val="0"/>
          <w:numId w:val="0"/>
        </w:numPr>
        <w:tabs>
          <w:tab w:val="left" w:pos="0"/>
        </w:tabs>
        <w:bidi w:val="0"/>
        <w:ind w:left="-9" w:leftChars="0" w:firstLine="428" w:firstLineChars="204"/>
        <w:outlineLvl w:val="0"/>
        <w:rPr>
          <w:rFonts w:hint="eastAsia"/>
          <w:color w:val="auto"/>
          <w:highlight w:val="none"/>
          <w:lang w:val="en-US" w:eastAsia="zh-CN"/>
        </w:rPr>
      </w:pPr>
      <w:bookmarkStart w:id="112" w:name="_Toc20705"/>
      <w:bookmarkStart w:id="113" w:name="_Toc27025"/>
      <w:bookmarkStart w:id="114" w:name="_Toc6584"/>
      <w:r>
        <w:rPr>
          <w:rFonts w:hint="eastAsia"/>
          <w:color w:val="auto"/>
          <w:highlight w:val="none"/>
          <w:lang w:val="en-US" w:eastAsia="zh-CN"/>
        </w:rPr>
        <w:t>2 空调系统应设置分室温度控制措施。</w:t>
      </w:r>
      <w:bookmarkEnd w:id="112"/>
      <w:bookmarkEnd w:id="113"/>
      <w:bookmarkEnd w:id="114"/>
    </w:p>
    <w:p w14:paraId="02E4922F">
      <w:pPr>
        <w:numPr>
          <w:ilvl w:val="0"/>
          <w:numId w:val="0"/>
        </w:numPr>
        <w:tabs>
          <w:tab w:val="left" w:pos="0"/>
        </w:tabs>
        <w:bidi w:val="0"/>
        <w:ind w:left="-9" w:leftChars="0"/>
        <w:outlineLvl w:val="1"/>
        <w:rPr>
          <w:rFonts w:hint="default" w:ascii="Times New Roman" w:hAnsi="Times New Roman" w:cs="Times New Roman"/>
          <w:b/>
          <w:bCs/>
          <w:color w:val="auto"/>
          <w:sz w:val="20"/>
          <w:szCs w:val="20"/>
          <w:highlight w:val="none"/>
          <w:lang w:val="en-US" w:eastAsia="zh-CN"/>
        </w:rPr>
      </w:pPr>
      <w:bookmarkStart w:id="115" w:name="_Toc19892"/>
      <w:bookmarkStart w:id="116" w:name="_Toc15580"/>
      <w:r>
        <w:rPr>
          <w:rFonts w:hint="default" w:ascii="Times New Roman" w:hAnsi="Times New Roman" w:cs="Times New Roman"/>
          <w:b/>
          <w:bCs/>
          <w:color w:val="auto"/>
          <w:sz w:val="20"/>
          <w:szCs w:val="20"/>
          <w:highlight w:val="none"/>
          <w:lang w:val="en-US" w:eastAsia="zh-CN"/>
        </w:rPr>
        <w:t xml:space="preserve">7.2.9 </w:t>
      </w:r>
      <w:r>
        <w:rPr>
          <w:rFonts w:hint="eastAsia"/>
          <w:color w:val="auto"/>
          <w:highlight w:val="none"/>
          <w:lang w:val="en-US" w:eastAsia="zh"/>
        </w:rPr>
        <w:t>老年人照料设施</w:t>
      </w:r>
      <w:r>
        <w:rPr>
          <w:rFonts w:hint="default"/>
          <w:color w:val="auto"/>
          <w:highlight w:val="none"/>
          <w:lang w:val="en-US" w:eastAsia="zh-CN"/>
        </w:rPr>
        <w:t>公共浴室每小时换气次数不应小于10次。</w:t>
      </w:r>
      <w:bookmarkEnd w:id="115"/>
      <w:bookmarkEnd w:id="116"/>
    </w:p>
    <w:p w14:paraId="6B0AE5FC">
      <w:pPr>
        <w:numPr>
          <w:ilvl w:val="0"/>
          <w:numId w:val="0"/>
        </w:numPr>
        <w:tabs>
          <w:tab w:val="left" w:pos="0"/>
        </w:tabs>
        <w:bidi w:val="0"/>
        <w:ind w:left="-9" w:leftChars="0"/>
        <w:rPr>
          <w:rStyle w:val="19"/>
          <w:rFonts w:hint="default" w:ascii="黑体" w:hAnsi="黑体" w:eastAsia="黑体" w:cs="黑体"/>
          <w:color w:val="auto"/>
          <w:sz w:val="28"/>
          <w:szCs w:val="40"/>
          <w:highlight w:val="none"/>
          <w:lang w:val="en-US" w:eastAsia="zh-CN"/>
        </w:rPr>
      </w:pPr>
      <w:r>
        <w:rPr>
          <w:rFonts w:hint="default" w:ascii="Times New Roman" w:hAnsi="Times New Roman" w:cs="Times New Roman"/>
          <w:b/>
          <w:bCs/>
          <w:color w:val="auto"/>
          <w:sz w:val="20"/>
          <w:szCs w:val="20"/>
          <w:highlight w:val="none"/>
          <w:lang w:val="en-US" w:eastAsia="zh-CN"/>
        </w:rPr>
        <w:t>7.2.10</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空调通风系统应采取隔振降噪措施，保证主要功能房间室内的噪声满足《建筑环境通用规范》GB55016的要求。</w:t>
      </w:r>
    </w:p>
    <w:p w14:paraId="14F79B01">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17" w:name="_Toc4519"/>
      <w:bookmarkStart w:id="118" w:name="_Toc5541"/>
      <w:bookmarkStart w:id="119" w:name="_Toc14688"/>
      <w:r>
        <w:rPr>
          <w:rStyle w:val="19"/>
          <w:rFonts w:hint="eastAsia" w:ascii="黑体" w:hAnsi="黑体" w:eastAsia="黑体" w:cs="黑体"/>
          <w:color w:val="auto"/>
          <w:sz w:val="28"/>
          <w:szCs w:val="40"/>
          <w:highlight w:val="none"/>
          <w:lang w:val="en-US" w:eastAsia="zh-CN"/>
        </w:rPr>
        <w:t>7.3 建筑电气</w:t>
      </w:r>
      <w:bookmarkEnd w:id="117"/>
      <w:bookmarkEnd w:id="118"/>
    </w:p>
    <w:bookmarkEnd w:id="119"/>
    <w:p w14:paraId="43ACF534">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7.3.1</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default"/>
          <w:color w:val="auto"/>
          <w:highlight w:val="none"/>
          <w:lang w:val="en-US" w:eastAsia="zh-CN"/>
        </w:rPr>
        <w:t>的供电电源应安全可靠，供配电系统应简明清晰。</w:t>
      </w:r>
    </w:p>
    <w:p w14:paraId="7FA548D0">
      <w:pPr>
        <w:numPr>
          <w:ilvl w:val="0"/>
          <w:numId w:val="0"/>
        </w:numPr>
        <w:tabs>
          <w:tab w:val="left" w:pos="0"/>
        </w:tabs>
        <w:bidi w:val="0"/>
        <w:ind w:left="-9" w:leftChars="0"/>
        <w:rPr>
          <w:rFonts w:hint="eastAsia"/>
          <w:color w:val="auto"/>
          <w:highlight w:val="none"/>
          <w:lang w:val="en-US" w:eastAsia="zh-CN"/>
        </w:rPr>
      </w:pPr>
      <w:r>
        <w:rPr>
          <w:rFonts w:hint="eastAsia" w:ascii="Times New Roman" w:hAnsi="Times New Roman" w:cs="Times New Roman"/>
          <w:b/>
          <w:bCs/>
          <w:color w:val="auto"/>
          <w:sz w:val="20"/>
          <w:szCs w:val="20"/>
          <w:highlight w:val="none"/>
          <w:lang w:val="en-US" w:eastAsia="zh-CN"/>
        </w:rPr>
        <w:t>7.3.2</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
          <w:woUserID w:val="3"/>
        </w:rPr>
        <w:t>应</w:t>
      </w:r>
      <w:r>
        <w:rPr>
          <w:rFonts w:hint="eastAsia"/>
          <w:color w:val="auto"/>
          <w:highlight w:val="none"/>
          <w:lang w:val="en-US" w:eastAsia="zh-CN"/>
        </w:rPr>
        <w:t>设置变配电所或配电间；当设置箱式变电站或户外配电设施时，其周围宜设置防止老年人触及的安全防护措施。</w:t>
      </w:r>
    </w:p>
    <w:p w14:paraId="1D6781B6">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7.3.3</w:t>
      </w:r>
      <w:r>
        <w:rPr>
          <w:rFonts w:hint="eastAsia"/>
          <w:color w:val="auto"/>
          <w:highlight w:val="none"/>
          <w:lang w:val="en-US" w:eastAsia="zh-CN"/>
        </w:rPr>
        <w:t xml:space="preserve"> 变配电所不得设置在老年人居住用房、医疗用房、保健用房、活动室等老年人长期停留房间的正下方或贴邻；箱式变电站不应靠近老年人居住用房。 </w:t>
      </w:r>
    </w:p>
    <w:p w14:paraId="0E77BE68">
      <w:pPr>
        <w:numPr>
          <w:ilvl w:val="0"/>
          <w:numId w:val="0"/>
        </w:numPr>
        <w:tabs>
          <w:tab w:val="left" w:pos="0"/>
        </w:tabs>
        <w:bidi w:val="0"/>
        <w:ind w:left="-9" w:leftChars="0"/>
        <w:rPr>
          <w:rFonts w:hint="eastAsia" w:eastAsiaTheme="minorEastAsia"/>
          <w:color w:val="auto"/>
          <w:highlight w:val="none"/>
          <w:lang w:val="en-US" w:eastAsia="zh"/>
          <w:woUserID w:val="3"/>
        </w:rPr>
      </w:pPr>
      <w:r>
        <w:rPr>
          <w:rFonts w:hint="eastAsia" w:ascii="Times New Roman" w:hAnsi="Times New Roman" w:cs="Times New Roman"/>
          <w:b/>
          <w:bCs/>
          <w:color w:val="auto"/>
          <w:sz w:val="20"/>
          <w:szCs w:val="20"/>
          <w:highlight w:val="none"/>
          <w:lang w:val="en-US" w:eastAsia="zh-CN"/>
        </w:rPr>
        <w:t xml:space="preserve">7.3.4 </w:t>
      </w:r>
      <w:r>
        <w:rPr>
          <w:rFonts w:hint="eastAsia"/>
          <w:color w:val="auto"/>
          <w:highlight w:val="none"/>
          <w:lang w:val="en-US" w:eastAsia="zh-CN"/>
        </w:rPr>
        <w:t>老年人居住用房</w:t>
      </w:r>
      <w:r>
        <w:rPr>
          <w:rFonts w:hint="default"/>
          <w:color w:val="auto"/>
          <w:highlight w:val="none"/>
          <w:lang w:val="en-US" w:eastAsia="zh-CN"/>
        </w:rPr>
        <w:t>宜每间</w:t>
      </w:r>
      <w:r>
        <w:rPr>
          <w:rFonts w:hint="eastAsia"/>
          <w:color w:val="auto"/>
          <w:highlight w:val="none"/>
          <w:lang w:val="en-US" w:eastAsia="zh-CN"/>
        </w:rPr>
        <w:t>（</w:t>
      </w:r>
      <w:r>
        <w:rPr>
          <w:rFonts w:hint="default"/>
          <w:color w:val="auto"/>
          <w:highlight w:val="none"/>
          <w:lang w:val="en-US" w:eastAsia="zh-CN"/>
        </w:rPr>
        <w:t>套</w:t>
      </w:r>
      <w:r>
        <w:rPr>
          <w:rFonts w:hint="eastAsia"/>
          <w:color w:val="auto"/>
          <w:highlight w:val="none"/>
          <w:lang w:val="en-US" w:eastAsia="zh-CN"/>
        </w:rPr>
        <w:t>）</w:t>
      </w:r>
      <w:r>
        <w:rPr>
          <w:rFonts w:hint="default"/>
          <w:color w:val="auto"/>
          <w:highlight w:val="none"/>
          <w:lang w:val="en-US" w:eastAsia="zh-CN"/>
        </w:rPr>
        <w:t>单设配电箱，配电箱内</w:t>
      </w:r>
      <w:r>
        <w:rPr>
          <w:rFonts w:hint="eastAsia"/>
          <w:color w:val="auto"/>
          <w:highlight w:val="none"/>
          <w:lang w:val="en-US" w:eastAsia="zh-CN"/>
        </w:rPr>
        <w:t>应</w:t>
      </w:r>
      <w:r>
        <w:rPr>
          <w:rFonts w:hint="default"/>
          <w:color w:val="auto"/>
          <w:highlight w:val="none"/>
          <w:lang w:val="en-US" w:eastAsia="zh-CN"/>
        </w:rPr>
        <w:t>设电源总开关，总开关应采用可同时断开相线和中性线的开关电器。</w:t>
      </w:r>
      <w:r>
        <w:rPr>
          <w:rFonts w:hint="eastAsia"/>
          <w:color w:val="auto"/>
          <w:highlight w:val="none"/>
          <w:lang w:val="en-US" w:eastAsia="zh"/>
          <w:woUserID w:val="3"/>
        </w:rPr>
        <w:t>为每</w:t>
      </w:r>
      <w:r>
        <w:rPr>
          <w:rFonts w:hint="default"/>
          <w:color w:val="auto"/>
          <w:highlight w:val="none"/>
          <w:lang w:val="en-US" w:eastAsia="zh-CN"/>
          <w:woUserID w:val="3"/>
        </w:rPr>
        <w:t>间</w:t>
      </w:r>
      <w:r>
        <w:rPr>
          <w:rFonts w:hint="eastAsia"/>
          <w:color w:val="auto"/>
          <w:highlight w:val="none"/>
          <w:lang w:val="en-US" w:eastAsia="zh-CN"/>
          <w:woUserID w:val="3"/>
        </w:rPr>
        <w:t>（</w:t>
      </w:r>
      <w:r>
        <w:rPr>
          <w:rFonts w:hint="default"/>
          <w:color w:val="auto"/>
          <w:highlight w:val="none"/>
          <w:lang w:val="en-US" w:eastAsia="zh-CN"/>
          <w:woUserID w:val="3"/>
        </w:rPr>
        <w:t>套</w:t>
      </w:r>
      <w:r>
        <w:rPr>
          <w:rFonts w:hint="eastAsia"/>
          <w:color w:val="auto"/>
          <w:highlight w:val="none"/>
          <w:lang w:val="en-US" w:eastAsia="zh-CN"/>
          <w:woUserID w:val="3"/>
        </w:rPr>
        <w:t>）</w:t>
      </w:r>
      <w:r>
        <w:rPr>
          <w:rFonts w:hint="eastAsia"/>
          <w:color w:val="auto"/>
          <w:highlight w:val="none"/>
          <w:lang w:val="en-US" w:eastAsia="zh"/>
          <w:woUserID w:val="3"/>
        </w:rPr>
        <w:t>居住用房供电的电源回路断路器处宜设置限流式电气防火保护器。</w:t>
      </w:r>
    </w:p>
    <w:p w14:paraId="7A3A3F09">
      <w:pPr>
        <w:numPr>
          <w:ilvl w:val="0"/>
          <w:numId w:val="0"/>
        </w:numPr>
        <w:tabs>
          <w:tab w:val="left" w:pos="0"/>
        </w:tabs>
        <w:bidi w:val="0"/>
        <w:ind w:left="-9" w:leftChars="0"/>
        <w:rPr>
          <w:rFonts w:hint="eastAsia"/>
          <w:color w:val="auto"/>
          <w:highlight w:val="none"/>
          <w:lang w:val="en-US" w:eastAsia="zh-CN"/>
        </w:rPr>
      </w:pPr>
      <w:r>
        <w:rPr>
          <w:rFonts w:hint="eastAsia" w:ascii="Times New Roman" w:hAnsi="Times New Roman" w:cs="Times New Roman"/>
          <w:b/>
          <w:bCs/>
          <w:color w:val="auto"/>
          <w:sz w:val="20"/>
          <w:szCs w:val="20"/>
          <w:highlight w:val="none"/>
          <w:lang w:val="en-US" w:eastAsia="zh-CN"/>
        </w:rPr>
        <w:t xml:space="preserve">7.3.5 </w:t>
      </w:r>
      <w:r>
        <w:rPr>
          <w:rFonts w:hint="eastAsia"/>
          <w:color w:val="auto"/>
          <w:highlight w:val="none"/>
          <w:lang w:val="en-US" w:eastAsia="zh"/>
        </w:rPr>
        <w:t>老年人照料设施</w:t>
      </w:r>
      <w:r>
        <w:rPr>
          <w:rFonts w:hint="eastAsia"/>
          <w:color w:val="auto"/>
          <w:highlight w:val="none"/>
          <w:lang w:val="en-US" w:eastAsia="zh-CN"/>
        </w:rPr>
        <w:t>宜结合管理需要设置</w:t>
      </w:r>
      <w:r>
        <w:rPr>
          <w:rFonts w:hint="default"/>
          <w:color w:val="auto"/>
          <w:highlight w:val="none"/>
          <w:lang w:val="en-US" w:eastAsia="zh-CN"/>
        </w:rPr>
        <w:t>电能计量</w:t>
      </w:r>
      <w:r>
        <w:rPr>
          <w:rFonts w:hint="eastAsia"/>
          <w:color w:val="auto"/>
          <w:highlight w:val="none"/>
          <w:lang w:val="en-US" w:eastAsia="zh-CN"/>
        </w:rPr>
        <w:t>装置，单独配电的</w:t>
      </w:r>
      <w:r>
        <w:rPr>
          <w:rFonts w:hint="default"/>
          <w:color w:val="auto"/>
          <w:highlight w:val="none"/>
          <w:lang w:val="en-US" w:eastAsia="zh-CN"/>
        </w:rPr>
        <w:t>每间</w:t>
      </w:r>
      <w:r>
        <w:rPr>
          <w:rFonts w:hint="eastAsia"/>
          <w:color w:val="auto"/>
          <w:highlight w:val="none"/>
          <w:lang w:val="en-US" w:eastAsia="zh-CN"/>
        </w:rPr>
        <w:t>（</w:t>
      </w:r>
      <w:r>
        <w:rPr>
          <w:rFonts w:hint="default"/>
          <w:color w:val="auto"/>
          <w:highlight w:val="none"/>
          <w:lang w:val="en-US" w:eastAsia="zh-CN"/>
        </w:rPr>
        <w:t>套</w:t>
      </w:r>
      <w:r>
        <w:rPr>
          <w:rFonts w:hint="eastAsia"/>
          <w:color w:val="auto"/>
          <w:highlight w:val="none"/>
          <w:lang w:val="en-US" w:eastAsia="zh-CN"/>
        </w:rPr>
        <w:t>）居住用房</w:t>
      </w:r>
      <w:r>
        <w:rPr>
          <w:rFonts w:hint="default"/>
          <w:color w:val="auto"/>
          <w:highlight w:val="none"/>
          <w:lang w:val="en-US" w:eastAsia="zh-CN"/>
        </w:rPr>
        <w:t>宜</w:t>
      </w:r>
      <w:r>
        <w:rPr>
          <w:rFonts w:hint="eastAsia"/>
          <w:color w:val="auto"/>
          <w:highlight w:val="none"/>
          <w:lang w:val="en-US" w:eastAsia="zh-CN"/>
        </w:rPr>
        <w:t>设置电表。</w:t>
      </w:r>
    </w:p>
    <w:p w14:paraId="25BF3614">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7.3.6</w:t>
      </w:r>
      <w:r>
        <w:rPr>
          <w:rFonts w:hint="eastAsia"/>
          <w:color w:val="auto"/>
          <w:highlight w:val="none"/>
          <w:lang w:val="en-US" w:eastAsia="zh-CN"/>
        </w:rPr>
        <w:t xml:space="preserve"> 照明设计除应符合《建筑照明设计标准》GB/T</w:t>
      </w:r>
      <w:r>
        <w:rPr>
          <w:rFonts w:hint="eastAsia"/>
          <w:color w:val="auto"/>
          <w:highlight w:val="none"/>
          <w:lang w:val="en-US" w:eastAsia="zh"/>
          <w:woUserID w:val="3"/>
        </w:rPr>
        <w:t xml:space="preserve"> </w:t>
      </w:r>
      <w:r>
        <w:rPr>
          <w:rFonts w:hint="eastAsia"/>
          <w:color w:val="auto"/>
          <w:highlight w:val="none"/>
          <w:lang w:val="en-US" w:eastAsia="zh-CN"/>
        </w:rPr>
        <w:t>50034相关规定外，尚应</w:t>
      </w:r>
      <w:r>
        <w:rPr>
          <w:rFonts w:hint="eastAsia"/>
          <w:color w:val="auto"/>
          <w:highlight w:val="none"/>
          <w:lang w:val="en-US" w:eastAsia="zh"/>
          <w:woUserID w:val="3"/>
        </w:rPr>
        <w:t>满足下列要求</w:t>
      </w:r>
      <w:r>
        <w:rPr>
          <w:rFonts w:hint="eastAsia"/>
          <w:color w:val="auto"/>
          <w:highlight w:val="none"/>
          <w:lang w:val="en-US" w:eastAsia="zh-CN"/>
        </w:rPr>
        <w:t>：</w:t>
      </w:r>
    </w:p>
    <w:p w14:paraId="379E7BE5">
      <w:pPr>
        <w:numPr>
          <w:ilvl w:val="0"/>
          <w:numId w:val="0"/>
        </w:numPr>
        <w:tabs>
          <w:tab w:val="left" w:pos="0"/>
        </w:tabs>
        <w:bidi w:val="0"/>
        <w:ind w:left="-9" w:leftChars="0" w:firstLine="430" w:firstLineChars="204"/>
        <w:rPr>
          <w:rFonts w:hint="eastAsia"/>
          <w:color w:val="auto"/>
          <w:highlight w:val="none"/>
          <w:lang w:val="en-US" w:eastAsia="zh-CN"/>
        </w:rPr>
      </w:pPr>
      <w:r>
        <w:rPr>
          <w:rFonts w:hint="eastAsia"/>
          <w:b/>
          <w:bCs/>
          <w:color w:val="auto"/>
          <w:highlight w:val="none"/>
          <w:lang w:val="en-US" w:eastAsia="zh-CN"/>
        </w:rPr>
        <w:t xml:space="preserve">1 </w:t>
      </w:r>
      <w:r>
        <w:rPr>
          <w:rFonts w:hint="eastAsia"/>
          <w:color w:val="auto"/>
          <w:highlight w:val="none"/>
          <w:lang w:val="en-US" w:eastAsia="zh-CN"/>
        </w:rPr>
        <w:t>医疗用房应设备用照明，</w:t>
      </w:r>
      <w:r>
        <w:rPr>
          <w:rFonts w:hint="default"/>
          <w:color w:val="auto"/>
          <w:highlight w:val="none"/>
          <w:lang w:val="en-US" w:eastAsia="zh-CN"/>
        </w:rPr>
        <w:t>居住用房</w:t>
      </w:r>
      <w:r>
        <w:rPr>
          <w:rFonts w:hint="eastAsia"/>
          <w:color w:val="auto"/>
          <w:highlight w:val="none"/>
          <w:lang w:val="en-US" w:eastAsia="zh-CN"/>
        </w:rPr>
        <w:t>、</w:t>
      </w:r>
      <w:r>
        <w:rPr>
          <w:rFonts w:hint="default"/>
          <w:color w:val="auto"/>
          <w:highlight w:val="none"/>
          <w:lang w:val="en-US" w:eastAsia="zh-CN"/>
        </w:rPr>
        <w:t>公共活动用房</w:t>
      </w:r>
      <w:r>
        <w:rPr>
          <w:rFonts w:hint="eastAsia"/>
          <w:color w:val="auto"/>
          <w:highlight w:val="none"/>
          <w:lang w:val="en-US" w:eastAsia="zh-CN"/>
        </w:rPr>
        <w:t>、公共生活辅助用房、保健用房</w:t>
      </w:r>
      <w:r>
        <w:rPr>
          <w:rFonts w:hint="default"/>
          <w:color w:val="auto"/>
          <w:highlight w:val="none"/>
          <w:lang w:val="en-US" w:eastAsia="zh-CN"/>
        </w:rPr>
        <w:t>宜设置备用照明</w:t>
      </w:r>
      <w:r>
        <w:rPr>
          <w:rFonts w:hint="eastAsia"/>
          <w:color w:val="auto"/>
          <w:highlight w:val="none"/>
          <w:lang w:val="en-US" w:eastAsia="zh"/>
          <w:woUserID w:val="3"/>
        </w:rPr>
        <w:t>。备用照明的照度不应低于正常照明照度的10%</w:t>
      </w:r>
      <w:r>
        <w:rPr>
          <w:rFonts w:hint="eastAsia"/>
          <w:color w:val="auto"/>
          <w:highlight w:val="none"/>
          <w:lang w:val="en-US" w:eastAsia="zh-CN"/>
        </w:rPr>
        <w:t>；</w:t>
      </w:r>
    </w:p>
    <w:p w14:paraId="72018A70">
      <w:pPr>
        <w:numPr>
          <w:ilvl w:val="0"/>
          <w:numId w:val="0"/>
        </w:numPr>
        <w:tabs>
          <w:tab w:val="left" w:pos="0"/>
        </w:tabs>
        <w:bidi w:val="0"/>
        <w:ind w:left="-9" w:leftChars="0" w:firstLine="430" w:firstLineChars="204"/>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 xml:space="preserve"> 阳台、各楼栋人行出入口雨棚处、室外活动场所、室外道路等处应设置照明装置；</w:t>
      </w:r>
    </w:p>
    <w:p w14:paraId="7E678DF0">
      <w:pPr>
        <w:numPr>
          <w:ilvl w:val="0"/>
          <w:numId w:val="0"/>
        </w:numPr>
        <w:tabs>
          <w:tab w:val="left" w:pos="0"/>
        </w:tabs>
        <w:bidi w:val="0"/>
        <w:ind w:left="-9" w:leftChars="0" w:firstLine="430" w:firstLineChars="204"/>
        <w:rPr>
          <w:rFonts w:hint="default"/>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老年人</w:t>
      </w:r>
      <w:r>
        <w:rPr>
          <w:rFonts w:hint="default"/>
          <w:color w:val="auto"/>
          <w:highlight w:val="none"/>
          <w:lang w:val="en-US" w:eastAsia="zh-CN"/>
        </w:rPr>
        <w:t>居住用房</w:t>
      </w:r>
      <w:r>
        <w:rPr>
          <w:rFonts w:hint="eastAsia"/>
          <w:color w:val="auto"/>
          <w:highlight w:val="none"/>
          <w:lang w:val="en-US" w:eastAsia="zh-CN"/>
        </w:rPr>
        <w:t>、观察室等房间</w:t>
      </w:r>
      <w:r>
        <w:rPr>
          <w:rFonts w:hint="default"/>
          <w:color w:val="auto"/>
          <w:highlight w:val="none"/>
          <w:lang w:val="en-US" w:eastAsia="zh-CN"/>
        </w:rPr>
        <w:t>至</w:t>
      </w:r>
      <w:r>
        <w:rPr>
          <w:rFonts w:hint="eastAsia"/>
          <w:color w:val="auto"/>
          <w:highlight w:val="none"/>
          <w:lang w:val="en-US" w:eastAsia="zh-CN"/>
        </w:rPr>
        <w:t>其配套</w:t>
      </w:r>
      <w:r>
        <w:rPr>
          <w:rFonts w:hint="default"/>
          <w:color w:val="auto"/>
          <w:highlight w:val="none"/>
          <w:lang w:val="en-US" w:eastAsia="zh-CN"/>
        </w:rPr>
        <w:t>卫生间的走道墙面宜</w:t>
      </w:r>
      <w:r>
        <w:rPr>
          <w:rFonts w:hint="eastAsia"/>
          <w:color w:val="auto"/>
          <w:highlight w:val="none"/>
          <w:lang w:val="en-US" w:eastAsia="zh"/>
          <w:woUserID w:val="3"/>
        </w:rPr>
        <w:t>装设</w:t>
      </w:r>
      <w:r>
        <w:rPr>
          <w:rFonts w:hint="default"/>
          <w:color w:val="auto"/>
          <w:highlight w:val="none"/>
          <w:lang w:val="en-US" w:eastAsia="zh-CN"/>
        </w:rPr>
        <w:t>嵌</w:t>
      </w:r>
      <w:r>
        <w:rPr>
          <w:rFonts w:hint="eastAsia"/>
          <w:color w:val="auto"/>
          <w:highlight w:val="none"/>
          <w:lang w:val="en-US" w:eastAsia="zh-CN"/>
        </w:rPr>
        <w:t>入</w:t>
      </w:r>
      <w:r>
        <w:rPr>
          <w:rFonts w:hint="eastAsia"/>
          <w:color w:val="auto"/>
          <w:highlight w:val="none"/>
          <w:lang w:val="en-US" w:eastAsia="zh"/>
          <w:woUserID w:val="3"/>
        </w:rPr>
        <w:t>式</w:t>
      </w:r>
      <w:r>
        <w:rPr>
          <w:rFonts w:hint="eastAsia"/>
          <w:color w:val="auto"/>
          <w:highlight w:val="none"/>
          <w:lang w:val="en-US" w:eastAsia="zh-CN"/>
        </w:rPr>
        <w:t>地</w:t>
      </w:r>
      <w:r>
        <w:rPr>
          <w:rFonts w:hint="default"/>
          <w:color w:val="auto"/>
          <w:highlight w:val="none"/>
          <w:lang w:val="en-US" w:eastAsia="zh-CN"/>
        </w:rPr>
        <w:t>脚</w:t>
      </w:r>
      <w:r>
        <w:rPr>
          <w:rFonts w:hint="eastAsia"/>
          <w:color w:val="auto"/>
          <w:highlight w:val="none"/>
          <w:lang w:val="en-US" w:eastAsia="zh"/>
          <w:woUserID w:val="3"/>
        </w:rPr>
        <w:t>夜</w:t>
      </w:r>
      <w:r>
        <w:rPr>
          <w:rFonts w:hint="default"/>
          <w:color w:val="auto"/>
          <w:highlight w:val="none"/>
          <w:lang w:val="en-US" w:eastAsia="zh-CN"/>
        </w:rPr>
        <w:t>灯</w:t>
      </w:r>
      <w:r>
        <w:rPr>
          <w:rFonts w:hint="eastAsia"/>
          <w:color w:val="auto"/>
          <w:highlight w:val="none"/>
          <w:lang w:val="en-US" w:eastAsia="zh"/>
          <w:woUserID w:val="3"/>
        </w:rPr>
        <w:t>，地脚灯宜采用感应控制</w:t>
      </w:r>
      <w:r>
        <w:rPr>
          <w:rFonts w:hint="eastAsia"/>
          <w:color w:val="auto"/>
          <w:highlight w:val="none"/>
          <w:lang w:val="en-US" w:eastAsia="zh-CN"/>
        </w:rPr>
        <w:t>；</w:t>
      </w:r>
    </w:p>
    <w:p w14:paraId="6BE5CFB0">
      <w:pPr>
        <w:numPr>
          <w:ilvl w:val="0"/>
          <w:numId w:val="0"/>
        </w:numPr>
        <w:tabs>
          <w:tab w:val="left" w:pos="0"/>
        </w:tabs>
        <w:bidi w:val="0"/>
        <w:ind w:left="-9" w:leftChars="0" w:firstLine="430" w:firstLineChars="204"/>
        <w:outlineLvl w:val="0"/>
        <w:rPr>
          <w:rFonts w:hint="default"/>
          <w:color w:val="auto"/>
          <w:highlight w:val="none"/>
          <w:lang w:val="en-US" w:eastAsia="zh-CN"/>
        </w:rPr>
      </w:pPr>
      <w:bookmarkStart w:id="120" w:name="_Toc1085"/>
      <w:bookmarkStart w:id="121" w:name="_Toc28816"/>
      <w:bookmarkStart w:id="122" w:name="_Toc13096"/>
      <w:r>
        <w:rPr>
          <w:rFonts w:hint="eastAsia"/>
          <w:b/>
          <w:bCs/>
          <w:color w:val="auto"/>
          <w:highlight w:val="none"/>
          <w:lang w:val="en-US" w:eastAsia="zh-CN"/>
        </w:rPr>
        <w:t>4</w:t>
      </w:r>
      <w:r>
        <w:rPr>
          <w:rFonts w:hint="eastAsia"/>
          <w:color w:val="auto"/>
          <w:highlight w:val="none"/>
          <w:lang w:val="en-US" w:eastAsia="zh-CN"/>
        </w:rPr>
        <w:t xml:space="preserve"> </w:t>
      </w:r>
      <w:r>
        <w:rPr>
          <w:rFonts w:hint="eastAsia"/>
          <w:color w:val="auto"/>
          <w:highlight w:val="none"/>
          <w:lang w:val="en-US" w:eastAsia="zh-CN"/>
          <w:woUserID w:val="3"/>
        </w:rPr>
        <w:t>老年人</w:t>
      </w:r>
      <w:r>
        <w:rPr>
          <w:rFonts w:hint="default"/>
          <w:color w:val="auto"/>
          <w:highlight w:val="none"/>
          <w:lang w:val="en-US" w:eastAsia="zh-CN"/>
          <w:woUserID w:val="3"/>
        </w:rPr>
        <w:t>居住用房</w:t>
      </w:r>
      <w:r>
        <w:rPr>
          <w:rFonts w:hint="eastAsia"/>
          <w:color w:val="auto"/>
          <w:highlight w:val="none"/>
          <w:lang w:val="en-US" w:eastAsia="zh"/>
          <w:woUserID w:val="3"/>
        </w:rPr>
        <w:t>的卧室顶灯和长过道</w:t>
      </w:r>
      <w:r>
        <w:rPr>
          <w:rFonts w:hint="default"/>
          <w:color w:val="auto"/>
          <w:highlight w:val="none"/>
          <w:lang w:val="en-US" w:eastAsia="zh-CN"/>
        </w:rPr>
        <w:t>照明</w:t>
      </w:r>
      <w:r>
        <w:rPr>
          <w:rFonts w:hint="eastAsia"/>
          <w:color w:val="auto"/>
          <w:highlight w:val="none"/>
          <w:lang w:val="en-US" w:eastAsia="zh"/>
          <w:woUserID w:val="3"/>
        </w:rPr>
        <w:t>灯具</w:t>
      </w:r>
      <w:r>
        <w:rPr>
          <w:rFonts w:hint="default"/>
          <w:color w:val="auto"/>
          <w:highlight w:val="none"/>
          <w:lang w:val="en-US" w:eastAsia="zh-CN"/>
        </w:rPr>
        <w:t>宜</w:t>
      </w:r>
      <w:r>
        <w:rPr>
          <w:rFonts w:hint="eastAsia"/>
          <w:color w:val="auto"/>
          <w:highlight w:val="none"/>
          <w:lang w:val="en-US" w:eastAsia="zh-CN"/>
        </w:rPr>
        <w:t>采</w:t>
      </w:r>
      <w:r>
        <w:rPr>
          <w:rFonts w:hint="default"/>
          <w:color w:val="auto"/>
          <w:highlight w:val="none"/>
          <w:lang w:val="en-US" w:eastAsia="zh-CN"/>
        </w:rPr>
        <w:t>用</w:t>
      </w:r>
      <w:r>
        <w:rPr>
          <w:rFonts w:hint="eastAsia"/>
          <w:color w:val="auto"/>
          <w:highlight w:val="none"/>
          <w:lang w:val="en-US" w:eastAsia="zh"/>
          <w:woUserID w:val="3"/>
        </w:rPr>
        <w:t>具有</w:t>
      </w:r>
      <w:r>
        <w:rPr>
          <w:rFonts w:hint="eastAsia"/>
          <w:color w:val="auto"/>
          <w:highlight w:val="none"/>
          <w:lang w:val="en-US" w:eastAsia="zh-CN"/>
        </w:rPr>
        <w:t>双控功能的</w:t>
      </w:r>
      <w:r>
        <w:rPr>
          <w:rFonts w:hint="default"/>
          <w:color w:val="auto"/>
          <w:highlight w:val="none"/>
          <w:lang w:val="en-US" w:eastAsia="zh-CN"/>
        </w:rPr>
        <w:t>开关</w:t>
      </w:r>
      <w:r>
        <w:rPr>
          <w:rFonts w:hint="eastAsia"/>
          <w:color w:val="auto"/>
          <w:highlight w:val="none"/>
          <w:lang w:val="en-US" w:eastAsia="zh"/>
          <w:woUserID w:val="3"/>
        </w:rPr>
        <w:t>实现两地</w:t>
      </w:r>
      <w:r>
        <w:rPr>
          <w:rFonts w:hint="eastAsia"/>
          <w:color w:val="auto"/>
          <w:highlight w:val="none"/>
          <w:lang w:val="en-US" w:eastAsia="zh-CN"/>
        </w:rPr>
        <w:t>控制。</w:t>
      </w:r>
      <w:bookmarkEnd w:id="120"/>
      <w:bookmarkEnd w:id="121"/>
      <w:bookmarkEnd w:id="122"/>
    </w:p>
    <w:p w14:paraId="280F5048">
      <w:pPr>
        <w:keepNext w:val="0"/>
        <w:keepLines w:val="0"/>
        <w:widowControl w:val="0"/>
        <w:numPr>
          <w:ilvl w:val="0"/>
          <w:numId w:val="0"/>
        </w:numPr>
        <w:suppressLineNumbers w:val="0"/>
        <w:tabs>
          <w:tab w:val="left" w:pos="0"/>
        </w:tabs>
        <w:bidi w:val="0"/>
        <w:spacing w:before="0" w:beforeAutospacing="0" w:after="0" w:afterAutospacing="0"/>
        <w:ind w:left="0" w:leftChars="0" w:right="0"/>
        <w:jc w:val="both"/>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7.3.7</w:t>
      </w:r>
      <w:r>
        <w:rPr>
          <w:rFonts w:hint="eastAsia"/>
          <w:color w:val="auto"/>
          <w:highlight w:val="none"/>
          <w:lang w:val="en-US" w:eastAsia="zh-CN"/>
        </w:rPr>
        <w:t xml:space="preserve"> 老年人用房</w:t>
      </w:r>
      <w:r>
        <w:rPr>
          <w:rFonts w:hint="default"/>
          <w:color w:val="auto"/>
          <w:highlight w:val="none"/>
          <w:lang w:val="en-US" w:eastAsia="zh-CN"/>
        </w:rPr>
        <w:t>的照明控制开关</w:t>
      </w:r>
      <w:r>
        <w:rPr>
          <w:rFonts w:hint="eastAsia"/>
          <w:color w:val="auto"/>
          <w:highlight w:val="none"/>
          <w:lang w:val="en-US" w:eastAsia="zh"/>
          <w:woUserID w:val="3"/>
        </w:rPr>
        <w:t>应</w:t>
      </w:r>
      <w:r>
        <w:rPr>
          <w:rFonts w:hint="default"/>
          <w:color w:val="auto"/>
          <w:highlight w:val="none"/>
          <w:lang w:val="en-US" w:eastAsia="zh-CN"/>
        </w:rPr>
        <w:t>选用宽</w:t>
      </w:r>
      <w:r>
        <w:rPr>
          <w:rFonts w:hint="eastAsia"/>
          <w:color w:val="auto"/>
          <w:highlight w:val="none"/>
          <w:lang w:val="en-US" w:eastAsia="zh-CN"/>
        </w:rPr>
        <w:t>面</w:t>
      </w:r>
      <w:r>
        <w:rPr>
          <w:rFonts w:hint="default"/>
          <w:color w:val="auto"/>
          <w:highlight w:val="none"/>
          <w:lang w:val="en-US" w:eastAsia="zh-CN"/>
        </w:rPr>
        <w:t>板</w:t>
      </w:r>
      <w:r>
        <w:rPr>
          <w:rFonts w:hint="eastAsia"/>
          <w:color w:val="auto"/>
          <w:highlight w:val="none"/>
          <w:lang w:val="en-US" w:eastAsia="zh-CN"/>
        </w:rPr>
        <w:t>带指示灯型</w:t>
      </w:r>
      <w:r>
        <w:rPr>
          <w:rFonts w:hint="default"/>
          <w:color w:val="auto"/>
          <w:highlight w:val="none"/>
          <w:lang w:val="en-US" w:eastAsia="zh-CN"/>
        </w:rPr>
        <w:t>，</w:t>
      </w:r>
      <w:r>
        <w:rPr>
          <w:rFonts w:hint="eastAsia" w:ascii="宋体" w:hAnsi="宋体" w:eastAsia="宋体" w:cs="宋体"/>
          <w:b w:val="0"/>
          <w:bCs/>
          <w:kern w:val="0"/>
          <w:sz w:val="24"/>
          <w:szCs w:val="24"/>
          <w:lang w:val="en-US" w:eastAsia="zh-CN" w:bidi="ar"/>
          <w:woUserID w:val="3"/>
        </w:rPr>
        <w:t>安装位置应醒目</w:t>
      </w:r>
      <w:r>
        <w:rPr>
          <w:rFonts w:hint="eastAsia" w:ascii="宋体" w:hAnsi="宋体" w:eastAsia="宋体" w:cs="宋体"/>
          <w:b w:val="0"/>
          <w:bCs/>
          <w:kern w:val="0"/>
          <w:sz w:val="24"/>
          <w:szCs w:val="24"/>
          <w:lang w:val="en-US" w:eastAsia="zh" w:bidi="ar"/>
          <w:woUserID w:val="3"/>
        </w:rPr>
        <w:t>、</w:t>
      </w:r>
      <w:r>
        <w:rPr>
          <w:rFonts w:hint="eastAsia" w:ascii="宋体" w:hAnsi="宋体" w:eastAsia="宋体" w:cs="宋体"/>
          <w:b w:val="0"/>
          <w:bCs/>
          <w:kern w:val="0"/>
          <w:sz w:val="24"/>
          <w:szCs w:val="24"/>
          <w:lang w:val="en-US" w:eastAsia="zh-CN" w:bidi="ar"/>
          <w:woUserID w:val="3"/>
        </w:rPr>
        <w:t>颜色应与墙壁区分</w:t>
      </w:r>
      <w:r>
        <w:rPr>
          <w:rFonts w:hint="eastAsia" w:ascii="宋体" w:hAnsi="宋体" w:eastAsia="宋体" w:cs="宋体"/>
          <w:b w:val="0"/>
          <w:bCs/>
          <w:kern w:val="0"/>
          <w:sz w:val="24"/>
          <w:szCs w:val="24"/>
          <w:lang w:val="en-US" w:eastAsia="zh" w:bidi="ar"/>
          <w:woUserID w:val="3"/>
        </w:rPr>
        <w:t>，</w:t>
      </w:r>
      <w:r>
        <w:rPr>
          <w:rFonts w:hint="eastAsia"/>
          <w:color w:val="auto"/>
          <w:highlight w:val="none"/>
          <w:lang w:val="en-US" w:eastAsia="zh-CN"/>
        </w:rPr>
        <w:t>安装</w:t>
      </w:r>
      <w:r>
        <w:rPr>
          <w:rFonts w:hint="default"/>
          <w:color w:val="auto"/>
          <w:highlight w:val="none"/>
          <w:lang w:val="en-US" w:eastAsia="zh-CN"/>
        </w:rPr>
        <w:t>高度宜距地面1</w:t>
      </w:r>
      <w:r>
        <w:rPr>
          <w:rFonts w:hint="eastAsia"/>
          <w:color w:val="auto"/>
          <w:highlight w:val="none"/>
          <w:lang w:val="en-US" w:eastAsia="zh-CN"/>
        </w:rPr>
        <w:t>.</w:t>
      </w:r>
      <w:r>
        <w:rPr>
          <w:rFonts w:hint="default"/>
          <w:color w:val="auto"/>
          <w:highlight w:val="none"/>
          <w:lang w:val="en-US" w:eastAsia="zh-CN"/>
        </w:rPr>
        <w:t>10m。</w:t>
      </w:r>
    </w:p>
    <w:p w14:paraId="72786A80">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7.3.8</w:t>
      </w:r>
      <w:r>
        <w:rPr>
          <w:rFonts w:hint="eastAsia"/>
          <w:color w:val="auto"/>
          <w:highlight w:val="none"/>
          <w:lang w:val="en-US" w:eastAsia="zh-CN"/>
        </w:rPr>
        <w:t xml:space="preserve"> 老年人用房</w:t>
      </w:r>
      <w:r>
        <w:rPr>
          <w:rFonts w:hint="default"/>
          <w:color w:val="auto"/>
          <w:highlight w:val="none"/>
          <w:lang w:val="en-US" w:eastAsia="zh-CN"/>
        </w:rPr>
        <w:t>的电源插座应采用安全型</w:t>
      </w:r>
      <w:r>
        <w:rPr>
          <w:rFonts w:hint="eastAsia"/>
          <w:color w:val="auto"/>
          <w:highlight w:val="none"/>
          <w:lang w:val="en-US" w:eastAsia="zh-CN"/>
        </w:rPr>
        <w:t>,安装高度：</w:t>
      </w:r>
      <w:r>
        <w:rPr>
          <w:rFonts w:hint="default"/>
          <w:color w:val="auto"/>
          <w:highlight w:val="none"/>
          <w:lang w:val="en-US" w:eastAsia="zh-CN"/>
        </w:rPr>
        <w:t>居住用房宜距地为0</w:t>
      </w:r>
      <w:r>
        <w:rPr>
          <w:rFonts w:hint="eastAsia"/>
          <w:color w:val="auto"/>
          <w:highlight w:val="none"/>
          <w:lang w:val="en-US" w:eastAsia="zh-CN"/>
        </w:rPr>
        <w:t>.</w:t>
      </w:r>
      <w:r>
        <w:rPr>
          <w:rFonts w:hint="default"/>
          <w:color w:val="auto"/>
          <w:highlight w:val="none"/>
          <w:lang w:val="en-US" w:eastAsia="zh-CN"/>
        </w:rPr>
        <w:t>60m～0</w:t>
      </w:r>
      <w:r>
        <w:rPr>
          <w:rFonts w:hint="eastAsia"/>
          <w:color w:val="auto"/>
          <w:highlight w:val="none"/>
          <w:lang w:val="en-US" w:eastAsia="zh-CN"/>
        </w:rPr>
        <w:t>.</w:t>
      </w:r>
      <w:r>
        <w:rPr>
          <w:rFonts w:hint="default"/>
          <w:color w:val="auto"/>
          <w:highlight w:val="none"/>
          <w:lang w:val="en-US" w:eastAsia="zh-CN"/>
        </w:rPr>
        <w:t>80m</w:t>
      </w:r>
      <w:r>
        <w:rPr>
          <w:rFonts w:hint="eastAsia"/>
          <w:color w:val="auto"/>
          <w:highlight w:val="none"/>
          <w:lang w:val="en-US" w:eastAsia="zh-CN"/>
        </w:rPr>
        <w:t>,</w:t>
      </w:r>
      <w:r>
        <w:rPr>
          <w:rFonts w:hint="default"/>
          <w:color w:val="auto"/>
          <w:highlight w:val="none"/>
          <w:lang w:val="en-US" w:eastAsia="zh-CN"/>
        </w:rPr>
        <w:t>厨房操作台宜距地为</w:t>
      </w:r>
      <w:r>
        <w:rPr>
          <w:rFonts w:hint="eastAsia"/>
          <w:color w:val="auto"/>
          <w:highlight w:val="none"/>
          <w:lang w:val="en-US" w:eastAsia="zh-CN"/>
        </w:rPr>
        <w:t>0.</w:t>
      </w:r>
      <w:r>
        <w:rPr>
          <w:rFonts w:hint="default"/>
          <w:color w:val="auto"/>
          <w:highlight w:val="none"/>
          <w:lang w:val="en-US" w:eastAsia="zh-CN"/>
        </w:rPr>
        <w:t>90m～1</w:t>
      </w:r>
      <w:r>
        <w:rPr>
          <w:rFonts w:hint="eastAsia"/>
          <w:color w:val="auto"/>
          <w:highlight w:val="none"/>
          <w:lang w:val="en-US" w:eastAsia="zh-CN"/>
        </w:rPr>
        <w:t>.</w:t>
      </w:r>
      <w:r>
        <w:rPr>
          <w:rFonts w:hint="default"/>
          <w:color w:val="auto"/>
          <w:highlight w:val="none"/>
          <w:lang w:val="en-US" w:eastAsia="zh-CN"/>
        </w:rPr>
        <w:t>10m。</w:t>
      </w:r>
    </w:p>
    <w:p w14:paraId="268DABDE">
      <w:pPr>
        <w:numPr>
          <w:ilvl w:val="0"/>
          <w:numId w:val="0"/>
        </w:numPr>
        <w:tabs>
          <w:tab w:val="left" w:pos="0"/>
        </w:tabs>
        <w:bidi w:val="0"/>
        <w:ind w:left="-9" w:leftChars="0"/>
        <w:rPr>
          <w:rFonts w:hint="default"/>
          <w:color w:val="auto"/>
          <w:highlight w:val="none"/>
          <w:lang w:val="en-US" w:eastAsia="zh-CN"/>
        </w:rPr>
      </w:pPr>
      <w:r>
        <w:rPr>
          <w:rFonts w:hint="eastAsia" w:ascii="Times New Roman" w:hAnsi="Times New Roman" w:cs="Times New Roman"/>
          <w:b/>
          <w:bCs/>
          <w:color w:val="auto"/>
          <w:sz w:val="20"/>
          <w:szCs w:val="20"/>
          <w:highlight w:val="none"/>
          <w:lang w:val="en-US" w:eastAsia="zh-CN"/>
        </w:rPr>
        <w:t>7.3.9</w:t>
      </w:r>
      <w:r>
        <w:rPr>
          <w:rFonts w:hint="eastAsia"/>
          <w:color w:val="auto"/>
          <w:highlight w:val="none"/>
          <w:lang w:val="en-US" w:eastAsia="zh-CN"/>
        </w:rPr>
        <w:t xml:space="preserve"> 医疗用房的电气设计参照《医疗建筑电气设计规范》JGJ312执行</w:t>
      </w:r>
      <w:r>
        <w:rPr>
          <w:rFonts w:hint="default"/>
          <w:color w:val="auto"/>
          <w:highlight w:val="none"/>
          <w:lang w:val="en-US" w:eastAsia="zh-CN"/>
        </w:rPr>
        <w:t>。</w:t>
      </w:r>
    </w:p>
    <w:p w14:paraId="2E8DC0F0">
      <w:pPr>
        <w:numPr>
          <w:ilvl w:val="0"/>
          <w:numId w:val="0"/>
        </w:numPr>
        <w:tabs>
          <w:tab w:val="left" w:pos="0"/>
        </w:tabs>
        <w:bidi w:val="0"/>
        <w:ind w:left="-9" w:leftChars="0"/>
        <w:rPr>
          <w:rFonts w:hint="eastAsia"/>
          <w:color w:val="auto"/>
          <w:kern w:val="0"/>
          <w:highlight w:val="none"/>
          <w:lang w:val="en-US" w:eastAsia="zh-CN"/>
        </w:rPr>
      </w:pPr>
      <w:r>
        <w:rPr>
          <w:rFonts w:hint="eastAsia" w:ascii="Times New Roman" w:hAnsi="Times New Roman" w:cs="Times New Roman"/>
          <w:b/>
          <w:bCs/>
          <w:color w:val="auto"/>
          <w:sz w:val="20"/>
          <w:szCs w:val="20"/>
          <w:highlight w:val="none"/>
          <w:lang w:val="en-US" w:eastAsia="zh-CN"/>
        </w:rPr>
        <w:t>7.3.10</w:t>
      </w:r>
      <w:r>
        <w:rPr>
          <w:rFonts w:hint="eastAsia"/>
          <w:color w:val="auto"/>
          <w:highlight w:val="none"/>
          <w:lang w:val="en-US" w:eastAsia="zh-CN"/>
        </w:rPr>
        <w:t xml:space="preserve"> </w:t>
      </w:r>
      <w:r>
        <w:rPr>
          <w:rFonts w:hint="eastAsia"/>
          <w:color w:val="auto"/>
          <w:highlight w:val="none"/>
          <w:lang w:val="en-US" w:eastAsia="zh"/>
          <w:woUserID w:val="3"/>
        </w:rPr>
        <w:t>老年人照料设施建筑</w:t>
      </w:r>
      <w:r>
        <w:rPr>
          <w:rFonts w:hint="eastAsia"/>
          <w:color w:val="auto"/>
          <w:highlight w:val="none"/>
          <w:lang w:val="en-US" w:eastAsia="zh-CN"/>
        </w:rPr>
        <w:t>应设置电气火灾监控系统和火灾自动报警系统。</w:t>
      </w:r>
    </w:p>
    <w:p w14:paraId="5C61C6D3">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23" w:name="_Toc15783"/>
      <w:bookmarkStart w:id="124" w:name="_Toc2889"/>
      <w:bookmarkStart w:id="125" w:name="_Toc15517"/>
      <w:r>
        <w:rPr>
          <w:rStyle w:val="19"/>
          <w:rFonts w:hint="eastAsia" w:ascii="黑体" w:hAnsi="黑体" w:eastAsia="黑体" w:cs="黑体"/>
          <w:color w:val="auto"/>
          <w:sz w:val="28"/>
          <w:szCs w:val="40"/>
          <w:highlight w:val="none"/>
          <w:lang w:val="en-US" w:eastAsia="zh-CN"/>
        </w:rPr>
        <w:t>7.4 建筑智能化</w:t>
      </w:r>
      <w:bookmarkEnd w:id="123"/>
      <w:bookmarkEnd w:id="124"/>
    </w:p>
    <w:bookmarkEnd w:id="125"/>
    <w:p w14:paraId="72F1B69E">
      <w:pPr>
        <w:tabs>
          <w:tab w:val="left" w:pos="0"/>
        </w:tabs>
        <w:ind w:left="-9"/>
        <w:rPr>
          <w:color w:val="auto"/>
          <w:highlight w:val="none"/>
        </w:rPr>
      </w:pPr>
      <w:r>
        <w:rPr>
          <w:rFonts w:hint="eastAsia" w:ascii="Times New Roman" w:hAnsi="Times New Roman" w:cs="Times New Roman"/>
          <w:b/>
          <w:bCs/>
          <w:color w:val="auto"/>
          <w:sz w:val="20"/>
          <w:szCs w:val="20"/>
          <w:highlight w:val="none"/>
        </w:rPr>
        <w:t xml:space="preserve">7.4.1 </w:t>
      </w:r>
      <w:r>
        <w:rPr>
          <w:rFonts w:hint="eastAsia"/>
          <w:color w:val="auto"/>
          <w:highlight w:val="none"/>
        </w:rPr>
        <w:t>智能化系统应根据管理和发展需要，设置公共安全、信息设施、护理呼应信号、医用探视等系统，并宜设置照护及健康信息管理系统，对照护人群的健康数据进行采集、分析和管理。</w:t>
      </w:r>
    </w:p>
    <w:p w14:paraId="1DC40565">
      <w:pPr>
        <w:tabs>
          <w:tab w:val="left" w:pos="0"/>
        </w:tabs>
        <w:ind w:left="-9"/>
        <w:rPr>
          <w:color w:val="auto"/>
          <w:highlight w:val="none"/>
        </w:rPr>
      </w:pPr>
      <w:r>
        <w:rPr>
          <w:rFonts w:hint="eastAsia" w:ascii="Times New Roman" w:hAnsi="Times New Roman" w:cs="Times New Roman"/>
          <w:b/>
          <w:bCs/>
          <w:color w:val="auto"/>
          <w:sz w:val="20"/>
          <w:szCs w:val="20"/>
          <w:highlight w:val="none"/>
        </w:rPr>
        <w:t xml:space="preserve">7.4.2 </w:t>
      </w:r>
      <w:r>
        <w:rPr>
          <w:rFonts w:hint="eastAsia"/>
          <w:color w:val="auto"/>
          <w:highlight w:val="none"/>
        </w:rPr>
        <w:t>应设置公共广播</w:t>
      </w:r>
      <w:r>
        <w:rPr>
          <w:rFonts w:hint="eastAsia"/>
          <w:color w:val="auto"/>
          <w:highlight w:val="none"/>
          <w:lang w:eastAsia="zh"/>
          <w:woUserID w:val="10"/>
        </w:rPr>
        <w:t>兼紧急广播</w:t>
      </w:r>
      <w:r>
        <w:rPr>
          <w:rFonts w:hint="eastAsia"/>
          <w:color w:val="auto"/>
          <w:highlight w:val="none"/>
        </w:rPr>
        <w:t>系统,宜在各老年人用房内设置扬声器</w:t>
      </w:r>
      <w:r>
        <w:rPr>
          <w:rFonts w:hint="default" w:ascii="宋体" w:hAnsi="宋体" w:eastAsia="宋体" w:cs="宋体"/>
          <w:b w:val="0"/>
          <w:bCs/>
          <w:kern w:val="0"/>
          <w:sz w:val="24"/>
          <w:szCs w:val="24"/>
          <w:lang w:val="en-US" w:eastAsia="zh-CN" w:bidi="ar"/>
          <w:woUserID w:val="10"/>
        </w:rPr>
        <w:t>及音量</w:t>
      </w:r>
      <w:r>
        <w:rPr>
          <w:rFonts w:hint="eastAsia" w:ascii="宋体" w:hAnsi="宋体" w:eastAsia="宋体" w:cs="宋体"/>
          <w:b w:val="0"/>
          <w:bCs/>
          <w:kern w:val="0"/>
          <w:sz w:val="24"/>
          <w:szCs w:val="24"/>
          <w:lang w:val="en-US" w:eastAsia="zh" w:bidi="ar"/>
          <w:woUserID w:val="10"/>
        </w:rPr>
        <w:t>调节器</w:t>
      </w:r>
      <w:r>
        <w:rPr>
          <w:rFonts w:hint="eastAsia"/>
          <w:color w:val="auto"/>
          <w:highlight w:val="none"/>
        </w:rPr>
        <w:t>。</w:t>
      </w:r>
    </w:p>
    <w:p w14:paraId="06CEA79D">
      <w:pPr>
        <w:tabs>
          <w:tab w:val="left" w:pos="0"/>
        </w:tabs>
        <w:ind w:left="-9"/>
        <w:rPr>
          <w:color w:val="auto"/>
          <w:highlight w:val="none"/>
        </w:rPr>
      </w:pPr>
      <w:r>
        <w:rPr>
          <w:rFonts w:hint="eastAsia" w:ascii="Times New Roman" w:hAnsi="Times New Roman" w:cs="Times New Roman"/>
          <w:b/>
          <w:bCs/>
          <w:color w:val="auto"/>
          <w:sz w:val="20"/>
          <w:szCs w:val="20"/>
          <w:highlight w:val="none"/>
        </w:rPr>
        <w:t xml:space="preserve">7.4.3 </w:t>
      </w:r>
      <w:r>
        <w:rPr>
          <w:rFonts w:hint="eastAsia"/>
          <w:color w:val="auto"/>
          <w:highlight w:val="none"/>
        </w:rPr>
        <w:t>应设置视频监控系统，视频监控信号应接入值班室或监控中心，每个</w:t>
      </w:r>
      <w:r>
        <w:rPr>
          <w:rFonts w:hint="eastAsia"/>
          <w:color w:val="auto"/>
          <w:highlight w:val="none"/>
          <w:lang w:val="en-US" w:eastAsia="zh-CN"/>
        </w:rPr>
        <w:t>照料单元</w:t>
      </w:r>
      <w:r>
        <w:rPr>
          <w:rFonts w:hint="eastAsia"/>
          <w:color w:val="auto"/>
          <w:highlight w:val="none"/>
        </w:rPr>
        <w:t>内的监控信号宜能在该</w:t>
      </w:r>
      <w:r>
        <w:rPr>
          <w:rFonts w:hint="eastAsia"/>
          <w:color w:val="auto"/>
          <w:highlight w:val="none"/>
          <w:lang w:val="en-US" w:eastAsia="zh-CN"/>
        </w:rPr>
        <w:t>照料单元</w:t>
      </w:r>
      <w:r>
        <w:rPr>
          <w:rFonts w:hint="eastAsia"/>
          <w:color w:val="auto"/>
          <w:highlight w:val="none"/>
        </w:rPr>
        <w:t>的护理站显示。下列场所应设置摄像机，并应无监控盲区：</w:t>
      </w:r>
    </w:p>
    <w:p w14:paraId="440DB9E1">
      <w:pPr>
        <w:tabs>
          <w:tab w:val="left" w:pos="0"/>
        </w:tabs>
        <w:ind w:left="-9" w:firstLine="430" w:firstLineChars="204"/>
        <w:rPr>
          <w:color w:val="auto"/>
          <w:highlight w:val="none"/>
        </w:rPr>
      </w:pPr>
      <w:r>
        <w:rPr>
          <w:rFonts w:hint="eastAsia"/>
          <w:b/>
          <w:bCs/>
          <w:color w:val="auto"/>
          <w:highlight w:val="none"/>
        </w:rPr>
        <w:t xml:space="preserve">1 </w:t>
      </w:r>
      <w:r>
        <w:rPr>
          <w:rFonts w:hint="eastAsia"/>
          <w:color w:val="auto"/>
          <w:highlight w:val="none"/>
        </w:rPr>
        <w:t>场地出入口、道路、室外活动场所等处；</w:t>
      </w:r>
    </w:p>
    <w:p w14:paraId="7776954A">
      <w:pPr>
        <w:tabs>
          <w:tab w:val="left" w:pos="0"/>
        </w:tabs>
        <w:ind w:left="-9" w:firstLine="430" w:firstLineChars="204"/>
        <w:rPr>
          <w:color w:val="auto"/>
          <w:highlight w:val="none"/>
        </w:rPr>
      </w:pPr>
      <w:r>
        <w:rPr>
          <w:rFonts w:hint="eastAsia"/>
          <w:b/>
          <w:bCs/>
          <w:color w:val="auto"/>
          <w:highlight w:val="none"/>
        </w:rPr>
        <w:t>2</w:t>
      </w:r>
      <w:r>
        <w:rPr>
          <w:rFonts w:hint="eastAsia"/>
          <w:color w:val="auto"/>
          <w:highlight w:val="none"/>
        </w:rPr>
        <w:t xml:space="preserve"> 建筑的各出入口、单元门出入口，各养护单元的出入口；</w:t>
      </w:r>
    </w:p>
    <w:p w14:paraId="355B0DF6">
      <w:pPr>
        <w:tabs>
          <w:tab w:val="left" w:pos="0"/>
        </w:tabs>
        <w:ind w:left="-9" w:firstLine="430" w:firstLineChars="204"/>
        <w:rPr>
          <w:color w:val="auto"/>
          <w:highlight w:val="none"/>
        </w:rPr>
      </w:pPr>
      <w:r>
        <w:rPr>
          <w:rFonts w:hint="eastAsia"/>
          <w:b/>
          <w:bCs/>
          <w:color w:val="auto"/>
          <w:highlight w:val="none"/>
        </w:rPr>
        <w:t xml:space="preserve">3 </w:t>
      </w:r>
      <w:r>
        <w:rPr>
          <w:rFonts w:hint="eastAsia"/>
          <w:color w:val="auto"/>
          <w:highlight w:val="none"/>
        </w:rPr>
        <w:t>公共走廊、楼梯间、电梯厅、电梯轿厢内</w:t>
      </w:r>
      <w:r>
        <w:rPr>
          <w:rFonts w:hint="eastAsia"/>
          <w:color w:val="auto"/>
          <w:highlight w:val="none"/>
          <w:lang w:eastAsia="zh"/>
          <w:woUserID w:val="3"/>
        </w:rPr>
        <w:t>、楼梯间上屋面处</w:t>
      </w:r>
      <w:r>
        <w:rPr>
          <w:rFonts w:hint="eastAsia"/>
          <w:color w:val="auto"/>
          <w:highlight w:val="none"/>
        </w:rPr>
        <w:t>；</w:t>
      </w:r>
    </w:p>
    <w:p w14:paraId="040EE531">
      <w:pPr>
        <w:tabs>
          <w:tab w:val="left" w:pos="0"/>
        </w:tabs>
        <w:ind w:left="-9" w:firstLine="430" w:firstLineChars="204"/>
        <w:rPr>
          <w:color w:val="auto"/>
          <w:highlight w:val="none"/>
        </w:rPr>
      </w:pPr>
      <w:r>
        <w:rPr>
          <w:rFonts w:hint="eastAsia"/>
          <w:b/>
          <w:bCs/>
          <w:color w:val="auto"/>
          <w:highlight w:val="none"/>
        </w:rPr>
        <w:t>4</w:t>
      </w:r>
      <w:r>
        <w:rPr>
          <w:rFonts w:hint="eastAsia"/>
          <w:color w:val="auto"/>
          <w:highlight w:val="none"/>
        </w:rPr>
        <w:t xml:space="preserve"> 厨房及餐厅；</w:t>
      </w:r>
    </w:p>
    <w:p w14:paraId="36CA1B3B">
      <w:pPr>
        <w:tabs>
          <w:tab w:val="left" w:pos="0"/>
        </w:tabs>
        <w:ind w:left="-9" w:firstLine="430" w:firstLineChars="204"/>
        <w:rPr>
          <w:color w:val="auto"/>
          <w:highlight w:val="none"/>
        </w:rPr>
      </w:pPr>
      <w:r>
        <w:rPr>
          <w:rFonts w:hint="eastAsia"/>
          <w:b/>
          <w:bCs/>
          <w:color w:val="auto"/>
          <w:highlight w:val="none"/>
        </w:rPr>
        <w:t>5</w:t>
      </w:r>
      <w:r>
        <w:rPr>
          <w:rFonts w:hint="eastAsia"/>
          <w:color w:val="auto"/>
          <w:highlight w:val="none"/>
        </w:rPr>
        <w:t xml:space="preserve"> 室内公共活动用房。</w:t>
      </w:r>
    </w:p>
    <w:p w14:paraId="14A2D9F0">
      <w:pPr>
        <w:tabs>
          <w:tab w:val="left" w:pos="0"/>
        </w:tabs>
        <w:ind w:left="-9"/>
        <w:rPr>
          <w:color w:val="auto"/>
          <w:highlight w:val="none"/>
        </w:rPr>
      </w:pPr>
      <w:r>
        <w:rPr>
          <w:rFonts w:hint="eastAsia" w:ascii="Times New Roman" w:hAnsi="Times New Roman" w:cs="Times New Roman"/>
          <w:b/>
          <w:bCs/>
          <w:color w:val="auto"/>
          <w:sz w:val="20"/>
          <w:szCs w:val="20"/>
          <w:highlight w:val="none"/>
        </w:rPr>
        <w:t xml:space="preserve">7.4.4 </w:t>
      </w:r>
      <w:r>
        <w:rPr>
          <w:rFonts w:hint="eastAsia"/>
          <w:color w:val="auto"/>
          <w:highlight w:val="none"/>
        </w:rPr>
        <w:t>呼叫装置的设置及选择应满足下列规定:</w:t>
      </w:r>
    </w:p>
    <w:p w14:paraId="0E0BD625">
      <w:pPr>
        <w:tabs>
          <w:tab w:val="left" w:pos="0"/>
        </w:tabs>
        <w:ind w:left="-9" w:firstLine="430" w:firstLineChars="204"/>
        <w:outlineLvl w:val="0"/>
        <w:rPr>
          <w:color w:val="auto"/>
          <w:highlight w:val="none"/>
        </w:rPr>
      </w:pPr>
      <w:bookmarkStart w:id="126" w:name="_Toc21447"/>
      <w:bookmarkStart w:id="127" w:name="_Toc32491"/>
      <w:bookmarkStart w:id="128" w:name="_Toc17734"/>
      <w:r>
        <w:rPr>
          <w:rFonts w:hint="eastAsia"/>
          <w:b/>
          <w:bCs/>
          <w:color w:val="auto"/>
          <w:highlight w:val="none"/>
        </w:rPr>
        <w:t>1</w:t>
      </w:r>
      <w:r>
        <w:rPr>
          <w:rFonts w:hint="eastAsia"/>
          <w:color w:val="auto"/>
          <w:highlight w:val="none"/>
        </w:rPr>
        <w:t xml:space="preserve"> 老年人用生的居室、浴室、卫生问等处应设置呼叫装置；</w:t>
      </w:r>
      <w:bookmarkEnd w:id="126"/>
      <w:bookmarkEnd w:id="127"/>
      <w:bookmarkEnd w:id="128"/>
    </w:p>
    <w:p w14:paraId="36FD43F9">
      <w:pPr>
        <w:tabs>
          <w:tab w:val="left" w:pos="0"/>
        </w:tabs>
        <w:ind w:left="-9" w:firstLine="430" w:firstLineChars="204"/>
        <w:rPr>
          <w:color w:val="auto"/>
          <w:highlight w:val="none"/>
        </w:rPr>
      </w:pPr>
      <w:r>
        <w:rPr>
          <w:rFonts w:hint="eastAsia"/>
          <w:b/>
          <w:bCs/>
          <w:color w:val="auto"/>
          <w:highlight w:val="none"/>
        </w:rPr>
        <w:t>2</w:t>
      </w:r>
      <w:r>
        <w:rPr>
          <w:rFonts w:hint="eastAsia"/>
          <w:color w:val="auto"/>
          <w:highlight w:val="none"/>
        </w:rPr>
        <w:t xml:space="preserve"> 床头呼叫装置安装高度宜为距地0.70m</w:t>
      </w:r>
      <w:r>
        <w:rPr>
          <w:rFonts w:ascii="Helvetica" w:hAnsi="Helvetica" w:eastAsia="Helvetica" w:cs="Helvetica"/>
          <w:color w:val="auto"/>
          <w:szCs w:val="21"/>
          <w:highlight w:val="none"/>
          <w:shd w:val="clear" w:color="auto" w:fill="FFFFFF"/>
        </w:rPr>
        <w:t>~</w:t>
      </w:r>
      <w:r>
        <w:rPr>
          <w:rFonts w:hint="eastAsia"/>
          <w:color w:val="auto"/>
          <w:highlight w:val="none"/>
        </w:rPr>
        <w:t>0.90m,其余地方呼叫装置安装高度距地0.50 m</w:t>
      </w:r>
      <w:r>
        <w:rPr>
          <w:rFonts w:ascii="Helvetica" w:hAnsi="Helvetica" w:eastAsia="Helvetica" w:cs="Helvetica"/>
          <w:color w:val="auto"/>
          <w:szCs w:val="21"/>
          <w:highlight w:val="none"/>
          <w:shd w:val="clear" w:color="auto" w:fill="FFFFFF"/>
        </w:rPr>
        <w:t>~</w:t>
      </w:r>
      <w:r>
        <w:rPr>
          <w:rFonts w:hint="eastAsia"/>
          <w:color w:val="auto"/>
          <w:highlight w:val="none"/>
        </w:rPr>
        <w:t xml:space="preserve"> 1. 00m；</w:t>
      </w:r>
    </w:p>
    <w:p w14:paraId="5914931C">
      <w:pPr>
        <w:tabs>
          <w:tab w:val="left" w:pos="0"/>
        </w:tabs>
        <w:ind w:left="-9" w:firstLine="430" w:firstLineChars="204"/>
        <w:rPr>
          <w:color w:val="auto"/>
          <w:highlight w:val="none"/>
        </w:rPr>
      </w:pPr>
      <w:r>
        <w:rPr>
          <w:rFonts w:hint="eastAsia"/>
          <w:b/>
          <w:bCs/>
          <w:color w:val="auto"/>
          <w:highlight w:val="none"/>
        </w:rPr>
        <w:t>3</w:t>
      </w:r>
      <w:r>
        <w:rPr>
          <w:rFonts w:hint="eastAsia"/>
          <w:color w:val="auto"/>
          <w:highlight w:val="none"/>
        </w:rPr>
        <w:t xml:space="preserve"> 应选用拉绳呼叫装置,拉线长度应不小于0.70m。呼叫装置宜同时具有按钮呼叫功能</w:t>
      </w:r>
      <w:r>
        <w:rPr>
          <w:rFonts w:hint="eastAsia"/>
          <w:color w:val="auto"/>
          <w:highlight w:val="none"/>
          <w:lang w:eastAsia="zh-CN"/>
        </w:rPr>
        <w:t>；</w:t>
      </w:r>
    </w:p>
    <w:p w14:paraId="334E795D">
      <w:pPr>
        <w:tabs>
          <w:tab w:val="left" w:pos="0"/>
        </w:tabs>
        <w:ind w:left="-9" w:firstLine="430" w:firstLineChars="204"/>
        <w:rPr>
          <w:rFonts w:hint="eastAsia" w:eastAsiaTheme="minorEastAsia"/>
          <w:color w:val="auto"/>
          <w:highlight w:val="none"/>
          <w:lang w:eastAsia="zh-CN"/>
        </w:rPr>
      </w:pPr>
      <w:r>
        <w:rPr>
          <w:rFonts w:hint="eastAsia"/>
          <w:b/>
          <w:bCs/>
          <w:color w:val="auto"/>
          <w:highlight w:val="none"/>
        </w:rPr>
        <w:t>4</w:t>
      </w:r>
      <w:r>
        <w:rPr>
          <w:rFonts w:hint="eastAsia"/>
          <w:color w:val="auto"/>
          <w:highlight w:val="none"/>
        </w:rPr>
        <w:t xml:space="preserve"> 有条件时可设置采用无线传输的可穿戴式求助系统</w:t>
      </w:r>
      <w:r>
        <w:rPr>
          <w:rFonts w:hint="eastAsia"/>
          <w:color w:val="auto"/>
          <w:highlight w:val="none"/>
          <w:lang w:eastAsia="zh-CN"/>
        </w:rPr>
        <w:t>；</w:t>
      </w:r>
    </w:p>
    <w:p w14:paraId="48A6D904">
      <w:pPr>
        <w:tabs>
          <w:tab w:val="left" w:pos="0"/>
        </w:tabs>
        <w:ind w:left="-9" w:firstLine="430" w:firstLineChars="204"/>
        <w:rPr>
          <w:rFonts w:hint="eastAsia"/>
          <w:color w:val="auto"/>
          <w:highlight w:val="none"/>
        </w:rPr>
      </w:pPr>
      <w:r>
        <w:rPr>
          <w:rFonts w:hint="eastAsia"/>
          <w:b/>
          <w:bCs/>
          <w:color w:val="auto"/>
          <w:highlight w:val="none"/>
        </w:rPr>
        <w:t>5</w:t>
      </w:r>
      <w:r>
        <w:rPr>
          <w:rFonts w:hint="eastAsia"/>
          <w:color w:val="auto"/>
          <w:highlight w:val="none"/>
        </w:rPr>
        <w:t xml:space="preserve"> 特殊照料人群（如失智老</w:t>
      </w:r>
      <w:r>
        <w:rPr>
          <w:rFonts w:hint="eastAsia"/>
          <w:color w:val="auto"/>
          <w:highlight w:val="none"/>
          <w:lang w:eastAsia="zh"/>
          <w:woUserID w:val="10"/>
        </w:rPr>
        <w:t>年</w:t>
      </w:r>
      <w:r>
        <w:rPr>
          <w:rFonts w:hint="eastAsia"/>
          <w:color w:val="auto"/>
          <w:highlight w:val="none"/>
        </w:rPr>
        <w:t>人）空间应设防走失装置。</w:t>
      </w:r>
    </w:p>
    <w:p w14:paraId="1C94091F">
      <w:pPr>
        <w:tabs>
          <w:tab w:val="left" w:pos="0"/>
        </w:tabs>
        <w:ind w:left="-9" w:firstLine="0" w:firstLineChars="0"/>
        <w:rPr>
          <w:rFonts w:hint="eastAsia"/>
          <w:color w:val="auto"/>
          <w:highlight w:val="none"/>
        </w:rPr>
      </w:pPr>
      <w:r>
        <w:rPr>
          <w:rFonts w:hint="eastAsia" w:ascii="Times New Roman" w:hAnsi="Times New Roman" w:cs="Times New Roman"/>
          <w:b/>
          <w:bCs/>
          <w:color w:val="auto"/>
          <w:sz w:val="20"/>
          <w:szCs w:val="20"/>
          <w:highlight w:val="none"/>
          <w:woUserID w:val="0"/>
        </w:rPr>
        <w:t xml:space="preserve">7.4.5 </w:t>
      </w:r>
      <w:r>
        <w:rPr>
          <w:rFonts w:hint="eastAsia" w:asciiTheme="minorHAnsi" w:hAnsiTheme="minorHAnsi" w:eastAsiaTheme="minorEastAsia" w:cstheme="minorBidi"/>
          <w:i w:val="0"/>
          <w:iCs w:val="0"/>
          <w:caps w:val="0"/>
          <w:color w:val="auto"/>
          <w:spacing w:val="0"/>
          <w:sz w:val="21"/>
          <w:szCs w:val="24"/>
          <w:highlight w:val="none"/>
          <w:shd w:val="clear" w:fill="auto"/>
          <w:woUserID w:val="0"/>
        </w:rPr>
        <w:t>失智老年人的照料单元宜设门禁系统。</w:t>
      </w:r>
    </w:p>
    <w:p w14:paraId="5AA96FC3">
      <w:pPr>
        <w:tabs>
          <w:tab w:val="left" w:pos="0"/>
        </w:tabs>
        <w:ind w:left="-9"/>
        <w:rPr>
          <w:color w:val="auto"/>
          <w:highlight w:val="none"/>
        </w:rPr>
      </w:pPr>
      <w:r>
        <w:rPr>
          <w:rFonts w:hint="eastAsia" w:ascii="Times New Roman" w:hAnsi="Times New Roman" w:cs="Times New Roman"/>
          <w:b/>
          <w:bCs/>
          <w:color w:val="auto"/>
          <w:sz w:val="20"/>
          <w:szCs w:val="20"/>
          <w:highlight w:val="none"/>
        </w:rPr>
        <w:t>7.4.</w:t>
      </w:r>
      <w:r>
        <w:rPr>
          <w:rFonts w:hint="eastAsia" w:ascii="Times New Roman" w:hAnsi="Times New Roman" w:cs="Times New Roman"/>
          <w:b/>
          <w:bCs/>
          <w:color w:val="auto"/>
          <w:sz w:val="20"/>
          <w:szCs w:val="20"/>
          <w:highlight w:val="none"/>
          <w:lang w:eastAsia="zh"/>
          <w:woUserID w:val="10"/>
        </w:rPr>
        <w:t>6</w:t>
      </w:r>
      <w:r>
        <w:rPr>
          <w:rFonts w:hint="eastAsia" w:ascii="Times New Roman" w:hAnsi="Times New Roman" w:cs="Times New Roman"/>
          <w:b/>
          <w:bCs/>
          <w:color w:val="auto"/>
          <w:sz w:val="20"/>
          <w:szCs w:val="20"/>
          <w:highlight w:val="none"/>
        </w:rPr>
        <w:t xml:space="preserve"> </w:t>
      </w:r>
      <w:r>
        <w:rPr>
          <w:rFonts w:hint="eastAsia"/>
          <w:color w:val="auto"/>
          <w:highlight w:val="none"/>
          <w:lang w:val="en-US" w:eastAsia="zh"/>
        </w:rPr>
        <w:t>老年人照料设施</w:t>
      </w:r>
      <w:r>
        <w:rPr>
          <w:rFonts w:hint="eastAsia"/>
          <w:color w:val="auto"/>
          <w:highlight w:val="none"/>
        </w:rPr>
        <w:t>的电梯轿厢内应设置与值班室通话的呼叫装置。</w:t>
      </w:r>
    </w:p>
    <w:p w14:paraId="58E8FBCB">
      <w:pPr>
        <w:tabs>
          <w:tab w:val="left" w:pos="0"/>
        </w:tabs>
        <w:ind w:left="-9"/>
        <w:rPr>
          <w:color w:val="auto"/>
          <w:highlight w:val="none"/>
        </w:rPr>
      </w:pPr>
      <w:r>
        <w:rPr>
          <w:rFonts w:hint="eastAsia" w:ascii="Times New Roman" w:hAnsi="Times New Roman" w:cs="Times New Roman"/>
          <w:b/>
          <w:bCs/>
          <w:color w:val="auto"/>
          <w:sz w:val="20"/>
          <w:szCs w:val="20"/>
          <w:highlight w:val="none"/>
        </w:rPr>
        <w:t>7.4.</w:t>
      </w:r>
      <w:r>
        <w:rPr>
          <w:rFonts w:hint="eastAsia" w:ascii="Times New Roman" w:hAnsi="Times New Roman" w:cs="Times New Roman"/>
          <w:b/>
          <w:bCs/>
          <w:color w:val="auto"/>
          <w:sz w:val="20"/>
          <w:szCs w:val="20"/>
          <w:highlight w:val="none"/>
          <w:lang w:eastAsia="zh"/>
          <w:woUserID w:val="10"/>
        </w:rPr>
        <w:t>7</w:t>
      </w:r>
      <w:r>
        <w:rPr>
          <w:rFonts w:hint="eastAsia" w:ascii="Times New Roman" w:hAnsi="Times New Roman" w:cs="Times New Roman"/>
          <w:b/>
          <w:bCs/>
          <w:color w:val="auto"/>
          <w:sz w:val="20"/>
          <w:szCs w:val="20"/>
          <w:highlight w:val="none"/>
        </w:rPr>
        <w:t xml:space="preserve"> </w:t>
      </w:r>
      <w:r>
        <w:rPr>
          <w:rFonts w:hint="eastAsia"/>
          <w:color w:val="auto"/>
          <w:highlight w:val="none"/>
          <w:lang w:val="en-US" w:eastAsia="zh"/>
        </w:rPr>
        <w:t>老年人照料设施</w:t>
      </w:r>
      <w:r>
        <w:rPr>
          <w:rFonts w:hint="eastAsia"/>
          <w:color w:val="auto"/>
          <w:highlight w:val="none"/>
        </w:rPr>
        <w:t>应设置网络、通信及视频传输等设备接口，</w:t>
      </w:r>
      <w:r>
        <w:rPr>
          <w:rFonts w:hint="eastAsia"/>
          <w:color w:val="auto"/>
          <w:highlight w:val="none"/>
          <w:lang w:eastAsia="zh"/>
          <w:woUserID w:val="1"/>
        </w:rPr>
        <w:t>宜</w:t>
      </w:r>
      <w:r>
        <w:rPr>
          <w:rFonts w:hint="eastAsia"/>
          <w:color w:val="auto"/>
          <w:highlight w:val="none"/>
        </w:rPr>
        <w:t>设无线局域网络覆盖设施、移动通信信号覆盖设施。在居住用房、疗养室、公共活动用房和公共餐厅等处应设置有线电视</w:t>
      </w:r>
      <w:r>
        <w:rPr>
          <w:rFonts w:hint="eastAsia"/>
          <w:color w:val="auto"/>
          <w:highlight w:val="none"/>
          <w:lang w:eastAsia="zh"/>
          <w:woUserID w:val="10"/>
        </w:rPr>
        <w:t>、</w:t>
      </w:r>
      <w:r>
        <w:rPr>
          <w:rFonts w:hint="eastAsia"/>
          <w:color w:val="auto"/>
          <w:highlight w:val="none"/>
        </w:rPr>
        <w:t>网络</w:t>
      </w:r>
      <w:r>
        <w:rPr>
          <w:rFonts w:hint="eastAsia"/>
          <w:color w:val="auto"/>
          <w:highlight w:val="none"/>
          <w:lang w:eastAsia="zh"/>
          <w:woUserID w:val="10"/>
        </w:rPr>
        <w:t>及通信</w:t>
      </w:r>
      <w:r>
        <w:rPr>
          <w:rFonts w:hint="eastAsia"/>
          <w:color w:val="auto"/>
          <w:highlight w:val="none"/>
        </w:rPr>
        <w:t>插座。</w:t>
      </w:r>
    </w:p>
    <w:p w14:paraId="1C210105">
      <w:pPr>
        <w:tabs>
          <w:tab w:val="left" w:pos="0"/>
        </w:tabs>
        <w:ind w:left="-9"/>
        <w:rPr>
          <w:color w:val="auto"/>
          <w:highlight w:val="none"/>
        </w:rPr>
      </w:pPr>
      <w:r>
        <w:rPr>
          <w:rFonts w:hint="eastAsia" w:ascii="Times New Roman" w:hAnsi="Times New Roman" w:cs="Times New Roman"/>
          <w:b/>
          <w:bCs/>
          <w:color w:val="auto"/>
          <w:sz w:val="20"/>
          <w:szCs w:val="20"/>
          <w:highlight w:val="none"/>
        </w:rPr>
        <w:t>7.4.</w:t>
      </w:r>
      <w:r>
        <w:rPr>
          <w:rFonts w:hint="eastAsia" w:ascii="Times New Roman" w:hAnsi="Times New Roman" w:cs="Times New Roman"/>
          <w:b/>
          <w:bCs/>
          <w:color w:val="auto"/>
          <w:sz w:val="20"/>
          <w:szCs w:val="20"/>
          <w:highlight w:val="none"/>
          <w:lang w:eastAsia="zh"/>
          <w:woUserID w:val="10"/>
        </w:rPr>
        <w:t>8</w:t>
      </w:r>
      <w:r>
        <w:rPr>
          <w:rFonts w:hint="eastAsia" w:ascii="Times New Roman" w:hAnsi="Times New Roman" w:cs="Times New Roman"/>
          <w:b/>
          <w:bCs/>
          <w:color w:val="auto"/>
          <w:sz w:val="20"/>
          <w:szCs w:val="20"/>
          <w:highlight w:val="none"/>
        </w:rPr>
        <w:t xml:space="preserve"> </w:t>
      </w:r>
      <w:r>
        <w:rPr>
          <w:rFonts w:hint="eastAsia"/>
          <w:color w:val="auto"/>
          <w:highlight w:val="none"/>
        </w:rPr>
        <w:t>宜设置信息显示系统、无线定位系统、跌倒检测报警系统、环境监测系统，环境监测系统应能对养老建筑所在地二氧化碳、负离子、环境噪声、空气悬浮物以及公共区域的温度、湿度等进行检测。跌倒检测报警系统宜与视屏监控系统实现联动。</w:t>
      </w:r>
    </w:p>
    <w:p w14:paraId="4000DDA0">
      <w:pPr>
        <w:tabs>
          <w:tab w:val="left" w:pos="0"/>
        </w:tabs>
        <w:ind w:left="-9"/>
        <w:outlineLvl w:val="1"/>
        <w:rPr>
          <w:color w:val="auto"/>
          <w:highlight w:val="none"/>
        </w:rPr>
      </w:pPr>
      <w:bookmarkStart w:id="129" w:name="_Toc5225"/>
      <w:bookmarkStart w:id="130" w:name="_Toc23077"/>
      <w:r>
        <w:rPr>
          <w:rFonts w:hint="eastAsia" w:ascii="Times New Roman" w:hAnsi="Times New Roman" w:cs="Times New Roman"/>
          <w:b/>
          <w:bCs/>
          <w:color w:val="auto"/>
          <w:sz w:val="20"/>
          <w:szCs w:val="20"/>
          <w:highlight w:val="none"/>
        </w:rPr>
        <w:t>7.4.</w:t>
      </w:r>
      <w:r>
        <w:rPr>
          <w:rFonts w:hint="eastAsia" w:ascii="Times New Roman" w:hAnsi="Times New Roman" w:cs="Times New Roman"/>
          <w:b/>
          <w:bCs/>
          <w:color w:val="auto"/>
          <w:sz w:val="20"/>
          <w:szCs w:val="20"/>
          <w:highlight w:val="none"/>
          <w:lang w:eastAsia="zh"/>
          <w:woUserID w:val="10"/>
        </w:rPr>
        <w:t>9</w:t>
      </w:r>
      <w:r>
        <w:rPr>
          <w:rFonts w:hint="eastAsia" w:ascii="Times New Roman" w:hAnsi="Times New Roman" w:cs="Times New Roman"/>
          <w:b/>
          <w:bCs/>
          <w:color w:val="auto"/>
          <w:sz w:val="20"/>
          <w:szCs w:val="20"/>
          <w:highlight w:val="none"/>
        </w:rPr>
        <w:t xml:space="preserve"> </w:t>
      </w:r>
      <w:r>
        <w:rPr>
          <w:rFonts w:hint="eastAsia" w:asciiTheme="minorHAnsi" w:hAnsiTheme="minorHAnsi" w:cstheme="minorBidi"/>
          <w:b w:val="0"/>
          <w:bCs w:val="0"/>
          <w:color w:val="auto"/>
          <w:sz w:val="21"/>
          <w:szCs w:val="24"/>
          <w:highlight w:val="none"/>
          <w:lang w:eastAsia="zh"/>
          <w:woUserID w:val="0"/>
        </w:rPr>
        <w:t>宜</w:t>
      </w:r>
      <w:r>
        <w:rPr>
          <w:rFonts w:hint="eastAsia"/>
          <w:color w:val="auto"/>
          <w:highlight w:val="none"/>
        </w:rPr>
        <w:t>设置建筑设备管理系统，宜设置诊疗设备监控系统。</w:t>
      </w:r>
      <w:bookmarkEnd w:id="129"/>
      <w:bookmarkEnd w:id="130"/>
    </w:p>
    <w:p w14:paraId="75A43296">
      <w:pPr>
        <w:numPr>
          <w:ilvl w:val="0"/>
          <w:numId w:val="0"/>
        </w:numPr>
        <w:tabs>
          <w:tab w:val="left" w:pos="0"/>
        </w:tabs>
        <w:bidi w:val="0"/>
        <w:rPr>
          <w:rStyle w:val="19"/>
          <w:rFonts w:hint="default" w:ascii="黑体" w:hAnsi="黑体" w:eastAsia="黑体" w:cs="黑体"/>
          <w:color w:val="auto"/>
          <w:sz w:val="28"/>
          <w:szCs w:val="40"/>
          <w:highlight w:val="none"/>
          <w:lang w:val="en-US" w:eastAsia="zh-CN"/>
        </w:rPr>
      </w:pPr>
    </w:p>
    <w:p w14:paraId="41CE04CD">
      <w:pPr>
        <w:numPr>
          <w:ilvl w:val="0"/>
          <w:numId w:val="0"/>
        </w:numPr>
        <w:tabs>
          <w:tab w:val="left" w:pos="0"/>
        </w:tabs>
        <w:bidi w:val="0"/>
        <w:ind w:left="-9" w:leftChars="0"/>
        <w:rPr>
          <w:rStyle w:val="19"/>
          <w:rFonts w:hint="default" w:ascii="黑体" w:hAnsi="黑体" w:eastAsia="黑体" w:cs="黑体"/>
          <w:color w:val="auto"/>
          <w:sz w:val="28"/>
          <w:szCs w:val="40"/>
          <w:highlight w:val="none"/>
          <w:lang w:val="en-US" w:eastAsia="zh-CN"/>
        </w:rPr>
      </w:pPr>
    </w:p>
    <w:p w14:paraId="6AFC3736">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73AFEEF5">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2163CE40">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38134DF7">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F5C6FBB">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A8EEDB5">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3B0A4C8A">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19F3AC87">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B958804">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EE057D0">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6C90ACE">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6CE35515">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5BD22E58">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4059FCB">
      <w:pPr>
        <w:pStyle w:val="8"/>
        <w:spacing w:before="128" w:line="179" w:lineRule="auto"/>
        <w:jc w:val="center"/>
        <w:outlineLvl w:val="9"/>
        <w:rPr>
          <w:rFonts w:hint="eastAsia" w:asciiTheme="majorEastAsia" w:hAnsiTheme="majorEastAsia" w:eastAsiaTheme="majorEastAsia" w:cstheme="majorEastAsia"/>
          <w:color w:val="auto"/>
          <w:spacing w:val="15"/>
          <w:sz w:val="30"/>
          <w:szCs w:val="30"/>
          <w:highlight w:val="none"/>
        </w:rPr>
      </w:pPr>
    </w:p>
    <w:p w14:paraId="020ADD8B">
      <w:pPr>
        <w:pStyle w:val="8"/>
        <w:spacing w:before="128" w:line="179" w:lineRule="auto"/>
        <w:jc w:val="center"/>
        <w:outlineLvl w:val="0"/>
        <w:rPr>
          <w:rFonts w:hint="eastAsia" w:asciiTheme="majorEastAsia" w:hAnsiTheme="majorEastAsia" w:eastAsiaTheme="majorEastAsia" w:cstheme="majorEastAsia"/>
          <w:color w:val="auto"/>
          <w:sz w:val="30"/>
          <w:szCs w:val="30"/>
          <w:highlight w:val="none"/>
        </w:rPr>
      </w:pPr>
      <w:bookmarkStart w:id="131" w:name="_Toc6129"/>
      <w:bookmarkStart w:id="132" w:name="_Toc26498"/>
      <w:bookmarkStart w:id="133" w:name="_Toc24541"/>
      <w:r>
        <w:rPr>
          <w:rFonts w:hint="eastAsia" w:asciiTheme="majorEastAsia" w:hAnsiTheme="majorEastAsia" w:eastAsiaTheme="majorEastAsia" w:cstheme="majorEastAsia"/>
          <w:color w:val="auto"/>
          <w:spacing w:val="15"/>
          <w:sz w:val="30"/>
          <w:szCs w:val="30"/>
          <w:highlight w:val="none"/>
        </w:rPr>
        <w:t>本规范用词说明</w:t>
      </w:r>
      <w:bookmarkEnd w:id="131"/>
      <w:bookmarkEnd w:id="132"/>
      <w:bookmarkEnd w:id="133"/>
    </w:p>
    <w:p w14:paraId="57E99E28">
      <w:pPr>
        <w:numPr>
          <w:ilvl w:val="0"/>
          <w:numId w:val="0"/>
        </w:numPr>
        <w:tabs>
          <w:tab w:val="left" w:pos="0"/>
        </w:tabs>
        <w:bidi w:val="0"/>
        <w:ind w:left="-9" w:leftChars="0"/>
        <w:rPr>
          <w:rFonts w:hint="eastAsia"/>
          <w:color w:val="auto"/>
          <w:highlight w:val="none"/>
          <w:lang w:val="en-US" w:eastAsia="zh-CN"/>
        </w:rPr>
      </w:pPr>
    </w:p>
    <w:p w14:paraId="73B61B1B">
      <w:pPr>
        <w:numPr>
          <w:ilvl w:val="0"/>
          <w:numId w:val="0"/>
        </w:numPr>
        <w:tabs>
          <w:tab w:val="left" w:pos="0"/>
        </w:tabs>
        <w:bidi w:val="0"/>
        <w:ind w:left="-9" w:leftChars="0"/>
        <w:rPr>
          <w:rFonts w:hint="eastAsia"/>
          <w:color w:val="auto"/>
          <w:highlight w:val="none"/>
          <w:lang w:val="en-US" w:eastAsia="zh-CN"/>
        </w:rPr>
      </w:pPr>
      <w:r>
        <w:rPr>
          <w:rFonts w:hint="eastAsia"/>
          <w:b/>
          <w:bCs/>
          <w:color w:val="auto"/>
          <w:highlight w:val="none"/>
          <w:lang w:val="en-US" w:eastAsia="zh-CN"/>
        </w:rPr>
        <w:t xml:space="preserve">1 </w:t>
      </w:r>
      <w:r>
        <w:rPr>
          <w:rFonts w:hint="eastAsia"/>
          <w:color w:val="auto"/>
          <w:highlight w:val="none"/>
          <w:lang w:val="en-US" w:eastAsia="zh-CN"/>
        </w:rPr>
        <w:t>为便于在执行本</w:t>
      </w:r>
      <w:r>
        <w:rPr>
          <w:rFonts w:hint="eastAsia"/>
          <w:color w:val="auto"/>
          <w:highlight w:val="none"/>
          <w:lang w:val="en-US" w:eastAsia="zh"/>
          <w:woUserID w:val="1"/>
        </w:rPr>
        <w:t>标准</w:t>
      </w:r>
      <w:r>
        <w:rPr>
          <w:rFonts w:hint="eastAsia"/>
          <w:color w:val="auto"/>
          <w:highlight w:val="none"/>
          <w:lang w:val="en-US" w:eastAsia="zh-CN"/>
        </w:rPr>
        <w:t>条文时区别对待，对要求严格程度不同的用词，说明如下：</w:t>
      </w:r>
    </w:p>
    <w:p w14:paraId="66B4C52D">
      <w:pPr>
        <w:numPr>
          <w:ilvl w:val="0"/>
          <w:numId w:val="0"/>
        </w:numPr>
        <w:tabs>
          <w:tab w:val="left" w:pos="0"/>
        </w:tabs>
        <w:bidi w:val="0"/>
        <w:ind w:left="-9" w:leftChars="0" w:firstLine="430" w:firstLineChars="204"/>
        <w:rPr>
          <w:rFonts w:hint="eastAsia"/>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表示很严格，非这样做不可的：</w:t>
      </w:r>
    </w:p>
    <w:p w14:paraId="5C7D5419">
      <w:pPr>
        <w:numPr>
          <w:ilvl w:val="0"/>
          <w:numId w:val="0"/>
        </w:numPr>
        <w:tabs>
          <w:tab w:val="left" w:pos="0"/>
        </w:tabs>
        <w:bidi w:val="0"/>
        <w:ind w:left="-9" w:leftChars="0" w:firstLine="428" w:firstLineChars="204"/>
        <w:rPr>
          <w:rFonts w:hint="eastAsia"/>
          <w:color w:val="auto"/>
          <w:highlight w:val="none"/>
          <w:lang w:val="en-US" w:eastAsia="zh-CN"/>
        </w:rPr>
      </w:pPr>
      <w:r>
        <w:rPr>
          <w:rFonts w:hint="eastAsia"/>
          <w:color w:val="auto"/>
          <w:highlight w:val="none"/>
          <w:lang w:val="en-US" w:eastAsia="zh-CN"/>
        </w:rPr>
        <w:t>正面词采用“必须”，反面词采用“严禁”；</w:t>
      </w:r>
    </w:p>
    <w:p w14:paraId="0360C0A0">
      <w:pPr>
        <w:numPr>
          <w:ilvl w:val="0"/>
          <w:numId w:val="0"/>
        </w:numPr>
        <w:tabs>
          <w:tab w:val="left" w:pos="0"/>
        </w:tabs>
        <w:bidi w:val="0"/>
        <w:ind w:left="-9" w:leftChars="0" w:firstLine="430" w:firstLineChars="204"/>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表示严格，在正常情况下均应这样做的：</w:t>
      </w:r>
    </w:p>
    <w:p w14:paraId="1B156164">
      <w:pPr>
        <w:numPr>
          <w:ilvl w:val="0"/>
          <w:numId w:val="0"/>
        </w:numPr>
        <w:tabs>
          <w:tab w:val="left" w:pos="0"/>
        </w:tabs>
        <w:bidi w:val="0"/>
        <w:ind w:left="-9" w:leftChars="0" w:firstLine="428" w:firstLineChars="204"/>
        <w:rPr>
          <w:rFonts w:hint="eastAsia"/>
          <w:color w:val="auto"/>
          <w:highlight w:val="none"/>
          <w:lang w:val="en-US" w:eastAsia="zh-CN"/>
        </w:rPr>
      </w:pPr>
      <w:r>
        <w:rPr>
          <w:rFonts w:hint="eastAsia"/>
          <w:color w:val="auto"/>
          <w:highlight w:val="none"/>
          <w:lang w:val="en-US" w:eastAsia="zh-CN"/>
        </w:rPr>
        <w:t>正面词采用“应”，反面词采用“不应”或“不得”；</w:t>
      </w:r>
    </w:p>
    <w:p w14:paraId="37A826EC">
      <w:pPr>
        <w:numPr>
          <w:ilvl w:val="0"/>
          <w:numId w:val="0"/>
        </w:numPr>
        <w:tabs>
          <w:tab w:val="left" w:pos="0"/>
        </w:tabs>
        <w:bidi w:val="0"/>
        <w:ind w:left="-9" w:leftChars="0" w:firstLine="430" w:firstLineChars="204"/>
        <w:rPr>
          <w:rFonts w:hint="eastAsia"/>
          <w:color w:val="auto"/>
          <w:highlight w:val="none"/>
          <w:lang w:val="en-US" w:eastAsia="zh-CN"/>
        </w:rPr>
      </w:pPr>
      <w:r>
        <w:rPr>
          <w:rFonts w:hint="default" w:asciiTheme="minorHAnsi" w:hAnsiTheme="minorHAnsi" w:eastAsiaTheme="minorEastAsia" w:cstheme="minorBidi"/>
          <w:b/>
          <w:bCs/>
          <w:color w:val="auto"/>
          <w:kern w:val="2"/>
          <w:sz w:val="21"/>
          <w:szCs w:val="24"/>
          <w:highlight w:val="none"/>
          <w:lang w:val="en-US" w:eastAsia="zh-CN" w:bidi="ar-SA"/>
        </w:rPr>
        <w:t>3）</w:t>
      </w:r>
      <w:r>
        <w:rPr>
          <w:rFonts w:hint="eastAsia"/>
          <w:color w:val="auto"/>
          <w:highlight w:val="none"/>
          <w:lang w:val="en-US" w:eastAsia="zh-CN"/>
        </w:rPr>
        <w:t xml:space="preserve">表示允许稍有选择，在条件许可时首先应这样做的： </w:t>
      </w:r>
    </w:p>
    <w:p w14:paraId="3F1037AD">
      <w:pPr>
        <w:numPr>
          <w:ilvl w:val="0"/>
          <w:numId w:val="0"/>
        </w:numPr>
        <w:tabs>
          <w:tab w:val="left" w:pos="0"/>
        </w:tabs>
        <w:bidi w:val="0"/>
        <w:ind w:left="-9" w:leftChars="0" w:firstLine="428" w:firstLineChars="204"/>
        <w:rPr>
          <w:rFonts w:hint="eastAsia"/>
          <w:color w:val="auto"/>
          <w:highlight w:val="none"/>
          <w:lang w:val="en-US" w:eastAsia="zh-CN"/>
        </w:rPr>
      </w:pPr>
      <w:r>
        <w:rPr>
          <w:rFonts w:hint="eastAsia"/>
          <w:color w:val="auto"/>
          <w:highlight w:val="none"/>
          <w:lang w:val="en-US" w:eastAsia="zh-CN"/>
        </w:rPr>
        <w:t>正面词采用“宜”，反面词采用“不宜”；</w:t>
      </w:r>
    </w:p>
    <w:p w14:paraId="3DFFE508">
      <w:pPr>
        <w:numPr>
          <w:ilvl w:val="0"/>
          <w:numId w:val="0"/>
        </w:numPr>
        <w:tabs>
          <w:tab w:val="left" w:pos="0"/>
        </w:tabs>
        <w:bidi w:val="0"/>
        <w:ind w:left="-9" w:leftChars="0" w:firstLine="430" w:firstLineChars="204"/>
        <w:rPr>
          <w:rFonts w:hint="eastAsia"/>
          <w:color w:val="auto"/>
          <w:highlight w:val="none"/>
          <w:lang w:val="en-US" w:eastAsia="zh-CN"/>
        </w:rPr>
      </w:pPr>
      <w:r>
        <w:rPr>
          <w:rFonts w:hint="eastAsia"/>
          <w:b/>
          <w:bCs/>
          <w:color w:val="auto"/>
          <w:highlight w:val="none"/>
          <w:lang w:val="en-US" w:eastAsia="zh-CN"/>
        </w:rPr>
        <w:t>4）</w:t>
      </w:r>
      <w:r>
        <w:rPr>
          <w:rFonts w:hint="eastAsia"/>
          <w:color w:val="auto"/>
          <w:highlight w:val="none"/>
          <w:lang w:val="en-US" w:eastAsia="zh-CN"/>
        </w:rPr>
        <w:t>表示有选择，在一定条件下可以这样做的，采用“可”。</w:t>
      </w:r>
    </w:p>
    <w:p w14:paraId="3C0BAE11">
      <w:pPr>
        <w:numPr>
          <w:ilvl w:val="0"/>
          <w:numId w:val="0"/>
        </w:numPr>
        <w:tabs>
          <w:tab w:val="left" w:pos="0"/>
        </w:tabs>
        <w:bidi w:val="0"/>
        <w:ind w:left="-9" w:leftChars="0"/>
        <w:rPr>
          <w:rFonts w:hint="eastAsia"/>
          <w:color w:val="auto"/>
          <w:highlight w:val="none"/>
          <w:lang w:val="en-US" w:eastAsia="zh-CN"/>
        </w:rPr>
      </w:pPr>
      <w:r>
        <w:rPr>
          <w:rFonts w:hint="eastAsia"/>
          <w:b/>
          <w:bCs/>
          <w:color w:val="auto"/>
          <w:highlight w:val="none"/>
          <w:lang w:val="en-US" w:eastAsia="zh-CN"/>
        </w:rPr>
        <w:t xml:space="preserve">2 </w:t>
      </w:r>
      <w:r>
        <w:rPr>
          <w:rFonts w:hint="eastAsia"/>
          <w:color w:val="auto"/>
          <w:highlight w:val="none"/>
          <w:lang w:val="en-US" w:eastAsia="zh-CN"/>
        </w:rPr>
        <w:t>条文中指明应按其他有关标准执行的写法为：“应符合……的规定”或“应按……执行”。</w:t>
      </w:r>
    </w:p>
    <w:p w14:paraId="69B41C1A">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0B81ABE0">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4E81BE54">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3AE60016">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214C3AD4">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3CE2D48B">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01B05AE5">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11A46FA6">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1518F1D6">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04F8D616">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26F333D1">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2BAB15F7">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3EDA702A">
      <w:pPr>
        <w:numPr>
          <w:ilvl w:val="0"/>
          <w:numId w:val="0"/>
        </w:numPr>
        <w:jc w:val="both"/>
        <w:outlineLvl w:val="9"/>
        <w:rPr>
          <w:rStyle w:val="19"/>
          <w:rFonts w:hint="default" w:ascii="黑体" w:hAnsi="黑体" w:eastAsia="黑体" w:cs="黑体"/>
          <w:color w:val="auto"/>
          <w:sz w:val="28"/>
          <w:szCs w:val="40"/>
          <w:highlight w:val="none"/>
          <w:lang w:val="en-US" w:eastAsia="zh-CN"/>
        </w:rPr>
      </w:pPr>
    </w:p>
    <w:p w14:paraId="07A67FB7">
      <w:pPr>
        <w:numPr>
          <w:ilvl w:val="0"/>
          <w:numId w:val="0"/>
        </w:numPr>
        <w:jc w:val="center"/>
        <w:outlineLvl w:val="9"/>
        <w:rPr>
          <w:rStyle w:val="19"/>
          <w:rFonts w:hint="default" w:ascii="黑体" w:hAnsi="黑体" w:eastAsia="黑体" w:cs="黑体"/>
          <w:color w:val="auto"/>
          <w:sz w:val="28"/>
          <w:szCs w:val="40"/>
          <w:highlight w:val="none"/>
          <w:lang w:val="en-US" w:eastAsia="zh-CN"/>
        </w:rPr>
      </w:pPr>
    </w:p>
    <w:p w14:paraId="6740EEDD">
      <w:pPr>
        <w:numPr>
          <w:ilvl w:val="0"/>
          <w:numId w:val="0"/>
        </w:numPr>
        <w:jc w:val="center"/>
        <w:outlineLvl w:val="0"/>
        <w:rPr>
          <w:rFonts w:hint="eastAsia" w:asciiTheme="majorEastAsia" w:hAnsiTheme="majorEastAsia" w:eastAsiaTheme="majorEastAsia" w:cstheme="majorEastAsia"/>
          <w:color w:val="auto"/>
          <w:spacing w:val="15"/>
          <w:sz w:val="30"/>
          <w:szCs w:val="30"/>
          <w:highlight w:val="none"/>
          <w:lang w:val="en-US" w:eastAsia="zh-CN"/>
        </w:rPr>
      </w:pPr>
      <w:bookmarkStart w:id="134" w:name="_Toc24058"/>
      <w:bookmarkStart w:id="135" w:name="_Toc4544"/>
      <w:bookmarkStart w:id="136" w:name="_Toc21650"/>
      <w:r>
        <w:rPr>
          <w:rFonts w:hint="eastAsia" w:asciiTheme="majorEastAsia" w:hAnsiTheme="majorEastAsia" w:eastAsiaTheme="majorEastAsia" w:cstheme="majorEastAsia"/>
          <w:color w:val="auto"/>
          <w:spacing w:val="15"/>
          <w:sz w:val="30"/>
          <w:szCs w:val="30"/>
          <w:highlight w:val="none"/>
          <w:lang w:val="en-US" w:eastAsia="zh-CN"/>
        </w:rPr>
        <w:t>引用标准目录</w:t>
      </w:r>
      <w:bookmarkEnd w:id="134"/>
      <w:bookmarkEnd w:id="135"/>
      <w:bookmarkEnd w:id="136"/>
    </w:p>
    <w:p w14:paraId="1EE84CDF">
      <w:pPr>
        <w:numPr>
          <w:ilvl w:val="0"/>
          <w:numId w:val="0"/>
        </w:numPr>
        <w:jc w:val="center"/>
        <w:outlineLvl w:val="9"/>
        <w:rPr>
          <w:rFonts w:hint="eastAsia" w:asciiTheme="majorEastAsia" w:hAnsiTheme="majorEastAsia" w:eastAsiaTheme="majorEastAsia" w:cstheme="majorEastAsia"/>
          <w:color w:val="auto"/>
          <w:spacing w:val="15"/>
          <w:sz w:val="30"/>
          <w:szCs w:val="30"/>
          <w:highlight w:val="none"/>
          <w:lang w:val="en-US" w:eastAsia="zh-CN"/>
        </w:rPr>
      </w:pPr>
    </w:p>
    <w:p w14:paraId="1B6C8365">
      <w:pPr>
        <w:numPr>
          <w:ilvl w:val="0"/>
          <w:numId w:val="0"/>
        </w:numPr>
        <w:tabs>
          <w:tab w:val="left" w:pos="0"/>
        </w:tabs>
        <w:bidi w:val="0"/>
        <w:ind w:left="-9" w:leftChars="0"/>
        <w:rPr>
          <w:rFonts w:hint="eastAsia"/>
          <w:color w:val="auto"/>
          <w:highlight w:val="none"/>
          <w:lang w:val="en-US" w:eastAsia="zh-CN"/>
        </w:rPr>
      </w:pPr>
      <w:r>
        <w:rPr>
          <w:rFonts w:hint="eastAsia"/>
          <w:color w:val="auto"/>
          <w:highlight w:val="none"/>
          <w:lang w:val="en-US" w:eastAsia="zh-CN"/>
        </w:rPr>
        <w:t>1 《建筑地面工程防滑技术规程》JGJ/T331</w:t>
      </w:r>
    </w:p>
    <w:p w14:paraId="10539FA9">
      <w:pPr>
        <w:numPr>
          <w:ilvl w:val="0"/>
          <w:numId w:val="0"/>
        </w:numPr>
        <w:tabs>
          <w:tab w:val="left" w:pos="0"/>
        </w:tabs>
        <w:bidi w:val="0"/>
        <w:ind w:left="-9" w:leftChars="0"/>
        <w:rPr>
          <w:rFonts w:hint="eastAsia"/>
          <w:color w:val="auto"/>
          <w:highlight w:val="none"/>
          <w:lang w:val="en-US" w:eastAsia="zh-CN"/>
        </w:rPr>
      </w:pPr>
      <w:r>
        <w:rPr>
          <w:rFonts w:hint="eastAsia"/>
          <w:color w:val="auto"/>
          <w:highlight w:val="none"/>
          <w:lang w:val="en-US" w:eastAsia="zh-CN"/>
        </w:rPr>
        <w:t>2 《老年人照料设施建筑设计标准》JGJ450</w:t>
      </w:r>
    </w:p>
    <w:p w14:paraId="735AA29F">
      <w:pPr>
        <w:numPr>
          <w:ilvl w:val="0"/>
          <w:numId w:val="0"/>
        </w:numPr>
        <w:tabs>
          <w:tab w:val="left" w:pos="0"/>
        </w:tabs>
        <w:bidi w:val="0"/>
        <w:ind w:left="-9" w:leftChars="0"/>
        <w:rPr>
          <w:rFonts w:hint="default"/>
          <w:b w:val="0"/>
          <w:bCs w:val="0"/>
          <w:color w:val="auto"/>
          <w:highlight w:val="none"/>
          <w:lang w:val="en-US" w:eastAsia="zh-CN"/>
        </w:rPr>
      </w:pPr>
      <w:r>
        <w:rPr>
          <w:rFonts w:hint="eastAsia"/>
          <w:color w:val="auto"/>
          <w:highlight w:val="none"/>
          <w:lang w:val="en-US" w:eastAsia="zh-CN"/>
        </w:rPr>
        <w:t xml:space="preserve">3 </w:t>
      </w:r>
      <w:r>
        <w:rPr>
          <w:rFonts w:hint="default"/>
          <w:color w:val="auto"/>
          <w:highlight w:val="none"/>
          <w:lang w:val="en-US" w:eastAsia="zh-CN"/>
        </w:rPr>
        <w:t>《无障碍设计规范》</w:t>
      </w:r>
      <w:r>
        <w:rPr>
          <w:rFonts w:hint="default"/>
          <w:b w:val="0"/>
          <w:bCs w:val="0"/>
          <w:color w:val="auto"/>
          <w:highlight w:val="none"/>
          <w:lang w:val="en-US" w:eastAsia="zh-CN"/>
        </w:rPr>
        <w:t>GB50763</w:t>
      </w:r>
    </w:p>
    <w:p w14:paraId="38E78309">
      <w:pPr>
        <w:numPr>
          <w:ilvl w:val="0"/>
          <w:numId w:val="0"/>
        </w:numPr>
        <w:tabs>
          <w:tab w:val="left" w:pos="0"/>
        </w:tabs>
        <w:bidi w:val="0"/>
        <w:ind w:left="-9" w:leftChars="0"/>
        <w:rPr>
          <w:rFonts w:hint="eastAsia"/>
          <w:color w:val="auto"/>
          <w:highlight w:val="none"/>
          <w:lang w:val="en-US" w:eastAsia="zh-CN"/>
        </w:rPr>
      </w:pPr>
      <w:r>
        <w:rPr>
          <w:rFonts w:hint="eastAsia"/>
          <w:b w:val="0"/>
          <w:bCs w:val="0"/>
          <w:color w:val="auto"/>
          <w:sz w:val="21"/>
          <w:szCs w:val="21"/>
          <w:highlight w:val="none"/>
          <w:lang w:val="en-US" w:eastAsia="zh-CN"/>
        </w:rPr>
        <w:t>4 《</w:t>
      </w:r>
      <w:r>
        <w:rPr>
          <w:rFonts w:hint="default"/>
          <w:b w:val="0"/>
          <w:bCs w:val="0"/>
          <w:color w:val="auto"/>
          <w:sz w:val="21"/>
          <w:szCs w:val="21"/>
          <w:highlight w:val="none"/>
          <w:lang w:val="en-US" w:eastAsia="zh-CN"/>
        </w:rPr>
        <w:t>建筑与市政工程无障碍通用规范</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GB55019</w:t>
      </w:r>
    </w:p>
    <w:p w14:paraId="4773FC10">
      <w:pPr>
        <w:numPr>
          <w:ilvl w:val="0"/>
          <w:numId w:val="0"/>
        </w:numPr>
        <w:tabs>
          <w:tab w:val="left" w:pos="0"/>
        </w:tabs>
        <w:bidi w:val="0"/>
        <w:ind w:left="-9" w:leftChars="0"/>
        <w:rPr>
          <w:rFonts w:hint="eastAsia"/>
          <w:color w:val="auto"/>
          <w:highlight w:val="none"/>
          <w:lang w:val="en-US" w:eastAsia="zh-CN"/>
        </w:rPr>
      </w:pPr>
      <w:r>
        <w:rPr>
          <w:rFonts w:hint="eastAsia"/>
          <w:color w:val="auto"/>
          <w:highlight w:val="none"/>
          <w:lang w:val="en-US" w:eastAsia="zh-CN"/>
        </w:rPr>
        <w:t>5 《建筑防火通用规范》GB55037</w:t>
      </w:r>
    </w:p>
    <w:p w14:paraId="5600AA55">
      <w:pPr>
        <w:numPr>
          <w:ilvl w:val="0"/>
          <w:numId w:val="0"/>
        </w:numPr>
        <w:tabs>
          <w:tab w:val="left" w:pos="0"/>
        </w:tabs>
        <w:bidi w:val="0"/>
        <w:ind w:left="-9" w:leftChars="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 xml:space="preserve">6 </w:t>
      </w:r>
      <w:r>
        <w:rPr>
          <w:rFonts w:hint="default" w:asciiTheme="minorEastAsia" w:hAnsiTheme="minorEastAsia" w:eastAsiaTheme="minorEastAsia" w:cstheme="minorEastAsia"/>
          <w:color w:val="auto"/>
          <w:sz w:val="21"/>
          <w:szCs w:val="21"/>
          <w:highlight w:val="none"/>
          <w:lang w:val="en-US" w:eastAsia="zh-CN"/>
        </w:rPr>
        <w:t>《综合医院建筑设计</w:t>
      </w:r>
      <w:r>
        <w:rPr>
          <w:rFonts w:hint="eastAsia" w:asciiTheme="minorEastAsia" w:hAnsiTheme="minorEastAsia" w:cstheme="minorEastAsia"/>
          <w:color w:val="auto"/>
          <w:sz w:val="21"/>
          <w:szCs w:val="21"/>
          <w:highlight w:val="none"/>
          <w:lang w:val="en-US" w:eastAsia="zh-CN"/>
        </w:rPr>
        <w:t>标准</w:t>
      </w:r>
      <w:r>
        <w:rPr>
          <w:rFonts w:hint="default"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GB51039</w:t>
      </w:r>
    </w:p>
    <w:p w14:paraId="7C40D420">
      <w:pPr>
        <w:numPr>
          <w:ilvl w:val="0"/>
          <w:numId w:val="0"/>
        </w:numPr>
        <w:tabs>
          <w:tab w:val="left" w:pos="0"/>
        </w:tabs>
        <w:bidi w:val="0"/>
        <w:ind w:left="-9" w:leftChars="0"/>
        <w:rPr>
          <w:rFonts w:hint="default"/>
          <w:b w:val="0"/>
          <w:bCs w:val="0"/>
          <w:color w:val="auto"/>
          <w:highlight w:val="none"/>
          <w:lang w:val="en-US" w:eastAsia="zh-CN"/>
        </w:rPr>
      </w:pPr>
      <w:r>
        <w:rPr>
          <w:rFonts w:hint="eastAsia"/>
          <w:b w:val="0"/>
          <w:bCs w:val="0"/>
          <w:color w:val="auto"/>
          <w:highlight w:val="none"/>
          <w:lang w:val="en-US" w:eastAsia="zh-CN"/>
        </w:rPr>
        <w:t xml:space="preserve">7 《建筑设计防火规范》GB50016                                              </w:t>
      </w:r>
    </w:p>
    <w:p w14:paraId="782D26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b w:val="0"/>
          <w:bCs w:val="0"/>
          <w:color w:val="auto"/>
          <w:highlight w:val="none"/>
          <w:lang w:val="en-US" w:eastAsia="zh-CN"/>
        </w:rPr>
      </w:pPr>
      <w:r>
        <w:rPr>
          <w:rFonts w:hint="eastAsia"/>
          <w:b w:val="0"/>
          <w:bCs w:val="0"/>
          <w:color w:val="auto"/>
          <w:highlight w:val="none"/>
          <w:lang w:val="en-US" w:eastAsia="zh-CN"/>
        </w:rPr>
        <w:t>8 《建筑内部装修设计防火规范》GB50222</w:t>
      </w:r>
    </w:p>
    <w:p w14:paraId="66F9ED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b w:val="0"/>
          <w:bCs w:val="0"/>
          <w:color w:val="auto"/>
          <w:highlight w:val="none"/>
          <w:lang w:val="en-US" w:eastAsia="zh-CN"/>
        </w:rPr>
      </w:pPr>
      <w:r>
        <w:rPr>
          <w:rFonts w:hint="eastAsia"/>
          <w:b w:val="0"/>
          <w:bCs w:val="0"/>
          <w:color w:val="auto"/>
          <w:highlight w:val="none"/>
          <w:lang w:val="en-US" w:eastAsia="zh-CN"/>
        </w:rPr>
        <w:t>9 《声环境质量标准》GB3096</w:t>
      </w:r>
    </w:p>
    <w:p w14:paraId="75CBD2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highlight w:val="none"/>
          <w:lang w:val="en-US" w:eastAsia="zh-CN"/>
        </w:rPr>
      </w:pPr>
      <w:r>
        <w:rPr>
          <w:rFonts w:hint="eastAsia"/>
          <w:color w:val="auto"/>
          <w:highlight w:val="none"/>
          <w:lang w:val="en-US" w:eastAsia="zh-CN"/>
        </w:rPr>
        <w:t>10 《养老服务常用图形符号及标志》MZ/T131</w:t>
      </w:r>
    </w:p>
    <w:p w14:paraId="13935C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color w:val="auto"/>
          <w:highlight w:val="none"/>
          <w:lang w:val="en-US" w:eastAsia="zh-CN"/>
        </w:rPr>
      </w:pPr>
      <w:r>
        <w:rPr>
          <w:rFonts w:hint="eastAsia"/>
          <w:color w:val="auto"/>
          <w:highlight w:val="none"/>
          <w:lang w:val="en-US" w:eastAsia="zh-CN"/>
        </w:rPr>
        <w:t>11 《建筑环境通用规范》GB55016</w:t>
      </w:r>
    </w:p>
    <w:p w14:paraId="0A455639">
      <w:pPr>
        <w:numPr>
          <w:ilvl w:val="0"/>
          <w:numId w:val="0"/>
        </w:numPr>
        <w:tabs>
          <w:tab w:val="left" w:pos="0"/>
        </w:tabs>
        <w:bidi w:val="0"/>
        <w:ind w:left="-9" w:leftChars="0"/>
        <w:rPr>
          <w:rFonts w:hint="eastAsia"/>
          <w:color w:val="auto"/>
          <w:highlight w:val="none"/>
          <w:lang w:val="en-US" w:eastAsia="zh-CN"/>
        </w:rPr>
      </w:pPr>
      <w:r>
        <w:rPr>
          <w:rFonts w:hint="eastAsia"/>
          <w:color w:val="auto"/>
          <w:highlight w:val="none"/>
          <w:lang w:val="en-US" w:eastAsia="zh-CN"/>
        </w:rPr>
        <w:t>12 《建筑照明设计标准》GB/T50034</w:t>
      </w:r>
    </w:p>
    <w:p w14:paraId="3EFE99E8">
      <w:pPr>
        <w:numPr>
          <w:ilvl w:val="0"/>
          <w:numId w:val="0"/>
        </w:numPr>
        <w:tabs>
          <w:tab w:val="left" w:pos="0"/>
        </w:tabs>
        <w:bidi w:val="0"/>
        <w:ind w:left="-9" w:leftChars="0"/>
        <w:rPr>
          <w:rFonts w:hint="eastAsia"/>
          <w:color w:val="auto"/>
          <w:highlight w:val="none"/>
          <w:lang w:val="en-US" w:eastAsia="zh-CN"/>
        </w:rPr>
      </w:pPr>
      <w:r>
        <w:rPr>
          <w:rFonts w:hint="eastAsia"/>
          <w:color w:val="auto"/>
          <w:highlight w:val="none"/>
          <w:lang w:val="en-US" w:eastAsia="zh-CN"/>
        </w:rPr>
        <w:t>13 《医疗建筑电气设计规范》JGJ312</w:t>
      </w:r>
    </w:p>
    <w:p w14:paraId="70559714">
      <w:pPr>
        <w:numPr>
          <w:ilvl w:val="0"/>
          <w:numId w:val="0"/>
        </w:numPr>
        <w:tabs>
          <w:tab w:val="left" w:pos="0"/>
        </w:tabs>
        <w:bidi w:val="0"/>
        <w:ind w:left="-9" w:leftChars="0"/>
        <w:rPr>
          <w:rFonts w:hint="eastAsia"/>
          <w:color w:val="auto"/>
          <w:highlight w:val="none"/>
          <w:lang w:val="en-US" w:eastAsia="zh-CN"/>
        </w:rPr>
      </w:pPr>
    </w:p>
    <w:p w14:paraId="0D522FE4">
      <w:pPr>
        <w:numPr>
          <w:ilvl w:val="0"/>
          <w:numId w:val="0"/>
        </w:numPr>
        <w:tabs>
          <w:tab w:val="left" w:pos="0"/>
        </w:tabs>
        <w:bidi w:val="0"/>
        <w:ind w:left="-9" w:leftChars="0"/>
        <w:rPr>
          <w:rFonts w:hint="eastAsia"/>
          <w:color w:val="auto"/>
          <w:highlight w:val="none"/>
          <w:lang w:val="en-US" w:eastAsia="zh-CN"/>
        </w:rPr>
      </w:pPr>
    </w:p>
    <w:p w14:paraId="1659A9D4">
      <w:pPr>
        <w:numPr>
          <w:ilvl w:val="0"/>
          <w:numId w:val="0"/>
        </w:numPr>
        <w:tabs>
          <w:tab w:val="left" w:pos="0"/>
        </w:tabs>
        <w:bidi w:val="0"/>
        <w:ind w:left="-9" w:leftChars="0"/>
        <w:rPr>
          <w:rFonts w:hint="eastAsia"/>
          <w:color w:val="auto"/>
          <w:highlight w:val="none"/>
          <w:lang w:val="en-US" w:eastAsia="zh-CN"/>
        </w:rPr>
      </w:pPr>
    </w:p>
    <w:p w14:paraId="61B75BBC">
      <w:pPr>
        <w:numPr>
          <w:ilvl w:val="0"/>
          <w:numId w:val="0"/>
        </w:numPr>
        <w:tabs>
          <w:tab w:val="left" w:pos="0"/>
        </w:tabs>
        <w:bidi w:val="0"/>
        <w:ind w:left="-9" w:leftChars="0"/>
        <w:rPr>
          <w:rFonts w:hint="eastAsia"/>
          <w:color w:val="auto"/>
          <w:highlight w:val="none"/>
          <w:lang w:val="en-US" w:eastAsia="zh-CN"/>
        </w:rPr>
      </w:pPr>
    </w:p>
    <w:p w14:paraId="56DFB4CE">
      <w:pPr>
        <w:numPr>
          <w:ilvl w:val="0"/>
          <w:numId w:val="0"/>
        </w:numPr>
        <w:tabs>
          <w:tab w:val="left" w:pos="0"/>
        </w:tabs>
        <w:bidi w:val="0"/>
        <w:ind w:left="-9" w:leftChars="0"/>
        <w:rPr>
          <w:rFonts w:hint="eastAsia"/>
          <w:color w:val="auto"/>
          <w:highlight w:val="none"/>
          <w:lang w:val="en-US" w:eastAsia="zh-CN"/>
        </w:rPr>
      </w:pPr>
    </w:p>
    <w:p w14:paraId="69160988">
      <w:pPr>
        <w:numPr>
          <w:ilvl w:val="0"/>
          <w:numId w:val="0"/>
        </w:numPr>
        <w:tabs>
          <w:tab w:val="left" w:pos="0"/>
        </w:tabs>
        <w:bidi w:val="0"/>
        <w:ind w:left="-9" w:leftChars="0"/>
        <w:rPr>
          <w:rFonts w:hint="eastAsia"/>
          <w:color w:val="auto"/>
          <w:highlight w:val="none"/>
          <w:lang w:val="en-US" w:eastAsia="zh-CN"/>
        </w:rPr>
      </w:pPr>
    </w:p>
    <w:p w14:paraId="5473A2A5">
      <w:pPr>
        <w:numPr>
          <w:ilvl w:val="0"/>
          <w:numId w:val="0"/>
        </w:numPr>
        <w:tabs>
          <w:tab w:val="left" w:pos="0"/>
        </w:tabs>
        <w:bidi w:val="0"/>
        <w:ind w:left="-9" w:leftChars="0"/>
        <w:rPr>
          <w:rFonts w:hint="eastAsia"/>
          <w:color w:val="auto"/>
          <w:highlight w:val="none"/>
          <w:lang w:val="en-US" w:eastAsia="zh-CN"/>
        </w:rPr>
      </w:pPr>
    </w:p>
    <w:p w14:paraId="20D8E6C6">
      <w:pPr>
        <w:numPr>
          <w:ilvl w:val="0"/>
          <w:numId w:val="0"/>
        </w:numPr>
        <w:tabs>
          <w:tab w:val="left" w:pos="0"/>
        </w:tabs>
        <w:bidi w:val="0"/>
        <w:ind w:left="-9" w:leftChars="0"/>
        <w:rPr>
          <w:rFonts w:hint="eastAsia"/>
          <w:color w:val="auto"/>
          <w:highlight w:val="none"/>
          <w:lang w:val="en-US" w:eastAsia="zh-CN"/>
        </w:rPr>
      </w:pPr>
    </w:p>
    <w:p w14:paraId="424887DC">
      <w:pPr>
        <w:numPr>
          <w:ilvl w:val="0"/>
          <w:numId w:val="0"/>
        </w:numPr>
        <w:tabs>
          <w:tab w:val="left" w:pos="0"/>
        </w:tabs>
        <w:bidi w:val="0"/>
        <w:ind w:left="-9" w:leftChars="0"/>
        <w:rPr>
          <w:rFonts w:hint="eastAsia"/>
          <w:color w:val="auto"/>
          <w:highlight w:val="none"/>
          <w:lang w:val="en-US" w:eastAsia="zh-CN"/>
        </w:rPr>
      </w:pPr>
    </w:p>
    <w:p w14:paraId="13CFCD85">
      <w:pPr>
        <w:numPr>
          <w:ilvl w:val="0"/>
          <w:numId w:val="0"/>
        </w:numPr>
        <w:tabs>
          <w:tab w:val="left" w:pos="0"/>
        </w:tabs>
        <w:bidi w:val="0"/>
        <w:ind w:left="-9" w:leftChars="0"/>
        <w:rPr>
          <w:rFonts w:hint="eastAsia"/>
          <w:color w:val="auto"/>
          <w:highlight w:val="none"/>
          <w:lang w:val="en-US" w:eastAsia="zh-CN"/>
        </w:rPr>
      </w:pPr>
    </w:p>
    <w:p w14:paraId="28EDC9DC">
      <w:pPr>
        <w:numPr>
          <w:ilvl w:val="0"/>
          <w:numId w:val="0"/>
        </w:numPr>
        <w:tabs>
          <w:tab w:val="left" w:pos="0"/>
        </w:tabs>
        <w:bidi w:val="0"/>
        <w:ind w:left="-9" w:leftChars="0"/>
        <w:rPr>
          <w:rFonts w:hint="eastAsia"/>
          <w:color w:val="auto"/>
          <w:highlight w:val="none"/>
          <w:lang w:val="en-US" w:eastAsia="zh-CN"/>
        </w:rPr>
      </w:pPr>
    </w:p>
    <w:p w14:paraId="0EC32F65">
      <w:pPr>
        <w:numPr>
          <w:ilvl w:val="0"/>
          <w:numId w:val="0"/>
        </w:numPr>
        <w:tabs>
          <w:tab w:val="left" w:pos="0"/>
        </w:tabs>
        <w:bidi w:val="0"/>
        <w:ind w:left="-9" w:leftChars="0"/>
        <w:rPr>
          <w:rFonts w:hint="eastAsia"/>
          <w:color w:val="auto"/>
          <w:highlight w:val="none"/>
          <w:lang w:val="en-US" w:eastAsia="zh-CN"/>
        </w:rPr>
      </w:pPr>
    </w:p>
    <w:p w14:paraId="5C0B86F5">
      <w:pPr>
        <w:numPr>
          <w:ilvl w:val="0"/>
          <w:numId w:val="0"/>
        </w:numPr>
        <w:tabs>
          <w:tab w:val="left" w:pos="0"/>
        </w:tabs>
        <w:bidi w:val="0"/>
        <w:ind w:left="-9" w:leftChars="0"/>
        <w:rPr>
          <w:rFonts w:hint="eastAsia"/>
          <w:color w:val="auto"/>
          <w:highlight w:val="none"/>
          <w:lang w:val="en-US" w:eastAsia="zh-CN"/>
        </w:rPr>
      </w:pPr>
    </w:p>
    <w:p w14:paraId="00561E43">
      <w:pPr>
        <w:numPr>
          <w:ilvl w:val="0"/>
          <w:numId w:val="0"/>
        </w:numPr>
        <w:tabs>
          <w:tab w:val="left" w:pos="0"/>
        </w:tabs>
        <w:bidi w:val="0"/>
        <w:ind w:left="-9" w:leftChars="0"/>
        <w:rPr>
          <w:rFonts w:hint="eastAsia"/>
          <w:color w:val="auto"/>
          <w:highlight w:val="none"/>
          <w:lang w:val="en-US" w:eastAsia="zh-CN"/>
        </w:rPr>
      </w:pPr>
    </w:p>
    <w:p w14:paraId="0CF43AFA">
      <w:pPr>
        <w:numPr>
          <w:ilvl w:val="0"/>
          <w:numId w:val="0"/>
        </w:numPr>
        <w:tabs>
          <w:tab w:val="left" w:pos="0"/>
        </w:tabs>
        <w:bidi w:val="0"/>
        <w:ind w:left="-9" w:leftChars="0"/>
        <w:rPr>
          <w:rFonts w:hint="eastAsia"/>
          <w:color w:val="auto"/>
          <w:highlight w:val="none"/>
          <w:lang w:val="en-US" w:eastAsia="zh-CN"/>
        </w:rPr>
      </w:pPr>
    </w:p>
    <w:p w14:paraId="1B5DD71F">
      <w:pPr>
        <w:numPr>
          <w:ilvl w:val="0"/>
          <w:numId w:val="0"/>
        </w:numPr>
        <w:tabs>
          <w:tab w:val="left" w:pos="0"/>
        </w:tabs>
        <w:bidi w:val="0"/>
        <w:ind w:left="-9" w:leftChars="0"/>
        <w:rPr>
          <w:rFonts w:hint="eastAsia"/>
          <w:color w:val="auto"/>
          <w:highlight w:val="none"/>
          <w:lang w:val="en-US" w:eastAsia="zh-CN"/>
        </w:rPr>
      </w:pPr>
    </w:p>
    <w:p w14:paraId="5E0FEB11">
      <w:pPr>
        <w:numPr>
          <w:ilvl w:val="0"/>
          <w:numId w:val="0"/>
        </w:numPr>
        <w:tabs>
          <w:tab w:val="left" w:pos="0"/>
        </w:tabs>
        <w:bidi w:val="0"/>
        <w:ind w:left="-9" w:leftChars="0"/>
        <w:rPr>
          <w:rFonts w:hint="eastAsia"/>
          <w:color w:val="auto"/>
          <w:highlight w:val="none"/>
          <w:lang w:val="en-US" w:eastAsia="zh-CN"/>
        </w:rPr>
      </w:pPr>
    </w:p>
    <w:p w14:paraId="10914F23">
      <w:pPr>
        <w:numPr>
          <w:ilvl w:val="0"/>
          <w:numId w:val="0"/>
        </w:numPr>
        <w:tabs>
          <w:tab w:val="left" w:pos="0"/>
        </w:tabs>
        <w:bidi w:val="0"/>
        <w:ind w:left="-9" w:leftChars="0"/>
        <w:rPr>
          <w:rFonts w:hint="eastAsia"/>
          <w:color w:val="auto"/>
          <w:highlight w:val="none"/>
          <w:lang w:val="en-US" w:eastAsia="zh-CN"/>
        </w:rPr>
      </w:pPr>
    </w:p>
    <w:p w14:paraId="48CDCE2F">
      <w:pPr>
        <w:numPr>
          <w:ilvl w:val="0"/>
          <w:numId w:val="0"/>
        </w:numPr>
        <w:tabs>
          <w:tab w:val="left" w:pos="0"/>
        </w:tabs>
        <w:bidi w:val="0"/>
        <w:ind w:left="-9" w:leftChars="0"/>
        <w:rPr>
          <w:rFonts w:hint="eastAsia"/>
          <w:color w:val="auto"/>
          <w:highlight w:val="none"/>
          <w:lang w:val="en-US" w:eastAsia="zh-CN"/>
        </w:rPr>
      </w:pPr>
    </w:p>
    <w:p w14:paraId="370D37B3">
      <w:pPr>
        <w:numPr>
          <w:ilvl w:val="0"/>
          <w:numId w:val="0"/>
        </w:numPr>
        <w:tabs>
          <w:tab w:val="left" w:pos="0"/>
        </w:tabs>
        <w:bidi w:val="0"/>
        <w:ind w:left="-9" w:leftChars="0"/>
        <w:rPr>
          <w:rFonts w:hint="eastAsia"/>
          <w:color w:val="auto"/>
          <w:highlight w:val="none"/>
          <w:lang w:val="en-US" w:eastAsia="zh-CN"/>
        </w:rPr>
      </w:pPr>
    </w:p>
    <w:p w14:paraId="3CB39DE6">
      <w:pPr>
        <w:numPr>
          <w:ilvl w:val="0"/>
          <w:numId w:val="0"/>
        </w:numPr>
        <w:tabs>
          <w:tab w:val="left" w:pos="0"/>
        </w:tabs>
        <w:bidi w:val="0"/>
        <w:ind w:left="-9" w:leftChars="0"/>
        <w:rPr>
          <w:rFonts w:hint="eastAsia"/>
          <w:color w:val="auto"/>
          <w:highlight w:val="none"/>
          <w:lang w:val="en-US" w:eastAsia="zh-CN"/>
        </w:rPr>
      </w:pPr>
    </w:p>
    <w:p w14:paraId="4F0C98AD">
      <w:pPr>
        <w:numPr>
          <w:ilvl w:val="0"/>
          <w:numId w:val="0"/>
        </w:numPr>
        <w:tabs>
          <w:tab w:val="left" w:pos="0"/>
        </w:tabs>
        <w:bidi w:val="0"/>
        <w:ind w:left="-9" w:leftChars="0"/>
        <w:rPr>
          <w:rFonts w:hint="eastAsia"/>
          <w:color w:val="auto"/>
          <w:highlight w:val="none"/>
          <w:lang w:val="en-US" w:eastAsia="zh-CN"/>
        </w:rPr>
      </w:pPr>
    </w:p>
    <w:p w14:paraId="02804E2F">
      <w:pPr>
        <w:numPr>
          <w:ilvl w:val="0"/>
          <w:numId w:val="0"/>
        </w:numPr>
        <w:tabs>
          <w:tab w:val="left" w:pos="0"/>
        </w:tabs>
        <w:bidi w:val="0"/>
        <w:ind w:left="-9" w:leftChars="0"/>
        <w:rPr>
          <w:rFonts w:hint="eastAsia"/>
          <w:color w:val="auto"/>
          <w:highlight w:val="none"/>
          <w:lang w:val="en-US" w:eastAsia="zh-CN"/>
        </w:rPr>
      </w:pPr>
    </w:p>
    <w:p w14:paraId="7217F2D7">
      <w:pPr>
        <w:numPr>
          <w:ilvl w:val="0"/>
          <w:numId w:val="0"/>
        </w:numPr>
        <w:tabs>
          <w:tab w:val="left" w:pos="0"/>
        </w:tabs>
        <w:bidi w:val="0"/>
        <w:ind w:left="-9" w:leftChars="0"/>
        <w:rPr>
          <w:rFonts w:hint="eastAsia"/>
          <w:color w:val="auto"/>
          <w:highlight w:val="none"/>
          <w:lang w:val="en-US" w:eastAsia="zh-CN"/>
        </w:rPr>
      </w:pPr>
    </w:p>
    <w:p w14:paraId="139BE807">
      <w:pPr>
        <w:numPr>
          <w:ilvl w:val="0"/>
          <w:numId w:val="0"/>
        </w:numPr>
        <w:tabs>
          <w:tab w:val="left" w:pos="0"/>
        </w:tabs>
        <w:bidi w:val="0"/>
        <w:ind w:left="-9" w:leftChars="0"/>
        <w:rPr>
          <w:rFonts w:hint="eastAsia"/>
          <w:color w:val="auto"/>
          <w:highlight w:val="none"/>
          <w:lang w:val="en-US" w:eastAsia="zh-CN"/>
        </w:rPr>
      </w:pPr>
    </w:p>
    <w:p w14:paraId="4717FE93">
      <w:pPr>
        <w:numPr>
          <w:ilvl w:val="0"/>
          <w:numId w:val="0"/>
        </w:numPr>
        <w:tabs>
          <w:tab w:val="left" w:pos="0"/>
        </w:tabs>
        <w:bidi w:val="0"/>
        <w:ind w:left="-9" w:leftChars="0"/>
        <w:rPr>
          <w:rFonts w:hint="default"/>
          <w:color w:val="auto"/>
          <w:highlight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6E2B919F">
      <w:pPr>
        <w:numPr>
          <w:ilvl w:val="0"/>
          <w:numId w:val="0"/>
        </w:numPr>
        <w:tabs>
          <w:tab w:val="left" w:pos="0"/>
        </w:tabs>
        <w:bidi w:val="0"/>
        <w:ind w:left="-9" w:leftChars="0"/>
        <w:rPr>
          <w:rFonts w:hint="default"/>
          <w:color w:val="auto"/>
          <w:highlight w:val="none"/>
          <w:lang w:val="en-US" w:eastAsia="zh-CN"/>
        </w:rPr>
      </w:pPr>
    </w:p>
    <w:p w14:paraId="4AF21302">
      <w:pPr>
        <w:numPr>
          <w:ilvl w:val="0"/>
          <w:numId w:val="0"/>
        </w:numPr>
        <w:tabs>
          <w:tab w:val="left" w:pos="0"/>
        </w:tabs>
        <w:bidi w:val="0"/>
        <w:ind w:left="-9" w:leftChars="0"/>
        <w:rPr>
          <w:rFonts w:hint="default"/>
          <w:color w:val="auto"/>
          <w:highlight w:val="none"/>
          <w:lang w:val="en-US" w:eastAsia="zh-CN"/>
        </w:rPr>
      </w:pPr>
    </w:p>
    <w:p w14:paraId="616FA288">
      <w:pPr>
        <w:jc w:val="center"/>
        <w:outlineLvl w:val="0"/>
        <w:rPr>
          <w:rFonts w:eastAsia="黑体"/>
          <w:color w:val="auto"/>
          <w:sz w:val="36"/>
          <w:szCs w:val="22"/>
          <w:highlight w:val="none"/>
        </w:rPr>
      </w:pPr>
      <w:bookmarkStart w:id="137" w:name="_Toc27608"/>
      <w:bookmarkStart w:id="138" w:name="_Toc22795"/>
      <w:bookmarkStart w:id="139" w:name="_Toc17019"/>
      <w:r>
        <w:rPr>
          <w:rFonts w:eastAsia="黑体"/>
          <w:color w:val="auto"/>
          <w:sz w:val="36"/>
          <w:szCs w:val="22"/>
          <w:highlight w:val="none"/>
        </w:rPr>
        <w:t>四川省工程建设地方标准</w:t>
      </w:r>
      <w:bookmarkEnd w:id="137"/>
      <w:bookmarkEnd w:id="138"/>
      <w:bookmarkEnd w:id="139"/>
    </w:p>
    <w:p w14:paraId="18068400">
      <w:pPr>
        <w:rPr>
          <w:rFonts w:hint="eastAsia"/>
          <w:b/>
          <w:bCs/>
          <w:color w:val="auto"/>
          <w:sz w:val="21"/>
          <w:szCs w:val="21"/>
          <w:highlight w:val="none"/>
          <w:lang w:val="en-US" w:eastAsia="zh-CN"/>
        </w:rPr>
      </w:pPr>
    </w:p>
    <w:p w14:paraId="58BECFD4">
      <w:pPr>
        <w:rPr>
          <w:rFonts w:hint="eastAsia"/>
          <w:b/>
          <w:bCs/>
          <w:color w:val="auto"/>
          <w:sz w:val="21"/>
          <w:szCs w:val="21"/>
          <w:highlight w:val="none"/>
          <w:lang w:val="en-US" w:eastAsia="zh-CN"/>
        </w:rPr>
      </w:pPr>
    </w:p>
    <w:p w14:paraId="308872A9">
      <w:pPr>
        <w:jc w:val="center"/>
        <w:rPr>
          <w:rFonts w:hint="eastAsia" w:ascii="Times New Roman" w:hAnsi="Times New Roman" w:eastAsia="黑体" w:cs="Times New Roman"/>
          <w:color w:val="auto"/>
          <w:sz w:val="40"/>
          <w:szCs w:val="44"/>
          <w:highlight w:val="none"/>
          <w:lang w:val="en-US" w:eastAsia="zh-CN"/>
        </w:rPr>
      </w:pPr>
      <w:r>
        <w:rPr>
          <w:rFonts w:hint="eastAsia" w:ascii="Times New Roman" w:hAnsi="Times New Roman" w:eastAsia="黑体" w:cs="Times New Roman"/>
          <w:color w:val="auto"/>
          <w:sz w:val="40"/>
          <w:szCs w:val="44"/>
          <w:highlight w:val="none"/>
          <w:lang w:val="en-US" w:eastAsia="zh-CN"/>
        </w:rPr>
        <w:t>四川省</w:t>
      </w:r>
      <w:r>
        <w:rPr>
          <w:rFonts w:hint="eastAsia" w:ascii="Times New Roman" w:hAnsi="Times New Roman" w:eastAsia="黑体" w:cs="Times New Roman"/>
          <w:color w:val="auto"/>
          <w:sz w:val="40"/>
          <w:szCs w:val="44"/>
          <w:highlight w:val="none"/>
          <w:lang w:val="en-US" w:eastAsia="zh"/>
        </w:rPr>
        <w:t>老年人照料设施</w:t>
      </w:r>
      <w:r>
        <w:rPr>
          <w:rFonts w:hint="eastAsia" w:ascii="Times New Roman" w:hAnsi="Times New Roman" w:eastAsia="黑体" w:cs="Times New Roman"/>
          <w:color w:val="auto"/>
          <w:sz w:val="40"/>
          <w:szCs w:val="44"/>
          <w:highlight w:val="none"/>
          <w:lang w:val="en-US" w:eastAsia="zh-CN"/>
        </w:rPr>
        <w:t xml:space="preserve">设计标准 </w:t>
      </w:r>
    </w:p>
    <w:p w14:paraId="6F2CE085">
      <w:pPr>
        <w:rPr>
          <w:rFonts w:hint="eastAsia"/>
          <w:b/>
          <w:bCs/>
          <w:color w:val="auto"/>
          <w:sz w:val="21"/>
          <w:szCs w:val="21"/>
          <w:highlight w:val="none"/>
          <w:lang w:val="en-US" w:eastAsia="zh-CN"/>
        </w:rPr>
      </w:pPr>
    </w:p>
    <w:p w14:paraId="3099E38F">
      <w:pPr>
        <w:jc w:val="center"/>
        <w:rPr>
          <w:rFonts w:hint="eastAsia" w:ascii="Times New Roman" w:hAnsi="Times New Roman" w:eastAsia="宋体" w:cs="Times New Roman"/>
          <w:color w:val="auto"/>
          <w:sz w:val="32"/>
          <w:highlight w:val="none"/>
          <w:lang w:val="en-US" w:eastAsia="zh"/>
          <w:woUserID w:val="1"/>
        </w:rPr>
      </w:pPr>
      <w:r>
        <w:rPr>
          <w:rFonts w:hint="eastAsia" w:ascii="Times New Roman" w:hAnsi="Times New Roman" w:eastAsia="宋体" w:cs="Times New Roman"/>
          <w:color w:val="auto"/>
          <w:sz w:val="32"/>
          <w:highlight w:val="none"/>
          <w:lang w:val="en-US" w:eastAsia="zh-CN"/>
        </w:rPr>
        <w:t>Standard</w:t>
      </w:r>
      <w:r>
        <w:rPr>
          <w:rFonts w:hint="eastAsia" w:ascii="Times New Roman" w:hAnsi="Times New Roman" w:eastAsia="宋体" w:cs="Times New Roman"/>
          <w:color w:val="auto"/>
          <w:sz w:val="32"/>
          <w:highlight w:val="none"/>
          <w:lang w:val="en-US" w:eastAsia="zh-CN"/>
          <w:woUserID w:val="1"/>
        </w:rPr>
        <w:t xml:space="preserve"> for design of </w:t>
      </w:r>
      <w:r>
        <w:rPr>
          <w:rFonts w:hint="eastAsia" w:ascii="Times New Roman" w:hAnsi="Times New Roman" w:eastAsia="宋体" w:cs="Times New Roman"/>
          <w:color w:val="auto"/>
          <w:sz w:val="32"/>
          <w:highlight w:val="none"/>
          <w:lang w:val="en-US" w:eastAsia="zh"/>
          <w:woUserID w:val="1"/>
        </w:rPr>
        <w:t>care facilities for the aged in Sichuan Province</w:t>
      </w:r>
    </w:p>
    <w:p w14:paraId="70A4C2F1">
      <w:pPr>
        <w:jc w:val="center"/>
        <w:rPr>
          <w:rFonts w:hint="default" w:ascii="Times New Roman" w:hAnsi="Times New Roman" w:eastAsia="宋体" w:cs="Times New Roman"/>
          <w:color w:val="auto"/>
          <w:sz w:val="32"/>
          <w:highlight w:val="none"/>
          <w:lang w:val="en-US" w:eastAsia="zh-CN"/>
          <w:woUserID w:val="1"/>
        </w:rPr>
      </w:pPr>
    </w:p>
    <w:p w14:paraId="4F8F814B">
      <w:pPr>
        <w:rPr>
          <w:color w:val="auto"/>
          <w:highlight w:val="none"/>
        </w:rPr>
      </w:pPr>
    </w:p>
    <w:p w14:paraId="5F911871">
      <w:pPr>
        <w:jc w:val="center"/>
        <w:rPr>
          <w:rFonts w:hint="default" w:eastAsiaTheme="minorEastAsia"/>
          <w:b/>
          <w:bCs/>
          <w:color w:val="auto"/>
          <w:sz w:val="28"/>
          <w:szCs w:val="36"/>
          <w:highlight w:val="none"/>
          <w:lang w:val="en-US" w:eastAsia="zh-CN"/>
        </w:rPr>
      </w:pPr>
      <w:r>
        <w:rPr>
          <w:rFonts w:hint="eastAsia"/>
          <w:b/>
          <w:bCs/>
          <w:color w:val="auto"/>
          <w:sz w:val="28"/>
          <w:szCs w:val="36"/>
          <w:highlight w:val="none"/>
          <w:lang w:val="en-US" w:eastAsia="zh-CN"/>
        </w:rPr>
        <w:t>XXXXX-202</w:t>
      </w:r>
      <w:r>
        <w:rPr>
          <w:rFonts w:hint="eastAsia"/>
          <w:b/>
          <w:bCs/>
          <w:color w:val="auto"/>
          <w:sz w:val="28"/>
          <w:szCs w:val="36"/>
          <w:highlight w:val="none"/>
          <w:lang w:val="en-US" w:eastAsia="zh"/>
          <w:woUserID w:val="1"/>
        </w:rPr>
        <w:t>5</w:t>
      </w:r>
    </w:p>
    <w:p w14:paraId="414FAE02">
      <w:pPr>
        <w:rPr>
          <w:color w:val="auto"/>
          <w:highlight w:val="none"/>
        </w:rPr>
      </w:pPr>
    </w:p>
    <w:p w14:paraId="1DE3BC00">
      <w:pPr>
        <w:rPr>
          <w:color w:val="auto"/>
          <w:highlight w:val="none"/>
        </w:rPr>
      </w:pPr>
    </w:p>
    <w:p w14:paraId="795FDFFF">
      <w:pPr>
        <w:rPr>
          <w:color w:val="auto"/>
          <w:highlight w:val="none"/>
        </w:rPr>
      </w:pPr>
    </w:p>
    <w:p w14:paraId="1A4E417A">
      <w:pPr>
        <w:rPr>
          <w:color w:val="auto"/>
          <w:highlight w:val="none"/>
        </w:rPr>
      </w:pPr>
    </w:p>
    <w:p w14:paraId="75E3590E">
      <w:pPr>
        <w:numPr>
          <w:ilvl w:val="0"/>
          <w:numId w:val="0"/>
        </w:numPr>
        <w:jc w:val="center"/>
        <w:rPr>
          <w:rFonts w:hint="eastAsia"/>
          <w:color w:val="auto"/>
          <w:sz w:val="22"/>
          <w:szCs w:val="28"/>
          <w:highlight w:val="none"/>
          <w:lang w:val="en-US" w:eastAsia="zh-CN"/>
        </w:rPr>
      </w:pPr>
      <w:r>
        <w:rPr>
          <w:rFonts w:hint="eastAsia"/>
          <w:color w:val="auto"/>
          <w:sz w:val="22"/>
          <w:szCs w:val="28"/>
          <w:highlight w:val="none"/>
          <w:lang w:val="en-US" w:eastAsia="zh-CN"/>
        </w:rPr>
        <w:t>条  文  说  明</w:t>
      </w:r>
    </w:p>
    <w:p w14:paraId="50FBAF4D">
      <w:pPr>
        <w:numPr>
          <w:ilvl w:val="0"/>
          <w:numId w:val="0"/>
        </w:numPr>
        <w:jc w:val="center"/>
        <w:rPr>
          <w:rFonts w:hint="eastAsia"/>
          <w:color w:val="auto"/>
          <w:sz w:val="22"/>
          <w:szCs w:val="28"/>
          <w:highlight w:val="none"/>
          <w:lang w:val="en-US" w:eastAsia="zh-CN"/>
        </w:rPr>
      </w:pPr>
    </w:p>
    <w:p w14:paraId="4F215D38">
      <w:pPr>
        <w:numPr>
          <w:ilvl w:val="0"/>
          <w:numId w:val="0"/>
        </w:numPr>
        <w:jc w:val="center"/>
        <w:rPr>
          <w:rFonts w:hint="eastAsia"/>
          <w:color w:val="auto"/>
          <w:sz w:val="22"/>
          <w:szCs w:val="28"/>
          <w:highlight w:val="none"/>
          <w:lang w:val="en-US" w:eastAsia="zh-CN"/>
        </w:rPr>
      </w:pPr>
    </w:p>
    <w:p w14:paraId="3DF5F255">
      <w:pPr>
        <w:numPr>
          <w:ilvl w:val="0"/>
          <w:numId w:val="0"/>
        </w:numPr>
        <w:jc w:val="center"/>
        <w:rPr>
          <w:rFonts w:hint="eastAsia"/>
          <w:color w:val="auto"/>
          <w:sz w:val="22"/>
          <w:szCs w:val="28"/>
          <w:highlight w:val="none"/>
          <w:lang w:val="en-US" w:eastAsia="zh-CN"/>
        </w:rPr>
      </w:pPr>
    </w:p>
    <w:p w14:paraId="037DF3C4">
      <w:pPr>
        <w:numPr>
          <w:ilvl w:val="0"/>
          <w:numId w:val="0"/>
        </w:numPr>
        <w:jc w:val="center"/>
        <w:rPr>
          <w:rFonts w:hint="eastAsia"/>
          <w:color w:val="auto"/>
          <w:sz w:val="22"/>
          <w:szCs w:val="28"/>
          <w:highlight w:val="none"/>
          <w:lang w:val="en-US" w:eastAsia="zh-CN"/>
        </w:rPr>
      </w:pPr>
    </w:p>
    <w:p w14:paraId="34EAE625">
      <w:pPr>
        <w:numPr>
          <w:ilvl w:val="0"/>
          <w:numId w:val="0"/>
        </w:numPr>
        <w:jc w:val="center"/>
        <w:rPr>
          <w:rFonts w:hint="eastAsia"/>
          <w:color w:val="auto"/>
          <w:sz w:val="22"/>
          <w:szCs w:val="28"/>
          <w:highlight w:val="none"/>
          <w:lang w:val="en-US" w:eastAsia="zh-CN"/>
        </w:rPr>
      </w:pPr>
    </w:p>
    <w:p w14:paraId="253254F7">
      <w:pPr>
        <w:numPr>
          <w:ilvl w:val="0"/>
          <w:numId w:val="0"/>
        </w:numPr>
        <w:jc w:val="center"/>
        <w:rPr>
          <w:rFonts w:hint="eastAsia"/>
          <w:color w:val="auto"/>
          <w:sz w:val="22"/>
          <w:szCs w:val="28"/>
          <w:highlight w:val="none"/>
          <w:lang w:val="en-US" w:eastAsia="zh-CN"/>
        </w:rPr>
      </w:pPr>
    </w:p>
    <w:p w14:paraId="5CBF7D9E">
      <w:pPr>
        <w:numPr>
          <w:ilvl w:val="0"/>
          <w:numId w:val="0"/>
        </w:numPr>
        <w:jc w:val="center"/>
        <w:rPr>
          <w:rFonts w:hint="eastAsia"/>
          <w:color w:val="auto"/>
          <w:sz w:val="22"/>
          <w:szCs w:val="28"/>
          <w:highlight w:val="none"/>
          <w:lang w:val="en-US" w:eastAsia="zh-CN"/>
        </w:rPr>
      </w:pPr>
    </w:p>
    <w:p w14:paraId="791580B2">
      <w:pPr>
        <w:numPr>
          <w:ilvl w:val="0"/>
          <w:numId w:val="0"/>
        </w:numPr>
        <w:jc w:val="center"/>
        <w:rPr>
          <w:rFonts w:hint="eastAsia"/>
          <w:color w:val="auto"/>
          <w:sz w:val="22"/>
          <w:szCs w:val="28"/>
          <w:highlight w:val="none"/>
          <w:lang w:val="en-US" w:eastAsia="zh-CN"/>
        </w:rPr>
      </w:pPr>
    </w:p>
    <w:p w14:paraId="036AE9D5">
      <w:pPr>
        <w:numPr>
          <w:ilvl w:val="0"/>
          <w:numId w:val="0"/>
        </w:numPr>
        <w:jc w:val="center"/>
        <w:rPr>
          <w:rFonts w:hint="eastAsia"/>
          <w:color w:val="auto"/>
          <w:sz w:val="22"/>
          <w:szCs w:val="28"/>
          <w:highlight w:val="none"/>
          <w:lang w:val="en-US" w:eastAsia="zh-CN"/>
        </w:rPr>
      </w:pPr>
    </w:p>
    <w:p w14:paraId="235609D8">
      <w:pPr>
        <w:numPr>
          <w:ilvl w:val="0"/>
          <w:numId w:val="0"/>
        </w:numPr>
        <w:jc w:val="center"/>
        <w:rPr>
          <w:rFonts w:hint="eastAsia"/>
          <w:color w:val="auto"/>
          <w:sz w:val="22"/>
          <w:szCs w:val="28"/>
          <w:highlight w:val="none"/>
          <w:lang w:val="en-US" w:eastAsia="zh-CN"/>
        </w:rPr>
      </w:pPr>
    </w:p>
    <w:p w14:paraId="5B836049">
      <w:pPr>
        <w:numPr>
          <w:ilvl w:val="0"/>
          <w:numId w:val="0"/>
        </w:numPr>
        <w:jc w:val="center"/>
        <w:rPr>
          <w:rFonts w:hint="eastAsia"/>
          <w:color w:val="auto"/>
          <w:sz w:val="22"/>
          <w:szCs w:val="28"/>
          <w:highlight w:val="none"/>
          <w:lang w:val="en-US" w:eastAsia="zh-CN"/>
        </w:rPr>
      </w:pPr>
    </w:p>
    <w:p w14:paraId="04976A34">
      <w:pPr>
        <w:numPr>
          <w:ilvl w:val="0"/>
          <w:numId w:val="0"/>
        </w:numPr>
        <w:jc w:val="center"/>
        <w:rPr>
          <w:rFonts w:hint="eastAsia"/>
          <w:color w:val="auto"/>
          <w:sz w:val="22"/>
          <w:szCs w:val="28"/>
          <w:highlight w:val="none"/>
          <w:lang w:val="en-US" w:eastAsia="zh-CN"/>
        </w:rPr>
      </w:pPr>
    </w:p>
    <w:p w14:paraId="70FC7F46">
      <w:pPr>
        <w:numPr>
          <w:ilvl w:val="0"/>
          <w:numId w:val="0"/>
        </w:numPr>
        <w:jc w:val="center"/>
        <w:rPr>
          <w:rFonts w:hint="eastAsia"/>
          <w:color w:val="auto"/>
          <w:sz w:val="22"/>
          <w:szCs w:val="28"/>
          <w:highlight w:val="none"/>
          <w:lang w:val="en-US" w:eastAsia="zh-CN"/>
        </w:rPr>
      </w:pPr>
    </w:p>
    <w:p w14:paraId="1C4A72E9">
      <w:pPr>
        <w:numPr>
          <w:ilvl w:val="0"/>
          <w:numId w:val="0"/>
        </w:numPr>
        <w:jc w:val="center"/>
        <w:rPr>
          <w:rFonts w:hint="eastAsia"/>
          <w:color w:val="auto"/>
          <w:sz w:val="22"/>
          <w:szCs w:val="28"/>
          <w:highlight w:val="none"/>
          <w:lang w:val="en-US" w:eastAsia="zh-CN"/>
        </w:rPr>
      </w:pPr>
    </w:p>
    <w:p w14:paraId="09AC9B0B">
      <w:pPr>
        <w:numPr>
          <w:ilvl w:val="0"/>
          <w:numId w:val="0"/>
        </w:numPr>
        <w:jc w:val="center"/>
        <w:rPr>
          <w:rFonts w:hint="eastAsia"/>
          <w:color w:val="auto"/>
          <w:sz w:val="22"/>
          <w:szCs w:val="28"/>
          <w:highlight w:val="none"/>
          <w:lang w:val="en-US" w:eastAsia="zh-CN"/>
        </w:rPr>
      </w:pPr>
    </w:p>
    <w:p w14:paraId="1A9EFC30">
      <w:pPr>
        <w:numPr>
          <w:ilvl w:val="0"/>
          <w:numId w:val="0"/>
        </w:numPr>
        <w:jc w:val="center"/>
        <w:rPr>
          <w:rFonts w:hint="eastAsia"/>
          <w:color w:val="auto"/>
          <w:sz w:val="22"/>
          <w:szCs w:val="28"/>
          <w:highlight w:val="none"/>
          <w:lang w:val="en-US" w:eastAsia="zh-CN"/>
        </w:rPr>
      </w:pPr>
    </w:p>
    <w:p w14:paraId="711E38A6">
      <w:pPr>
        <w:numPr>
          <w:ilvl w:val="0"/>
          <w:numId w:val="0"/>
        </w:numPr>
        <w:jc w:val="center"/>
        <w:rPr>
          <w:rFonts w:hint="eastAsia"/>
          <w:color w:val="auto"/>
          <w:sz w:val="22"/>
          <w:szCs w:val="28"/>
          <w:highlight w:val="none"/>
          <w:lang w:val="en-US" w:eastAsia="zh-CN"/>
        </w:rPr>
      </w:pPr>
    </w:p>
    <w:p w14:paraId="76EA570F">
      <w:pPr>
        <w:numPr>
          <w:ilvl w:val="0"/>
          <w:numId w:val="0"/>
        </w:numPr>
        <w:jc w:val="center"/>
        <w:rPr>
          <w:rFonts w:hint="eastAsia"/>
          <w:color w:val="auto"/>
          <w:sz w:val="22"/>
          <w:szCs w:val="28"/>
          <w:highlight w:val="none"/>
          <w:lang w:val="en-US" w:eastAsia="zh-CN"/>
        </w:rPr>
      </w:pPr>
    </w:p>
    <w:p w14:paraId="0F1EBA35">
      <w:pPr>
        <w:numPr>
          <w:ilvl w:val="0"/>
          <w:numId w:val="0"/>
        </w:numPr>
        <w:jc w:val="center"/>
        <w:rPr>
          <w:rFonts w:hint="eastAsia"/>
          <w:color w:val="auto"/>
          <w:sz w:val="22"/>
          <w:szCs w:val="28"/>
          <w:highlight w:val="none"/>
          <w:lang w:val="en-US" w:eastAsia="zh-CN"/>
        </w:rPr>
      </w:pPr>
    </w:p>
    <w:p w14:paraId="175C5536">
      <w:pPr>
        <w:numPr>
          <w:ilvl w:val="0"/>
          <w:numId w:val="0"/>
        </w:numPr>
        <w:jc w:val="center"/>
        <w:rPr>
          <w:rFonts w:hint="eastAsia"/>
          <w:color w:val="auto"/>
          <w:sz w:val="22"/>
          <w:szCs w:val="28"/>
          <w:highlight w:val="none"/>
          <w:lang w:val="en-US" w:eastAsia="zh-CN"/>
        </w:rPr>
      </w:pPr>
    </w:p>
    <w:p w14:paraId="46C61DC5">
      <w:pPr>
        <w:numPr>
          <w:ilvl w:val="0"/>
          <w:numId w:val="0"/>
        </w:numPr>
        <w:jc w:val="center"/>
        <w:rPr>
          <w:rFonts w:hint="eastAsia"/>
          <w:color w:val="auto"/>
          <w:sz w:val="22"/>
          <w:szCs w:val="28"/>
          <w:highlight w:val="none"/>
          <w:lang w:val="en-US" w:eastAsia="zh-CN"/>
        </w:rPr>
      </w:pPr>
    </w:p>
    <w:p w14:paraId="52F4DA2D">
      <w:pPr>
        <w:numPr>
          <w:ilvl w:val="0"/>
          <w:numId w:val="0"/>
        </w:numPr>
        <w:jc w:val="center"/>
        <w:rPr>
          <w:rFonts w:hint="eastAsia"/>
          <w:color w:val="auto"/>
          <w:sz w:val="22"/>
          <w:szCs w:val="28"/>
          <w:highlight w:val="none"/>
          <w:lang w:val="en-US" w:eastAsia="zh-CN"/>
        </w:rPr>
      </w:pPr>
    </w:p>
    <w:p w14:paraId="26A09320">
      <w:pPr>
        <w:numPr>
          <w:ilvl w:val="0"/>
          <w:numId w:val="0"/>
        </w:numPr>
        <w:jc w:val="center"/>
        <w:rPr>
          <w:rFonts w:hint="eastAsia"/>
          <w:color w:val="auto"/>
          <w:sz w:val="22"/>
          <w:szCs w:val="28"/>
          <w:highlight w:val="none"/>
          <w:lang w:val="en-US" w:eastAsia="zh-CN"/>
        </w:rPr>
      </w:pPr>
    </w:p>
    <w:p w14:paraId="52D82D9E">
      <w:pPr>
        <w:numPr>
          <w:ilvl w:val="0"/>
          <w:numId w:val="0"/>
        </w:numPr>
        <w:jc w:val="center"/>
        <w:rPr>
          <w:rFonts w:hint="eastAsia"/>
          <w:color w:val="auto"/>
          <w:sz w:val="22"/>
          <w:szCs w:val="28"/>
          <w:highlight w:val="none"/>
          <w:lang w:val="en-US" w:eastAsia="zh-CN"/>
        </w:rPr>
      </w:pPr>
    </w:p>
    <w:p w14:paraId="39E133A1">
      <w:pPr>
        <w:numPr>
          <w:ilvl w:val="0"/>
          <w:numId w:val="0"/>
        </w:numPr>
        <w:jc w:val="center"/>
        <w:rPr>
          <w:rFonts w:hint="eastAsia"/>
          <w:color w:val="auto"/>
          <w:sz w:val="22"/>
          <w:szCs w:val="28"/>
          <w:highlight w:val="none"/>
          <w:lang w:val="en-US" w:eastAsia="zh-CN"/>
        </w:rPr>
      </w:pPr>
    </w:p>
    <w:p w14:paraId="3E450CCD">
      <w:pPr>
        <w:numPr>
          <w:ilvl w:val="0"/>
          <w:numId w:val="0"/>
        </w:numPr>
        <w:jc w:val="center"/>
        <w:rPr>
          <w:rFonts w:hint="eastAsia"/>
          <w:color w:val="auto"/>
          <w:sz w:val="22"/>
          <w:szCs w:val="28"/>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6AD89F7A">
      <w:pPr>
        <w:numPr>
          <w:ilvl w:val="0"/>
          <w:numId w:val="0"/>
        </w:numPr>
        <w:jc w:val="center"/>
        <w:rPr>
          <w:rFonts w:hint="eastAsia"/>
          <w:color w:val="auto"/>
          <w:sz w:val="22"/>
          <w:szCs w:val="28"/>
          <w:highlight w:val="none"/>
          <w:lang w:val="en-US" w:eastAsia="zh-CN"/>
        </w:rPr>
      </w:pPr>
    </w:p>
    <w:p w14:paraId="0612F2A6">
      <w:pPr>
        <w:numPr>
          <w:ilvl w:val="0"/>
          <w:numId w:val="0"/>
        </w:numPr>
        <w:jc w:val="center"/>
        <w:rPr>
          <w:rFonts w:hint="eastAsia"/>
          <w:color w:val="auto"/>
          <w:sz w:val="22"/>
          <w:szCs w:val="28"/>
          <w:highlight w:val="none"/>
          <w:lang w:val="en-US" w:eastAsia="zh-CN"/>
        </w:rPr>
      </w:pPr>
    </w:p>
    <w:p w14:paraId="3CC2DD93">
      <w:pPr>
        <w:numPr>
          <w:ilvl w:val="0"/>
          <w:numId w:val="0"/>
        </w:numPr>
        <w:jc w:val="center"/>
        <w:rPr>
          <w:rFonts w:hint="eastAsia" w:eastAsia="黑体"/>
          <w:color w:val="auto"/>
          <w:highlight w:val="none"/>
          <w:lang w:val="en-US" w:eastAsia="zh-CN"/>
        </w:rPr>
      </w:pPr>
      <w:r>
        <w:rPr>
          <w:rFonts w:hint="eastAsia" w:eastAsia="黑体"/>
          <w:b/>
          <w:color w:val="auto"/>
          <w:sz w:val="32"/>
          <w:szCs w:val="32"/>
          <w:highlight w:val="none"/>
        </w:rPr>
        <w:t xml:space="preserve">目   </w:t>
      </w:r>
      <w:r>
        <w:rPr>
          <w:rFonts w:hint="eastAsia" w:eastAsia="黑体"/>
          <w:b/>
          <w:color w:val="auto"/>
          <w:sz w:val="32"/>
          <w:szCs w:val="32"/>
          <w:highlight w:val="none"/>
          <w:lang w:val="en-US" w:eastAsia="zh-CN"/>
        </w:rPr>
        <w:t>次</w:t>
      </w:r>
    </w:p>
    <w:p w14:paraId="31CE9884">
      <w:pPr>
        <w:numPr>
          <w:ilvl w:val="0"/>
          <w:numId w:val="0"/>
        </w:numPr>
        <w:jc w:val="center"/>
        <w:rPr>
          <w:rFonts w:hint="default"/>
          <w:color w:val="auto"/>
          <w:sz w:val="22"/>
          <w:szCs w:val="28"/>
          <w:highlight w:val="none"/>
          <w:lang w:val="en-US" w:eastAsia="zh-CN"/>
        </w:rPr>
      </w:pPr>
    </w:p>
    <w:sdt>
      <w:sdtPr>
        <w:rPr>
          <w:rFonts w:ascii="宋体" w:hAnsi="宋体" w:eastAsia="宋体" w:cstheme="minorBidi"/>
          <w:color w:val="auto"/>
          <w:kern w:val="2"/>
          <w:sz w:val="21"/>
          <w:szCs w:val="24"/>
          <w:highlight w:val="none"/>
          <w:lang w:val="en-US" w:eastAsia="zh-CN" w:bidi="ar-SA"/>
        </w:rPr>
        <w:id w:val="147470881"/>
        <w15:color w:val="DBDBDB"/>
        <w:docPartObj>
          <w:docPartGallery w:val="Table of Contents"/>
          <w:docPartUnique/>
        </w:docPartObj>
      </w:sdtPr>
      <w:sdtEndPr>
        <w:rPr>
          <w:rFonts w:hint="default" w:asciiTheme="minorHAnsi" w:hAnsiTheme="minorHAnsi" w:eastAsiaTheme="minorEastAsia" w:cstheme="minorBidi"/>
          <w:b/>
          <w:color w:val="auto"/>
          <w:kern w:val="2"/>
          <w:sz w:val="21"/>
          <w:szCs w:val="28"/>
          <w:highlight w:val="none"/>
          <w:lang w:val="en-US" w:eastAsia="zh-CN" w:bidi="ar-SA"/>
        </w:rPr>
      </w:sdtEndPr>
      <w:sdtContent>
        <w:p w14:paraId="6146025E">
          <w:pPr>
            <w:spacing w:before="0" w:beforeLines="0" w:after="0" w:afterLines="0" w:line="240" w:lineRule="auto"/>
            <w:ind w:left="0" w:leftChars="0" w:right="0" w:rightChars="0" w:firstLine="0" w:firstLineChars="0"/>
            <w:jc w:val="center"/>
            <w:rPr>
              <w:b/>
              <w:color w:val="auto"/>
              <w:highlight w:val="none"/>
            </w:rPr>
          </w:pPr>
          <w:r>
            <w:rPr>
              <w:rFonts w:hint="default"/>
              <w:color w:val="auto"/>
              <w:sz w:val="22"/>
              <w:szCs w:val="28"/>
              <w:highlight w:val="none"/>
              <w:lang w:val="en-US" w:eastAsia="zh-CN"/>
            </w:rPr>
            <w:fldChar w:fldCharType="begin"/>
          </w:r>
          <w:r>
            <w:rPr>
              <w:rFonts w:hint="default"/>
              <w:color w:val="auto"/>
              <w:sz w:val="22"/>
              <w:szCs w:val="28"/>
              <w:highlight w:val="none"/>
              <w:lang w:val="en-US" w:eastAsia="zh-CN"/>
            </w:rPr>
            <w:instrText xml:space="preserve">TOC \o "1-2" \h \u </w:instrText>
          </w:r>
          <w:r>
            <w:rPr>
              <w:rFonts w:hint="default"/>
              <w:color w:val="auto"/>
              <w:sz w:val="22"/>
              <w:szCs w:val="28"/>
              <w:highlight w:val="none"/>
              <w:lang w:val="en-US" w:eastAsia="zh-CN"/>
            </w:rPr>
            <w:fldChar w:fldCharType="separate"/>
          </w:r>
        </w:p>
        <w:p w14:paraId="2E52D8D8">
          <w:pPr>
            <w:pStyle w:val="28"/>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_Toc18336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highlight w:val="none"/>
              <w:lang w:val="en-US" w:eastAsia="zh-CN"/>
            </w:rPr>
            <w:t>1 总  则</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_Toc18336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18</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40428C76">
          <w:pPr>
            <w:pStyle w:val="28"/>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_Toc22671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highlight w:val="none"/>
              <w:lang w:val="en-US" w:eastAsia="zh-CN"/>
            </w:rPr>
            <w:t>3 基本规定</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_Toc22671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18</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072FB863">
          <w:pPr>
            <w:pStyle w:val="28"/>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_Toc23448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highlight w:val="none"/>
            </w:rPr>
            <w:t>4 总 平 面</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_Toc23448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19</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4B2A48CB">
          <w:pPr>
            <w:pStyle w:val="28"/>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_Toc2285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highlight w:val="none"/>
              <w:lang w:val="en-US" w:eastAsia="zh-CN"/>
            </w:rPr>
            <w:t>5 建筑设计</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_Toc2285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19</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448C4D3D">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_Toc5583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5.1 用房设置</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_Toc5583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19</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7F6C7114">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_Toc18426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5.2 生活用房</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_Toc18426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20</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35A76CCA">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_Toc8371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 xml:space="preserve">5.3 </w:t>
          </w:r>
          <w:r>
            <w:rPr>
              <w:rFonts w:hint="eastAsia" w:asciiTheme="minorEastAsia" w:hAnsiTheme="minorEastAsia" w:eastAsiaTheme="minorEastAsia" w:cstheme="minorEastAsia"/>
              <w:b w:val="0"/>
              <w:bCs/>
              <w:color w:val="auto"/>
              <w:szCs w:val="40"/>
              <w:highlight w:val="none"/>
              <w:lang w:val="en-US" w:eastAsia="zh"/>
              <w:woUserID w:val="1"/>
            </w:rPr>
            <w:t>康复与医疗</w:t>
          </w:r>
          <w:r>
            <w:rPr>
              <w:rFonts w:hint="eastAsia" w:asciiTheme="minorEastAsia" w:hAnsiTheme="minorEastAsia" w:eastAsiaTheme="minorEastAsia" w:cstheme="minorEastAsia"/>
              <w:b w:val="0"/>
              <w:bCs/>
              <w:color w:val="auto"/>
              <w:szCs w:val="40"/>
              <w:highlight w:val="none"/>
              <w:lang w:val="en-US" w:eastAsia="zh-CN"/>
            </w:rPr>
            <w:t>用房</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_Toc8371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21</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735EDF04">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_Toc7118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 xml:space="preserve">5.4 </w:t>
          </w:r>
          <w:r>
            <w:rPr>
              <w:rFonts w:hint="eastAsia" w:asciiTheme="minorEastAsia" w:hAnsiTheme="minorEastAsia" w:eastAsiaTheme="minorEastAsia" w:cstheme="minorEastAsia"/>
              <w:b w:val="0"/>
              <w:bCs/>
              <w:color w:val="auto"/>
              <w:szCs w:val="40"/>
              <w:highlight w:val="none"/>
              <w:lang w:val="en-US" w:eastAsia="zh"/>
              <w:woUserID w:val="1"/>
            </w:rPr>
            <w:t>文娱与健身</w:t>
          </w:r>
          <w:r>
            <w:rPr>
              <w:rFonts w:hint="eastAsia" w:asciiTheme="minorEastAsia" w:hAnsiTheme="minorEastAsia" w:eastAsiaTheme="minorEastAsia" w:cstheme="minorEastAsia"/>
              <w:b w:val="0"/>
              <w:bCs/>
              <w:color w:val="auto"/>
              <w:szCs w:val="40"/>
              <w:highlight w:val="none"/>
              <w:lang w:val="en-US" w:eastAsia="zh-CN"/>
            </w:rPr>
            <w:t>用房</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_Toc7118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21</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000805FF">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_Toc25045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5.5 管理服务用房</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_Toc25045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22</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1A261C2D">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_Toc21544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5.6 安全措施</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_Toc21544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22</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3220EA48">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_Toc12455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5.7 标志标识</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_Toc12455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23</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219AA654">
          <w:pPr>
            <w:pStyle w:val="28"/>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_Toc16054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highlight w:val="none"/>
              <w:lang w:val="en-US" w:eastAsia="zh-CN"/>
            </w:rPr>
            <w:t>6 建筑结构</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_Toc16054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24</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2AF3165B">
          <w:pPr>
            <w:pStyle w:val="28"/>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_Toc12310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highlight w:val="none"/>
              <w:lang w:val="en-US" w:eastAsia="zh-CN"/>
            </w:rPr>
            <w:t>7 建筑设备</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_Toc12310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24</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5C11C123">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_Toc14016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7.1 给水排水</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_Toc14016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24</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01794D27">
          <w:pPr>
            <w:pStyle w:val="29"/>
            <w:tabs>
              <w:tab w:val="right" w:leader="dot" w:pos="8306"/>
            </w:tabs>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_Toc18963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7.2 暖通空调</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_Toc18963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25</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5C90C42B">
          <w:pPr>
            <w:pStyle w:val="29"/>
            <w:tabs>
              <w:tab w:val="right" w:leader="dot" w:pos="8306"/>
            </w:tabs>
            <w:rPr>
              <w:color w:val="auto"/>
              <w:highlight w:val="none"/>
            </w:rPr>
          </w:pPr>
          <w:r>
            <w:rPr>
              <w:rFonts w:hint="eastAsia" w:asciiTheme="minorEastAsia" w:hAnsiTheme="minorEastAsia" w:eastAsiaTheme="minorEastAsia" w:cstheme="minorEastAsia"/>
              <w:b w:val="0"/>
              <w:bCs/>
              <w:color w:val="auto"/>
              <w:szCs w:val="28"/>
              <w:highlight w:val="none"/>
              <w:lang w:val="en-US" w:eastAsia="zh-CN"/>
            </w:rPr>
            <w:fldChar w:fldCharType="begin"/>
          </w:r>
          <w:r>
            <w:rPr>
              <w:rFonts w:hint="eastAsia" w:asciiTheme="minorEastAsia" w:hAnsiTheme="minorEastAsia" w:eastAsiaTheme="minorEastAsia" w:cstheme="minorEastAsia"/>
              <w:b w:val="0"/>
              <w:bCs/>
              <w:color w:val="auto"/>
              <w:szCs w:val="28"/>
              <w:highlight w:val="none"/>
              <w:lang w:val="en-US" w:eastAsia="zh-CN"/>
            </w:rPr>
            <w:instrText xml:space="preserve"> HYPERLINK \l _Toc13079 </w:instrText>
          </w:r>
          <w:r>
            <w:rPr>
              <w:rFonts w:hint="eastAsia" w:asciiTheme="minorEastAsia" w:hAnsiTheme="minorEastAsia" w:eastAsiaTheme="minorEastAsia" w:cstheme="minorEastAsia"/>
              <w:b w:val="0"/>
              <w:bCs/>
              <w:color w:val="auto"/>
              <w:szCs w:val="28"/>
              <w:highlight w:val="none"/>
              <w:lang w:val="en-US" w:eastAsia="zh-CN"/>
            </w:rPr>
            <w:fldChar w:fldCharType="separate"/>
          </w:r>
          <w:r>
            <w:rPr>
              <w:rFonts w:hint="eastAsia" w:asciiTheme="minorEastAsia" w:hAnsiTheme="minorEastAsia" w:eastAsiaTheme="minorEastAsia" w:cstheme="minorEastAsia"/>
              <w:b w:val="0"/>
              <w:bCs/>
              <w:color w:val="auto"/>
              <w:szCs w:val="40"/>
              <w:highlight w:val="none"/>
              <w:lang w:val="en-US" w:eastAsia="zh-CN"/>
            </w:rPr>
            <w:t>7.3 建筑电气</w:t>
          </w:r>
          <w:r>
            <w:rPr>
              <w:rFonts w:hint="eastAsia" w:asciiTheme="minorEastAsia" w:hAnsiTheme="minorEastAsia" w:eastAsiaTheme="minorEastAsia" w:cstheme="minorEastAsia"/>
              <w:b w:val="0"/>
              <w:bCs/>
              <w:color w:val="auto"/>
              <w:highlight w:val="none"/>
            </w:rPr>
            <w:tab/>
          </w:r>
          <w:r>
            <w:rPr>
              <w:rFonts w:hint="eastAsia" w:asciiTheme="minorEastAsia" w:hAnsiTheme="minorEastAsia" w:eastAsiaTheme="minorEastAsia" w:cstheme="minorEastAsia"/>
              <w:b w:val="0"/>
              <w:bCs/>
              <w:color w:val="auto"/>
              <w:highlight w:val="none"/>
            </w:rPr>
            <w:fldChar w:fldCharType="begin"/>
          </w:r>
          <w:r>
            <w:rPr>
              <w:rFonts w:hint="eastAsia" w:asciiTheme="minorEastAsia" w:hAnsiTheme="minorEastAsia" w:eastAsiaTheme="minorEastAsia" w:cstheme="minorEastAsia"/>
              <w:b w:val="0"/>
              <w:bCs/>
              <w:color w:val="auto"/>
              <w:highlight w:val="none"/>
            </w:rPr>
            <w:instrText xml:space="preserve"> PAGEREF _Toc13079 \h </w:instrText>
          </w:r>
          <w:r>
            <w:rPr>
              <w:rFonts w:hint="eastAsia" w:asciiTheme="minorEastAsia" w:hAnsiTheme="minorEastAsia" w:eastAsiaTheme="minorEastAsia" w:cstheme="minorEastAsia"/>
              <w:b w:val="0"/>
              <w:bCs/>
              <w:color w:val="auto"/>
              <w:highlight w:val="none"/>
            </w:rPr>
            <w:fldChar w:fldCharType="separate"/>
          </w:r>
          <w:r>
            <w:rPr>
              <w:rFonts w:hint="eastAsia" w:asciiTheme="minorEastAsia" w:hAnsiTheme="minorEastAsia" w:eastAsiaTheme="minorEastAsia" w:cstheme="minorEastAsia"/>
              <w:b w:val="0"/>
              <w:bCs/>
              <w:color w:val="auto"/>
              <w:highlight w:val="none"/>
            </w:rPr>
            <w:t>26</w:t>
          </w:r>
          <w:r>
            <w:rPr>
              <w:rFonts w:hint="eastAsia" w:asciiTheme="minorEastAsia" w:hAnsiTheme="minorEastAsia" w:eastAsiaTheme="minorEastAsia" w:cstheme="minorEastAsia"/>
              <w:b w:val="0"/>
              <w:bCs/>
              <w:color w:val="auto"/>
              <w:highlight w:val="none"/>
            </w:rPr>
            <w:fldChar w:fldCharType="end"/>
          </w:r>
          <w:r>
            <w:rPr>
              <w:rFonts w:hint="eastAsia" w:asciiTheme="minorEastAsia" w:hAnsiTheme="minorEastAsia" w:eastAsiaTheme="minorEastAsia" w:cstheme="minorEastAsia"/>
              <w:b w:val="0"/>
              <w:bCs/>
              <w:color w:val="auto"/>
              <w:szCs w:val="28"/>
              <w:highlight w:val="none"/>
              <w:lang w:val="en-US" w:eastAsia="zh-CN"/>
            </w:rPr>
            <w:fldChar w:fldCharType="end"/>
          </w:r>
        </w:p>
        <w:p w14:paraId="7A70F705">
          <w:pPr>
            <w:numPr>
              <w:ilvl w:val="0"/>
              <w:numId w:val="0"/>
            </w:numPr>
            <w:jc w:val="center"/>
            <w:rPr>
              <w:rFonts w:hint="default" w:asciiTheme="minorHAnsi" w:hAnsiTheme="minorHAnsi" w:eastAsiaTheme="minorEastAsia" w:cstheme="minorBidi"/>
              <w:b/>
              <w:color w:val="auto"/>
              <w:kern w:val="2"/>
              <w:sz w:val="21"/>
              <w:szCs w:val="28"/>
              <w:highlight w:val="none"/>
              <w:lang w:val="en-US" w:eastAsia="zh-CN" w:bidi="ar-SA"/>
            </w:rPr>
          </w:pPr>
          <w:r>
            <w:rPr>
              <w:rFonts w:hint="default"/>
              <w:b/>
              <w:color w:val="auto"/>
              <w:szCs w:val="28"/>
              <w:highlight w:val="none"/>
              <w:lang w:val="en-US" w:eastAsia="zh-CN"/>
            </w:rPr>
            <w:fldChar w:fldCharType="end"/>
          </w:r>
        </w:p>
      </w:sdtContent>
    </w:sdt>
    <w:p w14:paraId="63EC3E66">
      <w:pPr>
        <w:numPr>
          <w:ilvl w:val="0"/>
          <w:numId w:val="0"/>
        </w:numPr>
        <w:jc w:val="center"/>
        <w:rPr>
          <w:rFonts w:hint="default" w:asciiTheme="minorHAnsi" w:hAnsiTheme="minorHAnsi" w:eastAsiaTheme="minorEastAsia" w:cstheme="minorBidi"/>
          <w:b/>
          <w:color w:val="auto"/>
          <w:kern w:val="2"/>
          <w:sz w:val="21"/>
          <w:szCs w:val="28"/>
          <w:highlight w:val="none"/>
          <w:lang w:val="en-US" w:eastAsia="zh-CN" w:bidi="ar-SA"/>
        </w:rPr>
      </w:pPr>
    </w:p>
    <w:p w14:paraId="23DD1C82">
      <w:pPr>
        <w:numPr>
          <w:ilvl w:val="0"/>
          <w:numId w:val="0"/>
        </w:numPr>
        <w:jc w:val="center"/>
        <w:rPr>
          <w:rFonts w:hint="default"/>
          <w:color w:val="auto"/>
          <w:sz w:val="22"/>
          <w:szCs w:val="28"/>
          <w:highlight w:val="none"/>
          <w:lang w:val="en-US" w:eastAsia="zh-CN"/>
        </w:rPr>
      </w:pPr>
    </w:p>
    <w:p w14:paraId="53E0B62B">
      <w:pPr>
        <w:numPr>
          <w:ilvl w:val="0"/>
          <w:numId w:val="0"/>
        </w:numPr>
        <w:jc w:val="center"/>
        <w:rPr>
          <w:rFonts w:hint="default"/>
          <w:color w:val="auto"/>
          <w:sz w:val="22"/>
          <w:szCs w:val="28"/>
          <w:highlight w:val="none"/>
          <w:lang w:val="en-US" w:eastAsia="zh-CN"/>
        </w:rPr>
      </w:pPr>
    </w:p>
    <w:p w14:paraId="25BD4810">
      <w:pPr>
        <w:numPr>
          <w:ilvl w:val="0"/>
          <w:numId w:val="0"/>
        </w:numPr>
        <w:jc w:val="center"/>
        <w:rPr>
          <w:rFonts w:hint="default"/>
          <w:color w:val="auto"/>
          <w:sz w:val="22"/>
          <w:szCs w:val="28"/>
          <w:highlight w:val="none"/>
          <w:lang w:val="en-US" w:eastAsia="zh-CN"/>
        </w:rPr>
      </w:pPr>
    </w:p>
    <w:p w14:paraId="2FD80859">
      <w:pPr>
        <w:numPr>
          <w:ilvl w:val="0"/>
          <w:numId w:val="0"/>
        </w:numPr>
        <w:jc w:val="center"/>
        <w:rPr>
          <w:rFonts w:hint="default"/>
          <w:color w:val="auto"/>
          <w:sz w:val="22"/>
          <w:szCs w:val="28"/>
          <w:highlight w:val="none"/>
          <w:lang w:val="en-US" w:eastAsia="zh-CN"/>
        </w:rPr>
      </w:pPr>
    </w:p>
    <w:p w14:paraId="424ECF9F">
      <w:pPr>
        <w:numPr>
          <w:ilvl w:val="0"/>
          <w:numId w:val="0"/>
        </w:numPr>
        <w:jc w:val="center"/>
        <w:rPr>
          <w:rFonts w:hint="default"/>
          <w:color w:val="auto"/>
          <w:sz w:val="22"/>
          <w:szCs w:val="28"/>
          <w:highlight w:val="none"/>
          <w:lang w:val="en-US" w:eastAsia="zh-CN"/>
        </w:rPr>
      </w:pPr>
    </w:p>
    <w:p w14:paraId="608E92BB">
      <w:pPr>
        <w:numPr>
          <w:ilvl w:val="0"/>
          <w:numId w:val="0"/>
        </w:numPr>
        <w:jc w:val="center"/>
        <w:rPr>
          <w:rFonts w:hint="default"/>
          <w:color w:val="auto"/>
          <w:sz w:val="22"/>
          <w:szCs w:val="28"/>
          <w:highlight w:val="none"/>
          <w:lang w:val="en-US" w:eastAsia="zh-CN"/>
        </w:rPr>
      </w:pPr>
    </w:p>
    <w:p w14:paraId="17DF4526">
      <w:pPr>
        <w:numPr>
          <w:ilvl w:val="0"/>
          <w:numId w:val="0"/>
        </w:numPr>
        <w:jc w:val="center"/>
        <w:rPr>
          <w:rFonts w:hint="default"/>
          <w:color w:val="auto"/>
          <w:sz w:val="22"/>
          <w:szCs w:val="28"/>
          <w:highlight w:val="none"/>
          <w:lang w:val="en-US" w:eastAsia="zh-CN"/>
        </w:rPr>
      </w:pPr>
    </w:p>
    <w:p w14:paraId="5386D80B">
      <w:pPr>
        <w:numPr>
          <w:ilvl w:val="0"/>
          <w:numId w:val="0"/>
        </w:numPr>
        <w:jc w:val="center"/>
        <w:rPr>
          <w:rFonts w:hint="default"/>
          <w:color w:val="auto"/>
          <w:sz w:val="22"/>
          <w:szCs w:val="28"/>
          <w:highlight w:val="none"/>
          <w:lang w:val="en-US" w:eastAsia="zh-CN"/>
        </w:rPr>
      </w:pPr>
    </w:p>
    <w:p w14:paraId="72C94E23">
      <w:pPr>
        <w:numPr>
          <w:ilvl w:val="0"/>
          <w:numId w:val="0"/>
        </w:numPr>
        <w:jc w:val="center"/>
        <w:rPr>
          <w:rFonts w:hint="default"/>
          <w:color w:val="auto"/>
          <w:sz w:val="22"/>
          <w:szCs w:val="28"/>
          <w:highlight w:val="none"/>
          <w:lang w:val="en-US" w:eastAsia="zh-CN"/>
        </w:rPr>
      </w:pPr>
    </w:p>
    <w:p w14:paraId="3EC62E02">
      <w:pPr>
        <w:numPr>
          <w:ilvl w:val="0"/>
          <w:numId w:val="0"/>
        </w:numPr>
        <w:jc w:val="center"/>
        <w:rPr>
          <w:rFonts w:hint="default"/>
          <w:color w:val="auto"/>
          <w:sz w:val="22"/>
          <w:szCs w:val="28"/>
          <w:highlight w:val="none"/>
          <w:lang w:val="en-US" w:eastAsia="zh-CN"/>
        </w:rPr>
      </w:pPr>
    </w:p>
    <w:p w14:paraId="4A49C3AB">
      <w:pPr>
        <w:numPr>
          <w:ilvl w:val="0"/>
          <w:numId w:val="0"/>
        </w:numPr>
        <w:jc w:val="center"/>
        <w:rPr>
          <w:rFonts w:hint="default"/>
          <w:color w:val="auto"/>
          <w:sz w:val="22"/>
          <w:szCs w:val="28"/>
          <w:highlight w:val="none"/>
          <w:lang w:val="en-US" w:eastAsia="zh-CN"/>
        </w:rPr>
      </w:pPr>
    </w:p>
    <w:p w14:paraId="1E197213">
      <w:pPr>
        <w:numPr>
          <w:ilvl w:val="0"/>
          <w:numId w:val="0"/>
        </w:numPr>
        <w:jc w:val="center"/>
        <w:rPr>
          <w:rFonts w:hint="default"/>
          <w:color w:val="auto"/>
          <w:sz w:val="22"/>
          <w:szCs w:val="28"/>
          <w:highlight w:val="none"/>
          <w:lang w:val="en-US" w:eastAsia="zh-CN"/>
        </w:rPr>
      </w:pPr>
    </w:p>
    <w:p w14:paraId="652DCF62">
      <w:pPr>
        <w:numPr>
          <w:ilvl w:val="0"/>
          <w:numId w:val="0"/>
        </w:numPr>
        <w:jc w:val="center"/>
        <w:rPr>
          <w:rFonts w:hint="default"/>
          <w:color w:val="auto"/>
          <w:sz w:val="22"/>
          <w:szCs w:val="28"/>
          <w:highlight w:val="none"/>
          <w:lang w:val="en-US" w:eastAsia="zh-CN"/>
        </w:rPr>
      </w:pPr>
    </w:p>
    <w:p w14:paraId="45F01C29">
      <w:pPr>
        <w:numPr>
          <w:ilvl w:val="0"/>
          <w:numId w:val="0"/>
        </w:numPr>
        <w:jc w:val="center"/>
        <w:rPr>
          <w:rFonts w:hint="default"/>
          <w:color w:val="auto"/>
          <w:sz w:val="22"/>
          <w:szCs w:val="28"/>
          <w:highlight w:val="none"/>
          <w:lang w:val="en-US" w:eastAsia="zh-CN"/>
        </w:rPr>
      </w:pPr>
    </w:p>
    <w:p w14:paraId="3D0CCA8C">
      <w:pPr>
        <w:numPr>
          <w:ilvl w:val="0"/>
          <w:numId w:val="0"/>
        </w:numPr>
        <w:jc w:val="center"/>
        <w:rPr>
          <w:rFonts w:hint="default"/>
          <w:color w:val="auto"/>
          <w:sz w:val="22"/>
          <w:szCs w:val="28"/>
          <w:highlight w:val="none"/>
          <w:lang w:val="en-US" w:eastAsia="zh-CN"/>
        </w:rPr>
      </w:pPr>
    </w:p>
    <w:p w14:paraId="0B221077">
      <w:pPr>
        <w:numPr>
          <w:ilvl w:val="0"/>
          <w:numId w:val="0"/>
        </w:numPr>
        <w:jc w:val="center"/>
        <w:rPr>
          <w:rFonts w:hint="default"/>
          <w:color w:val="auto"/>
          <w:sz w:val="22"/>
          <w:szCs w:val="28"/>
          <w:highlight w:val="none"/>
          <w:lang w:val="en-US" w:eastAsia="zh-CN"/>
        </w:rPr>
      </w:pPr>
    </w:p>
    <w:p w14:paraId="0F3F627E">
      <w:pPr>
        <w:numPr>
          <w:ilvl w:val="0"/>
          <w:numId w:val="0"/>
        </w:numPr>
        <w:jc w:val="center"/>
        <w:rPr>
          <w:rFonts w:hint="default"/>
          <w:color w:val="auto"/>
          <w:sz w:val="22"/>
          <w:szCs w:val="28"/>
          <w:highlight w:val="none"/>
          <w:lang w:val="en-US" w:eastAsia="zh-CN"/>
        </w:rPr>
      </w:pPr>
    </w:p>
    <w:p w14:paraId="540EF241">
      <w:pPr>
        <w:numPr>
          <w:ilvl w:val="0"/>
          <w:numId w:val="0"/>
        </w:numPr>
        <w:jc w:val="center"/>
        <w:rPr>
          <w:rFonts w:hint="default"/>
          <w:color w:val="auto"/>
          <w:sz w:val="22"/>
          <w:szCs w:val="28"/>
          <w:highlight w:val="none"/>
          <w:lang w:val="en-US" w:eastAsia="zh-CN"/>
        </w:rPr>
      </w:pPr>
    </w:p>
    <w:p w14:paraId="5289F8AF">
      <w:pPr>
        <w:numPr>
          <w:ilvl w:val="0"/>
          <w:numId w:val="0"/>
        </w:numPr>
        <w:jc w:val="center"/>
        <w:rPr>
          <w:rFonts w:hint="default"/>
          <w:color w:val="auto"/>
          <w:sz w:val="22"/>
          <w:szCs w:val="28"/>
          <w:highlight w:val="none"/>
          <w:lang w:val="en-US" w:eastAsia="zh-CN"/>
        </w:rPr>
      </w:pPr>
    </w:p>
    <w:p w14:paraId="3849889D">
      <w:pPr>
        <w:numPr>
          <w:ilvl w:val="0"/>
          <w:numId w:val="0"/>
        </w:numPr>
        <w:jc w:val="both"/>
        <w:rPr>
          <w:rFonts w:hint="default"/>
          <w:color w:val="auto"/>
          <w:sz w:val="22"/>
          <w:szCs w:val="28"/>
          <w:highlight w:val="none"/>
          <w:lang w:val="en-US" w:eastAsia="zh-CN"/>
        </w:rPr>
      </w:pPr>
    </w:p>
    <w:p w14:paraId="2AE5DBBD">
      <w:pPr>
        <w:numPr>
          <w:ilvl w:val="0"/>
          <w:numId w:val="0"/>
        </w:numPr>
        <w:jc w:val="center"/>
        <w:rPr>
          <w:rFonts w:hint="default"/>
          <w:color w:val="auto"/>
          <w:sz w:val="22"/>
          <w:szCs w:val="28"/>
          <w:highlight w:val="none"/>
          <w:lang w:val="en-US" w:eastAsia="zh-CN"/>
        </w:rPr>
      </w:pPr>
    </w:p>
    <w:p w14:paraId="7FEA73DF">
      <w:pPr>
        <w:numPr>
          <w:ilvl w:val="0"/>
          <w:numId w:val="13"/>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140" w:name="_Toc24369"/>
      <w:bookmarkStart w:id="141" w:name="_Toc2131"/>
      <w:bookmarkStart w:id="142" w:name="_Toc18336"/>
      <w:r>
        <w:rPr>
          <w:rStyle w:val="19"/>
          <w:rFonts w:hint="default" w:ascii="Times New Roman" w:hAnsi="Times New Roman" w:eastAsia="宋体" w:cs="Times New Roman"/>
          <w:color w:val="auto"/>
          <w:highlight w:val="none"/>
          <w:lang w:val="en-US" w:eastAsia="zh-CN"/>
        </w:rPr>
        <w:t>总</w:t>
      </w:r>
      <w:r>
        <w:rPr>
          <w:rStyle w:val="19"/>
          <w:rFonts w:hint="eastAsia" w:ascii="Times New Roman" w:hAnsi="Times New Roman" w:eastAsia="宋体" w:cs="Times New Roman"/>
          <w:color w:val="auto"/>
          <w:highlight w:val="none"/>
          <w:lang w:val="en-US" w:eastAsia="zh-CN"/>
        </w:rPr>
        <w:t xml:space="preserve">  </w:t>
      </w:r>
      <w:r>
        <w:rPr>
          <w:rStyle w:val="19"/>
          <w:rFonts w:hint="default" w:ascii="Times New Roman" w:hAnsi="Times New Roman" w:eastAsia="宋体" w:cs="Times New Roman"/>
          <w:color w:val="auto"/>
          <w:highlight w:val="none"/>
          <w:lang w:val="en-US" w:eastAsia="zh-CN"/>
        </w:rPr>
        <w:t>则</w:t>
      </w:r>
      <w:bookmarkEnd w:id="140"/>
      <w:bookmarkEnd w:id="141"/>
      <w:bookmarkEnd w:id="142"/>
    </w:p>
    <w:p w14:paraId="1B002506">
      <w:pPr>
        <w:numPr>
          <w:ilvl w:val="0"/>
          <w:numId w:val="0"/>
        </w:numPr>
        <w:ind w:leftChars="0"/>
        <w:jc w:val="both"/>
        <w:rPr>
          <w:rStyle w:val="19"/>
          <w:rFonts w:hint="default" w:ascii="Times New Roman" w:hAnsi="Times New Roman" w:eastAsia="宋体" w:cs="Times New Roman"/>
          <w:color w:val="auto"/>
          <w:highlight w:val="none"/>
          <w:lang w:val="en-US" w:eastAsia="zh-CN"/>
        </w:rPr>
      </w:pPr>
    </w:p>
    <w:p w14:paraId="0E6FFE72">
      <w:pPr>
        <w:numPr>
          <w:ilvl w:val="2"/>
          <w:numId w:val="14"/>
        </w:numPr>
        <w:ind w:left="9" w:leftChars="0" w:hanging="9" w:firstLineChars="0"/>
        <w:rPr>
          <w:rFonts w:hint="default"/>
          <w:color w:val="auto"/>
          <w:highlight w:val="none"/>
          <w:lang w:val="en-US" w:eastAsia="zh-CN"/>
        </w:rPr>
      </w:pPr>
      <w:r>
        <w:rPr>
          <w:rFonts w:hint="default"/>
          <w:color w:val="auto"/>
          <w:highlight w:val="none"/>
          <w:lang w:val="en-US" w:eastAsia="zh-CN"/>
        </w:rPr>
        <w:t>随着我省社会经济的发展，城乡老年人的生活水平和医疗水平不断提高，老年人的寿命呈现出高龄化倾向，家庭模式空巢化现象越来越突出，介护老人长期照料护理服务需求日益迫切。2013年年底，60岁以上1524.44万人，约占全省常住人口的 18.8%，据预测2025年前后，老年人口约占到24.99%。因此，适时编制</w:t>
      </w:r>
      <w:r>
        <w:rPr>
          <w:rFonts w:hint="eastAsia"/>
          <w:color w:val="auto"/>
          <w:highlight w:val="none"/>
          <w:lang w:val="en-US" w:eastAsia="zh"/>
        </w:rPr>
        <w:t>老年人照料设施</w:t>
      </w:r>
      <w:r>
        <w:rPr>
          <w:rFonts w:hint="default"/>
          <w:color w:val="auto"/>
          <w:highlight w:val="none"/>
          <w:lang w:val="en-US" w:eastAsia="zh-CN"/>
        </w:rPr>
        <w:t>设计规范，为</w:t>
      </w:r>
      <w:r>
        <w:rPr>
          <w:rFonts w:hint="eastAsia"/>
          <w:color w:val="auto"/>
          <w:highlight w:val="none"/>
          <w:lang w:val="en-US" w:eastAsia="zh"/>
        </w:rPr>
        <w:t>老年人照料设施</w:t>
      </w:r>
      <w:r>
        <w:rPr>
          <w:rFonts w:hint="default"/>
          <w:color w:val="auto"/>
          <w:highlight w:val="none"/>
          <w:lang w:val="en-US" w:eastAsia="zh-CN"/>
        </w:rPr>
        <w:t>的设计和管理提供技术依据，以满足我省</w:t>
      </w:r>
      <w:r>
        <w:rPr>
          <w:rFonts w:hint="eastAsia"/>
          <w:color w:val="auto"/>
          <w:highlight w:val="none"/>
          <w:lang w:val="en-US" w:eastAsia="zh"/>
        </w:rPr>
        <w:t>老年人照料设施</w:t>
      </w:r>
      <w:r>
        <w:rPr>
          <w:rFonts w:hint="default"/>
          <w:color w:val="auto"/>
          <w:highlight w:val="none"/>
          <w:lang w:val="en-US" w:eastAsia="zh-CN"/>
        </w:rPr>
        <w:t>建设的迫切需要。</w:t>
      </w:r>
    </w:p>
    <w:p w14:paraId="319DD3EF">
      <w:pPr>
        <w:numPr>
          <w:ilvl w:val="2"/>
          <w:numId w:val="14"/>
        </w:numPr>
        <w:ind w:left="9" w:leftChars="0" w:hanging="9" w:firstLineChars="0"/>
        <w:rPr>
          <w:rFonts w:hint="default"/>
          <w:color w:val="auto"/>
          <w:highlight w:val="none"/>
          <w:lang w:val="en-US" w:eastAsia="zh-CN"/>
        </w:rPr>
      </w:pPr>
      <w:r>
        <w:rPr>
          <w:rFonts w:hint="default"/>
          <w:color w:val="auto"/>
          <w:highlight w:val="none"/>
          <w:lang w:val="en-US" w:eastAsia="zh-CN"/>
        </w:rPr>
        <w:t>根据《社会养老服务体系建设规划（2011—2015年）》，我国的社会养老服务体系主要由居家养老、社会养老和机构养老等三个有机部分组成。本</w:t>
      </w:r>
      <w:r>
        <w:rPr>
          <w:rFonts w:hint="eastAsia"/>
          <w:color w:val="auto"/>
          <w:highlight w:val="none"/>
          <w:lang w:val="en-US" w:eastAsia="zh"/>
          <w:woUserID w:val="1"/>
        </w:rPr>
        <w:t>标准</w:t>
      </w:r>
      <w:r>
        <w:rPr>
          <w:rFonts w:hint="default"/>
          <w:color w:val="auto"/>
          <w:highlight w:val="none"/>
          <w:lang w:val="en-US" w:eastAsia="zh-CN"/>
        </w:rPr>
        <w:t>主要针对机构</w:t>
      </w:r>
      <w:r>
        <w:rPr>
          <w:rFonts w:hint="eastAsia"/>
          <w:color w:val="auto"/>
          <w:highlight w:val="none"/>
          <w:lang w:val="en-US" w:eastAsia="zh"/>
        </w:rPr>
        <w:t>老年人照料设施</w:t>
      </w:r>
      <w:r>
        <w:rPr>
          <w:rFonts w:hint="default"/>
          <w:color w:val="auto"/>
          <w:highlight w:val="none"/>
          <w:lang w:val="en-US" w:eastAsia="zh-CN"/>
        </w:rPr>
        <w:t>。</w:t>
      </w:r>
    </w:p>
    <w:p w14:paraId="1E041CAD">
      <w:pPr>
        <w:numPr>
          <w:ilvl w:val="2"/>
          <w:numId w:val="14"/>
        </w:numPr>
        <w:ind w:left="9" w:leftChars="0" w:hanging="9" w:firstLineChars="0"/>
        <w:rPr>
          <w:rFonts w:hint="default"/>
          <w:color w:val="auto"/>
          <w:highlight w:val="none"/>
          <w:lang w:val="en-US" w:eastAsia="zh-CN"/>
        </w:rPr>
      </w:pPr>
      <w:r>
        <w:rPr>
          <w:rFonts w:hint="default"/>
          <w:color w:val="auto"/>
          <w:highlight w:val="none"/>
          <w:lang w:val="en-US" w:eastAsia="zh-CN"/>
        </w:rPr>
        <w:t>本条提出了</w:t>
      </w:r>
      <w:r>
        <w:rPr>
          <w:rFonts w:hint="eastAsia"/>
          <w:color w:val="auto"/>
          <w:highlight w:val="none"/>
          <w:lang w:val="en-US" w:eastAsia="zh"/>
        </w:rPr>
        <w:t>老年人照料设施</w:t>
      </w:r>
      <w:r>
        <w:rPr>
          <w:rFonts w:hint="default"/>
          <w:color w:val="auto"/>
          <w:highlight w:val="none"/>
          <w:lang w:val="en-US" w:eastAsia="zh-CN"/>
        </w:rPr>
        <w:t>设计理念、原则。</w:t>
      </w:r>
      <w:r>
        <w:rPr>
          <w:rFonts w:hint="eastAsia"/>
          <w:color w:val="auto"/>
          <w:highlight w:val="none"/>
          <w:lang w:val="en-US" w:eastAsia="zh"/>
        </w:rPr>
        <w:t>老年人照料设施</w:t>
      </w:r>
      <w:r>
        <w:rPr>
          <w:rFonts w:hint="default"/>
          <w:color w:val="auto"/>
          <w:highlight w:val="none"/>
          <w:lang w:val="en-US" w:eastAsia="zh-CN"/>
        </w:rPr>
        <w:t>需要针对自理、介助和介护等不同老年人群体的养老需求、身体衰退、生理心理状况及养护方式，进行个性化、人性化设计，切实保证老年人的基本生活质量。</w:t>
      </w:r>
    </w:p>
    <w:p w14:paraId="2EB9E683">
      <w:pPr>
        <w:numPr>
          <w:ilvl w:val="2"/>
          <w:numId w:val="14"/>
        </w:numPr>
        <w:ind w:left="9" w:leftChars="0" w:hanging="9" w:firstLineChars="0"/>
        <w:rPr>
          <w:rFonts w:hint="default"/>
          <w:color w:val="auto"/>
          <w:highlight w:val="none"/>
          <w:lang w:val="en-US" w:eastAsia="zh-CN"/>
        </w:rPr>
      </w:pPr>
      <w:r>
        <w:rPr>
          <w:rFonts w:hint="default"/>
          <w:color w:val="auto"/>
          <w:highlight w:val="none"/>
          <w:lang w:val="en-US" w:eastAsia="zh-CN"/>
        </w:rPr>
        <w:t>本条规定是为了明确本</w:t>
      </w:r>
      <w:r>
        <w:rPr>
          <w:rFonts w:hint="eastAsia"/>
          <w:color w:val="auto"/>
          <w:highlight w:val="none"/>
          <w:lang w:val="en-US" w:eastAsia="zh"/>
          <w:woUserID w:val="1"/>
        </w:rPr>
        <w:t>标准</w:t>
      </w:r>
      <w:r>
        <w:rPr>
          <w:rFonts w:hint="default"/>
          <w:color w:val="auto"/>
          <w:highlight w:val="none"/>
          <w:lang w:val="en-US" w:eastAsia="zh-CN"/>
        </w:rPr>
        <w:t>与相关标准之间的关系。这里的“国家现行有关标准”是指现行的工程建设国家标准和行业标准。与</w:t>
      </w:r>
      <w:r>
        <w:rPr>
          <w:rFonts w:hint="eastAsia"/>
          <w:color w:val="auto"/>
          <w:highlight w:val="none"/>
          <w:lang w:val="en-US" w:eastAsia="zh"/>
        </w:rPr>
        <w:t>老年人照料设施</w:t>
      </w:r>
      <w:r>
        <w:rPr>
          <w:rFonts w:hint="default"/>
          <w:color w:val="auto"/>
          <w:highlight w:val="none"/>
          <w:lang w:val="en-US" w:eastAsia="zh-CN"/>
        </w:rPr>
        <w:t>有关的规划及建筑结构、消防、热工、节能、隔声、照明、给水排水、安全防范、设施设备等设计，除需要执行本</w:t>
      </w:r>
      <w:r>
        <w:rPr>
          <w:rFonts w:hint="eastAsia"/>
          <w:color w:val="auto"/>
          <w:highlight w:val="none"/>
          <w:lang w:val="en-US" w:eastAsia="zh"/>
          <w:woUserID w:val="1"/>
        </w:rPr>
        <w:t>标准</w:t>
      </w:r>
      <w:r>
        <w:rPr>
          <w:rFonts w:hint="default"/>
          <w:color w:val="auto"/>
          <w:highlight w:val="none"/>
          <w:lang w:val="en-US" w:eastAsia="zh-CN"/>
        </w:rPr>
        <w:t>外，还需要执行其他相关标准。例如</w:t>
      </w:r>
      <w:r>
        <w:rPr>
          <w:rFonts w:hint="eastAsia"/>
          <w:color w:val="auto"/>
          <w:highlight w:val="none"/>
          <w:lang w:val="en-US" w:eastAsia="zh-CN"/>
        </w:rPr>
        <w:t>《建筑防火通用规范》GB55037、《建筑与市政工程无障碍通用规范》GB55019、</w:t>
      </w:r>
      <w:r>
        <w:rPr>
          <w:rFonts w:hint="default"/>
          <w:color w:val="auto"/>
          <w:highlight w:val="none"/>
          <w:lang w:val="en-US" w:eastAsia="zh-CN"/>
        </w:rPr>
        <w:t>《建筑设计防火规范》GB 50016、《无障碍设计规范》GB 50763、《城镇老年人设施规划规范》GB 50437、</w:t>
      </w:r>
      <w:r>
        <w:rPr>
          <w:rFonts w:hint="default"/>
          <w:b w:val="0"/>
          <w:bCs w:val="0"/>
          <w:color w:val="auto"/>
          <w:sz w:val="21"/>
          <w:szCs w:val="21"/>
          <w:highlight w:val="none"/>
          <w:lang w:val="en-US" w:eastAsia="zh-CN"/>
        </w:rPr>
        <w:t>《老年人照料设施建筑设计标准</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JGJ 45</w:t>
      </w:r>
      <w:r>
        <w:rPr>
          <w:rFonts w:hint="default"/>
          <w:color w:val="auto"/>
          <w:highlight w:val="none"/>
          <w:lang w:val="en-US" w:eastAsia="zh-CN"/>
        </w:rPr>
        <w:t>、《老年人社会福利机构基本</w:t>
      </w:r>
      <w:r>
        <w:rPr>
          <w:rFonts w:hint="eastAsia"/>
          <w:color w:val="auto"/>
          <w:highlight w:val="none"/>
          <w:lang w:val="en-US" w:eastAsia="zh"/>
          <w:woUserID w:val="1"/>
        </w:rPr>
        <w:t>标准</w:t>
      </w:r>
      <w:r>
        <w:rPr>
          <w:rFonts w:hint="default"/>
          <w:color w:val="auto"/>
          <w:highlight w:val="none"/>
          <w:lang w:val="en-US" w:eastAsia="zh-CN"/>
        </w:rPr>
        <w:t>》MZ008等。</w:t>
      </w:r>
    </w:p>
    <w:p w14:paraId="409E0CFF">
      <w:pPr>
        <w:numPr>
          <w:ilvl w:val="0"/>
          <w:numId w:val="0"/>
        </w:numPr>
        <w:ind w:leftChars="0"/>
        <w:jc w:val="both"/>
        <w:rPr>
          <w:rStyle w:val="19"/>
          <w:rFonts w:hint="default" w:ascii="Times New Roman" w:hAnsi="Times New Roman" w:eastAsia="宋体" w:cs="Times New Roman"/>
          <w:color w:val="auto"/>
          <w:highlight w:val="none"/>
          <w:lang w:val="en-US" w:eastAsia="zh-CN"/>
        </w:rPr>
      </w:pPr>
    </w:p>
    <w:p w14:paraId="40AE8BAF">
      <w:pPr>
        <w:numPr>
          <w:ilvl w:val="0"/>
          <w:numId w:val="15"/>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143" w:name="_Toc22671"/>
      <w:bookmarkStart w:id="144" w:name="_Toc27902"/>
      <w:bookmarkStart w:id="145" w:name="_Toc2591"/>
      <w:r>
        <w:rPr>
          <w:rStyle w:val="19"/>
          <w:rFonts w:hint="default" w:ascii="Times New Roman" w:hAnsi="Times New Roman" w:eastAsia="宋体" w:cs="Times New Roman"/>
          <w:color w:val="auto"/>
          <w:highlight w:val="none"/>
          <w:lang w:val="en-US" w:eastAsia="zh-CN"/>
        </w:rPr>
        <w:t>基本规定</w:t>
      </w:r>
      <w:bookmarkEnd w:id="143"/>
      <w:bookmarkEnd w:id="144"/>
      <w:bookmarkEnd w:id="145"/>
    </w:p>
    <w:p w14:paraId="66073B64">
      <w:pPr>
        <w:numPr>
          <w:ilvl w:val="0"/>
          <w:numId w:val="0"/>
        </w:numPr>
        <w:ind w:leftChars="0"/>
        <w:jc w:val="both"/>
        <w:rPr>
          <w:rStyle w:val="19"/>
          <w:rFonts w:hint="default" w:ascii="Times New Roman" w:hAnsi="Times New Roman" w:eastAsia="宋体" w:cs="Times New Roman"/>
          <w:color w:val="auto"/>
          <w:highlight w:val="none"/>
          <w:lang w:val="en-US" w:eastAsia="zh-CN"/>
        </w:rPr>
      </w:pPr>
    </w:p>
    <w:p w14:paraId="6F14B842">
      <w:pPr>
        <w:numPr>
          <w:ilvl w:val="2"/>
          <w:numId w:val="16"/>
        </w:numPr>
        <w:ind w:left="0" w:leftChars="0" w:firstLine="0" w:firstLineChars="0"/>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根据</w:t>
      </w:r>
      <w:r>
        <w:rPr>
          <w:rFonts w:hint="default"/>
          <w:b w:val="0"/>
          <w:bCs w:val="0"/>
          <w:color w:val="auto"/>
          <w:sz w:val="21"/>
          <w:szCs w:val="21"/>
          <w:highlight w:val="none"/>
          <w:lang w:val="en-US" w:eastAsia="zh-CN"/>
        </w:rPr>
        <w:t>《老年人照料设施建筑设计标准</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JGJ 450-2018 3.0.5</w:t>
      </w:r>
      <w:r>
        <w:rPr>
          <w:rFonts w:hint="eastAsia"/>
          <w:b w:val="0"/>
          <w:bCs w:val="0"/>
          <w:color w:val="auto"/>
          <w:sz w:val="21"/>
          <w:szCs w:val="21"/>
          <w:highlight w:val="none"/>
          <w:lang w:val="en-US" w:eastAsia="zh-CN"/>
        </w:rPr>
        <w:t>条，</w:t>
      </w:r>
      <w:r>
        <w:rPr>
          <w:rFonts w:hint="default"/>
          <w:b w:val="0"/>
          <w:bCs w:val="0"/>
          <w:color w:val="auto"/>
          <w:sz w:val="21"/>
          <w:szCs w:val="21"/>
          <w:highlight w:val="none"/>
          <w:lang w:val="en-US" w:eastAsia="zh-CN"/>
        </w:rPr>
        <w:t>既有建筑改建的老年人照料设施，应预先进行可行性评估，确定通过改建能够符合本标准和国家现行有关标准的规定</w:t>
      </w:r>
      <w:r>
        <w:rPr>
          <w:rFonts w:hint="eastAsia"/>
          <w:b w:val="0"/>
          <w:bCs w:val="0"/>
          <w:color w:val="auto"/>
          <w:sz w:val="21"/>
          <w:szCs w:val="21"/>
          <w:highlight w:val="none"/>
          <w:lang w:val="en-US" w:eastAsia="zh-CN"/>
        </w:rPr>
        <w:t>。</w:t>
      </w:r>
    </w:p>
    <w:p w14:paraId="01B7B41F">
      <w:pPr>
        <w:numPr>
          <w:ilvl w:val="-1"/>
          <w:numId w:val="0"/>
        </w:numPr>
        <w:ind w:left="0" w:leftChars="0" w:firstLine="0" w:firstLineChars="0"/>
        <w:rPr>
          <w:rFonts w:hint="eastAsia" w:eastAsiaTheme="minorEastAsia"/>
          <w:b w:val="0"/>
          <w:bCs w:val="0"/>
          <w:color w:val="auto"/>
          <w:sz w:val="21"/>
          <w:szCs w:val="21"/>
          <w:highlight w:val="none"/>
          <w:lang w:val="en-US" w:eastAsia="zh"/>
          <w:woUserID w:val="1"/>
        </w:rPr>
      </w:pPr>
      <w:r>
        <w:rPr>
          <w:rFonts w:hint="eastAsia"/>
          <w:b w:val="0"/>
          <w:bCs w:val="0"/>
          <w:color w:val="auto"/>
          <w:sz w:val="21"/>
          <w:szCs w:val="21"/>
          <w:highlight w:val="none"/>
          <w:lang w:val="en-US" w:eastAsia="zh"/>
          <w:woUserID w:val="1"/>
        </w:rPr>
        <w:t>3.0.5小型设施合建时，应独立分区，设置独立对外出入口，避免流线交叉。</w:t>
      </w:r>
    </w:p>
    <w:p w14:paraId="7A011CDD">
      <w:pPr>
        <w:numPr>
          <w:ilvl w:val="2"/>
          <w:numId w:val="17"/>
        </w:numPr>
        <w:ind w:left="0" w:leftChars="0" w:firstLine="0" w:firstLineChars="0"/>
        <w:rPr>
          <w:rFonts w:hint="default" w:asciiTheme="minorHAnsi" w:hAnsiTheme="minorHAnsi" w:eastAsiaTheme="minorEastAsia" w:cstheme="minorBidi"/>
          <w:b w:val="0"/>
          <w:bCs w:val="0"/>
          <w:color w:val="auto"/>
          <w:kern w:val="2"/>
          <w:sz w:val="21"/>
          <w:szCs w:val="24"/>
          <w:highlight w:val="none"/>
          <w:lang w:val="en-US" w:eastAsia="zh-CN" w:bidi="ar-SA"/>
        </w:rPr>
      </w:pPr>
      <w:r>
        <w:rPr>
          <w:rFonts w:hint="eastAsia" w:asciiTheme="minorHAnsi" w:hAnsiTheme="minorHAnsi" w:eastAsiaTheme="minorEastAsia" w:cstheme="minorBidi"/>
          <w:b w:val="0"/>
          <w:bCs w:val="0"/>
          <w:color w:val="auto"/>
          <w:kern w:val="2"/>
          <w:sz w:val="21"/>
          <w:szCs w:val="24"/>
          <w:highlight w:val="none"/>
          <w:lang w:val="en-US" w:eastAsia="zh-CN" w:bidi="ar-SA"/>
        </w:rPr>
        <w:t>原规范活动室窗地比</w:t>
      </w:r>
      <w:r>
        <w:rPr>
          <w:rFonts w:hint="eastAsia" w:cstheme="minorBidi"/>
          <w:b w:val="0"/>
          <w:bCs w:val="0"/>
          <w:color w:val="auto"/>
          <w:kern w:val="2"/>
          <w:sz w:val="21"/>
          <w:szCs w:val="24"/>
          <w:highlight w:val="none"/>
          <w:lang w:val="en-US" w:eastAsia="zh-CN" w:bidi="ar-SA"/>
        </w:rPr>
        <w:t>为1：4。</w:t>
      </w:r>
      <w:r>
        <w:rPr>
          <w:rFonts w:hint="eastAsia"/>
          <w:b w:val="0"/>
          <w:bCs w:val="0"/>
          <w:color w:val="auto"/>
          <w:sz w:val="21"/>
          <w:szCs w:val="21"/>
          <w:highlight w:val="none"/>
          <w:lang w:val="en-US" w:eastAsia="zh-CN"/>
        </w:rPr>
        <w:t>在</w:t>
      </w:r>
      <w:r>
        <w:rPr>
          <w:rFonts w:hint="eastAsia" w:asciiTheme="minorHAnsi" w:hAnsiTheme="minorHAnsi" w:eastAsiaTheme="minorEastAsia" w:cstheme="minorBidi"/>
          <w:b w:val="0"/>
          <w:bCs w:val="0"/>
          <w:color w:val="auto"/>
          <w:kern w:val="2"/>
          <w:sz w:val="21"/>
          <w:szCs w:val="24"/>
          <w:highlight w:val="none"/>
          <w:lang w:val="en-US" w:eastAsia="zh-CN" w:bidi="ar-SA"/>
        </w:rPr>
        <w:t>《老年人照料设施建筑设计标准</w:t>
      </w:r>
      <w:r>
        <w:rPr>
          <w:rFonts w:hint="eastAsia"/>
          <w:b w:val="0"/>
          <w:bCs w:val="0"/>
          <w:color w:val="auto"/>
          <w:sz w:val="21"/>
          <w:szCs w:val="21"/>
          <w:highlight w:val="none"/>
          <w:lang w:val="en-US" w:eastAsia="zh-CN"/>
        </w:rPr>
        <w:t>》</w:t>
      </w:r>
      <w:r>
        <w:rPr>
          <w:rFonts w:hint="eastAsia" w:asciiTheme="minorHAnsi" w:hAnsiTheme="minorHAnsi" w:eastAsiaTheme="minorEastAsia" w:cstheme="minorBidi"/>
          <w:b w:val="0"/>
          <w:bCs w:val="0"/>
          <w:color w:val="auto"/>
          <w:kern w:val="2"/>
          <w:sz w:val="21"/>
          <w:szCs w:val="24"/>
          <w:highlight w:val="none"/>
          <w:lang w:val="en-US" w:eastAsia="zh-CN" w:bidi="ar-SA"/>
        </w:rPr>
        <w:t>JGJ 450-2018，5.7.1</w:t>
      </w:r>
      <w:r>
        <w:rPr>
          <w:rFonts w:hint="eastAsia"/>
          <w:b w:val="0"/>
          <w:bCs w:val="0"/>
          <w:color w:val="auto"/>
          <w:sz w:val="21"/>
          <w:szCs w:val="21"/>
          <w:highlight w:val="none"/>
          <w:lang w:val="en-US" w:eastAsia="zh-CN"/>
        </w:rPr>
        <w:t>条中，</w:t>
      </w:r>
      <w:r>
        <w:rPr>
          <w:rFonts w:hint="eastAsia" w:asciiTheme="minorHAnsi" w:hAnsiTheme="minorHAnsi" w:eastAsiaTheme="minorEastAsia" w:cstheme="minorBidi"/>
          <w:b w:val="0"/>
          <w:bCs w:val="0"/>
          <w:color w:val="auto"/>
          <w:kern w:val="2"/>
          <w:sz w:val="21"/>
          <w:szCs w:val="24"/>
          <w:highlight w:val="none"/>
          <w:lang w:val="en-US" w:eastAsia="zh-CN" w:bidi="ar-SA"/>
        </w:rPr>
        <w:t>活动室窗地比</w:t>
      </w:r>
      <w:r>
        <w:rPr>
          <w:rFonts w:hint="eastAsia" w:cstheme="minorBidi"/>
          <w:b w:val="0"/>
          <w:bCs w:val="0"/>
          <w:color w:val="auto"/>
          <w:kern w:val="2"/>
          <w:sz w:val="21"/>
          <w:szCs w:val="24"/>
          <w:highlight w:val="none"/>
          <w:lang w:val="en-US" w:eastAsia="zh-CN" w:bidi="ar-SA"/>
        </w:rPr>
        <w:t>为1：6。在《</w:t>
      </w:r>
      <w:r>
        <w:rPr>
          <w:rFonts w:hint="default" w:asciiTheme="minorHAnsi" w:hAnsiTheme="minorHAnsi" w:eastAsiaTheme="minorEastAsia" w:cstheme="minorBidi"/>
          <w:b w:val="0"/>
          <w:bCs w:val="0"/>
          <w:color w:val="auto"/>
          <w:kern w:val="2"/>
          <w:sz w:val="21"/>
          <w:szCs w:val="24"/>
          <w:highlight w:val="none"/>
          <w:lang w:val="en-US" w:eastAsia="zh-CN" w:bidi="ar-SA"/>
        </w:rPr>
        <w:t>中小学校设计规范</w:t>
      </w:r>
      <w:r>
        <w:rPr>
          <w:rFonts w:hint="eastAsia" w:cstheme="minorBidi"/>
          <w:b w:val="0"/>
          <w:bCs w:val="0"/>
          <w:color w:val="auto"/>
          <w:kern w:val="2"/>
          <w:sz w:val="21"/>
          <w:szCs w:val="24"/>
          <w:highlight w:val="none"/>
          <w:lang w:val="en-US" w:eastAsia="zh-CN" w:bidi="ar-SA"/>
        </w:rPr>
        <w:t>》</w:t>
      </w:r>
      <w:r>
        <w:rPr>
          <w:rFonts w:hint="default" w:asciiTheme="minorHAnsi" w:hAnsiTheme="minorHAnsi" w:eastAsiaTheme="minorEastAsia" w:cstheme="minorBidi"/>
          <w:b w:val="0"/>
          <w:bCs w:val="0"/>
          <w:color w:val="auto"/>
          <w:kern w:val="2"/>
          <w:sz w:val="21"/>
          <w:szCs w:val="24"/>
          <w:highlight w:val="none"/>
          <w:lang w:val="en-US" w:eastAsia="zh-CN" w:bidi="ar-SA"/>
        </w:rPr>
        <w:t>GB50099-2011</w:t>
      </w:r>
      <w:r>
        <w:rPr>
          <w:rFonts w:hint="eastAsia" w:asciiTheme="minorHAnsi" w:hAnsiTheme="minorHAnsi" w:eastAsiaTheme="minorEastAsia" w:cstheme="minorBidi"/>
          <w:b w:val="0"/>
          <w:bCs w:val="0"/>
          <w:color w:val="auto"/>
          <w:kern w:val="2"/>
          <w:sz w:val="21"/>
          <w:szCs w:val="24"/>
          <w:highlight w:val="none"/>
          <w:lang w:val="en-US" w:eastAsia="zh-CN" w:bidi="ar-SA"/>
        </w:rPr>
        <w:t>，9.2.1</w:t>
      </w:r>
      <w:r>
        <w:rPr>
          <w:rFonts w:hint="eastAsia" w:cstheme="minorBidi"/>
          <w:b w:val="0"/>
          <w:bCs w:val="0"/>
          <w:color w:val="auto"/>
          <w:kern w:val="2"/>
          <w:sz w:val="21"/>
          <w:szCs w:val="24"/>
          <w:highlight w:val="none"/>
          <w:lang w:val="en-US" w:eastAsia="zh-CN" w:bidi="ar-SA"/>
        </w:rPr>
        <w:t>条中，教室</w:t>
      </w:r>
      <w:r>
        <w:rPr>
          <w:rFonts w:hint="eastAsia" w:asciiTheme="minorHAnsi" w:hAnsiTheme="minorHAnsi" w:eastAsiaTheme="minorEastAsia" w:cstheme="minorBidi"/>
          <w:b w:val="0"/>
          <w:bCs w:val="0"/>
          <w:color w:val="auto"/>
          <w:kern w:val="2"/>
          <w:sz w:val="21"/>
          <w:szCs w:val="24"/>
          <w:highlight w:val="none"/>
          <w:lang w:val="en-US" w:eastAsia="zh-CN" w:bidi="ar-SA"/>
        </w:rPr>
        <w:t>窗地比</w:t>
      </w:r>
      <w:r>
        <w:rPr>
          <w:rFonts w:hint="eastAsia" w:cstheme="minorBidi"/>
          <w:b w:val="0"/>
          <w:bCs w:val="0"/>
          <w:color w:val="auto"/>
          <w:kern w:val="2"/>
          <w:sz w:val="21"/>
          <w:szCs w:val="24"/>
          <w:highlight w:val="none"/>
          <w:lang w:val="en-US" w:eastAsia="zh-CN" w:bidi="ar-SA"/>
        </w:rPr>
        <w:t>为1：5。原规范活动室窗地比高于教室，建议降低，与</w:t>
      </w:r>
      <w:r>
        <w:rPr>
          <w:rFonts w:hint="eastAsia" w:asciiTheme="minorHAnsi" w:hAnsiTheme="minorHAnsi" w:eastAsiaTheme="minorEastAsia" w:cstheme="minorBidi"/>
          <w:b w:val="0"/>
          <w:bCs w:val="0"/>
          <w:color w:val="auto"/>
          <w:kern w:val="2"/>
          <w:sz w:val="21"/>
          <w:szCs w:val="24"/>
          <w:highlight w:val="none"/>
          <w:lang w:val="en-US" w:eastAsia="zh-CN" w:bidi="ar-SA"/>
        </w:rPr>
        <w:t>《老年人照料设施建筑设计标准</w:t>
      </w:r>
      <w:r>
        <w:rPr>
          <w:rFonts w:hint="eastAsia"/>
          <w:b w:val="0"/>
          <w:bCs w:val="0"/>
          <w:color w:val="auto"/>
          <w:sz w:val="21"/>
          <w:szCs w:val="21"/>
          <w:highlight w:val="none"/>
          <w:lang w:val="en-US" w:eastAsia="zh-CN"/>
        </w:rPr>
        <w:t>》规范统一为1：6。</w:t>
      </w:r>
      <w:r>
        <w:rPr>
          <w:rFonts w:hint="eastAsia" w:asciiTheme="minorHAnsi" w:hAnsiTheme="minorHAnsi" w:eastAsiaTheme="minorEastAsia" w:cstheme="minorBidi"/>
          <w:b w:val="0"/>
          <w:bCs w:val="0"/>
          <w:color w:val="auto"/>
          <w:kern w:val="2"/>
          <w:sz w:val="21"/>
          <w:szCs w:val="24"/>
          <w:highlight w:val="none"/>
          <w:lang w:val="en-US" w:eastAsia="zh-CN" w:bidi="ar-SA"/>
        </w:rPr>
        <w:t>原规范</w:t>
      </w:r>
      <w:r>
        <w:rPr>
          <w:rFonts w:hint="eastAsia" w:cstheme="minorBidi"/>
          <w:b w:val="0"/>
          <w:bCs w:val="0"/>
          <w:color w:val="auto"/>
          <w:kern w:val="2"/>
          <w:sz w:val="21"/>
          <w:szCs w:val="24"/>
          <w:highlight w:val="none"/>
          <w:lang w:val="en-US" w:eastAsia="zh-CN" w:bidi="ar-SA"/>
        </w:rPr>
        <w:t>自然通风开口面积要求与《</w:t>
      </w:r>
      <w:r>
        <w:rPr>
          <w:rFonts w:hint="eastAsia" w:asciiTheme="minorHAnsi" w:hAnsiTheme="minorHAnsi" w:eastAsiaTheme="minorEastAsia" w:cstheme="minorBidi"/>
          <w:b w:val="0"/>
          <w:bCs w:val="0"/>
          <w:color w:val="auto"/>
          <w:kern w:val="2"/>
          <w:sz w:val="21"/>
          <w:szCs w:val="24"/>
          <w:highlight w:val="none"/>
          <w:lang w:val="en-US" w:eastAsia="zh-CN" w:bidi="ar-SA"/>
        </w:rPr>
        <w:t>民用建筑设计统一标准</w:t>
      </w:r>
      <w:r>
        <w:rPr>
          <w:rFonts w:hint="eastAsia" w:cstheme="minorBidi"/>
          <w:b w:val="0"/>
          <w:bCs w:val="0"/>
          <w:color w:val="auto"/>
          <w:kern w:val="2"/>
          <w:sz w:val="21"/>
          <w:szCs w:val="24"/>
          <w:highlight w:val="none"/>
          <w:lang w:val="en-US" w:eastAsia="zh-CN" w:bidi="ar-SA"/>
        </w:rPr>
        <w:t>》</w:t>
      </w:r>
      <w:r>
        <w:rPr>
          <w:rFonts w:hint="eastAsia" w:asciiTheme="minorHAnsi" w:hAnsiTheme="minorHAnsi" w:eastAsiaTheme="minorEastAsia" w:cstheme="minorBidi"/>
          <w:b w:val="0"/>
          <w:bCs w:val="0"/>
          <w:color w:val="auto"/>
          <w:kern w:val="2"/>
          <w:sz w:val="21"/>
          <w:szCs w:val="24"/>
          <w:highlight w:val="none"/>
          <w:lang w:val="en-US" w:eastAsia="zh-CN" w:bidi="ar-SA"/>
        </w:rPr>
        <w:t>GB50352-2019</w:t>
      </w:r>
      <w:r>
        <w:rPr>
          <w:rFonts w:hint="eastAsia" w:cstheme="minorBidi"/>
          <w:b w:val="0"/>
          <w:bCs w:val="0"/>
          <w:color w:val="auto"/>
          <w:kern w:val="2"/>
          <w:sz w:val="21"/>
          <w:szCs w:val="24"/>
          <w:highlight w:val="none"/>
          <w:lang w:val="en-US" w:eastAsia="zh-CN" w:bidi="ar-SA"/>
        </w:rPr>
        <w:t>，</w:t>
      </w:r>
      <w:r>
        <w:rPr>
          <w:rFonts w:hint="eastAsia" w:asciiTheme="minorHAnsi" w:hAnsiTheme="minorHAnsi" w:eastAsiaTheme="minorEastAsia" w:cstheme="minorBidi"/>
          <w:b w:val="0"/>
          <w:bCs w:val="0"/>
          <w:color w:val="auto"/>
          <w:kern w:val="2"/>
          <w:sz w:val="21"/>
          <w:szCs w:val="24"/>
          <w:highlight w:val="none"/>
          <w:lang w:val="en-US" w:eastAsia="zh-CN" w:bidi="ar-SA"/>
        </w:rPr>
        <w:t>7.</w:t>
      </w:r>
      <w:r>
        <w:rPr>
          <w:rFonts w:hint="eastAsia" w:cstheme="minorBidi"/>
          <w:b w:val="0"/>
          <w:bCs w:val="0"/>
          <w:color w:val="auto"/>
          <w:kern w:val="2"/>
          <w:sz w:val="21"/>
          <w:szCs w:val="24"/>
          <w:highlight w:val="none"/>
          <w:lang w:val="en-US" w:eastAsia="zh-CN" w:bidi="ar-SA"/>
        </w:rPr>
        <w:t>2.2条一致，不做修改。</w:t>
      </w:r>
    </w:p>
    <w:p w14:paraId="4A18CD93">
      <w:pPr>
        <w:numPr>
          <w:ilvl w:val="2"/>
          <w:numId w:val="17"/>
        </w:numPr>
        <w:ind w:left="0" w:leftChars="0" w:firstLine="0" w:firstLineChars="0"/>
        <w:rPr>
          <w:rFonts w:hint="default"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 w:bidi="ar-SA"/>
          <w:woUserID w:val="1"/>
        </w:rPr>
        <w:t>医用电梯应满足《医用电梯制造与安全规范》GB/T24477的要求。</w:t>
      </w:r>
    </w:p>
    <w:p w14:paraId="0448E8BB">
      <w:pPr>
        <w:numPr>
          <w:ilvl w:val="2"/>
          <w:numId w:val="18"/>
        </w:numPr>
        <w:ind w:left="0" w:leftChars="0" w:firstLine="0" w:firstLineChars="0"/>
        <w:rPr>
          <w:color w:val="auto"/>
          <w:highlight w:val="none"/>
        </w:rPr>
      </w:pPr>
      <w:r>
        <w:rPr>
          <w:rFonts w:hint="eastAsia" w:cstheme="minorBidi"/>
          <w:b w:val="0"/>
          <w:bCs w:val="0"/>
          <w:color w:val="auto"/>
          <w:kern w:val="2"/>
          <w:sz w:val="21"/>
          <w:szCs w:val="24"/>
          <w:highlight w:val="none"/>
          <w:lang w:val="en-US" w:eastAsia="zh-CN" w:bidi="ar-SA"/>
        </w:rPr>
        <w:t>根据《</w:t>
      </w:r>
      <w:r>
        <w:rPr>
          <w:rFonts w:hint="default" w:asciiTheme="minorHAnsi" w:hAnsiTheme="minorHAnsi" w:eastAsiaTheme="minorEastAsia" w:cstheme="minorBidi"/>
          <w:b w:val="0"/>
          <w:bCs w:val="0"/>
          <w:color w:val="auto"/>
          <w:kern w:val="2"/>
          <w:sz w:val="21"/>
          <w:szCs w:val="24"/>
          <w:highlight w:val="none"/>
          <w:lang w:val="en-US" w:eastAsia="zh-CN" w:bidi="ar-SA"/>
        </w:rPr>
        <w:t>建筑地面设计规范</w:t>
      </w:r>
      <w:r>
        <w:rPr>
          <w:rFonts w:hint="eastAsia" w:cstheme="minorBidi"/>
          <w:b w:val="0"/>
          <w:bCs w:val="0"/>
          <w:color w:val="auto"/>
          <w:kern w:val="2"/>
          <w:sz w:val="21"/>
          <w:szCs w:val="24"/>
          <w:highlight w:val="none"/>
          <w:lang w:val="en-US" w:eastAsia="zh-CN" w:bidi="ar-SA"/>
        </w:rPr>
        <w:t>》</w:t>
      </w:r>
      <w:r>
        <w:rPr>
          <w:rFonts w:hint="default" w:asciiTheme="minorHAnsi" w:hAnsiTheme="minorHAnsi" w:eastAsiaTheme="minorEastAsia" w:cstheme="minorBidi"/>
          <w:b w:val="0"/>
          <w:bCs w:val="0"/>
          <w:color w:val="auto"/>
          <w:kern w:val="2"/>
          <w:sz w:val="21"/>
          <w:szCs w:val="24"/>
          <w:highlight w:val="none"/>
          <w:lang w:val="en-US" w:eastAsia="zh-CN" w:bidi="ar-SA"/>
        </w:rPr>
        <w:t>GB50037-2013</w:t>
      </w:r>
      <w:r>
        <w:rPr>
          <w:rFonts w:hint="eastAsia" w:cstheme="minorBidi"/>
          <w:b w:val="0"/>
          <w:bCs w:val="0"/>
          <w:color w:val="auto"/>
          <w:kern w:val="2"/>
          <w:sz w:val="21"/>
          <w:szCs w:val="24"/>
          <w:highlight w:val="none"/>
          <w:lang w:val="en-US" w:eastAsia="zh-CN" w:bidi="ar-SA"/>
        </w:rPr>
        <w:t>，3.2.1条，增加不易起尘、易于清洁的要求。</w:t>
      </w:r>
    </w:p>
    <w:p w14:paraId="4C4C62E1">
      <w:pPr>
        <w:numPr>
          <w:ilvl w:val="2"/>
          <w:numId w:val="0"/>
        </w:numPr>
        <w:ind w:left="0" w:leftChars="0" w:firstLine="0" w:firstLineChars="0"/>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default" w:asciiTheme="minorHAnsi" w:hAnsiTheme="minorHAnsi" w:eastAsiaTheme="minorEastAsia" w:cstheme="minorBidi"/>
          <w:b/>
          <w:bCs/>
          <w:color w:val="auto"/>
          <w:kern w:val="2"/>
          <w:sz w:val="21"/>
          <w:szCs w:val="24"/>
          <w:highlight w:val="none"/>
          <w:lang w:val="en-US" w:eastAsia="zh-CN" w:bidi="ar-SA"/>
        </w:rPr>
        <w:t>3.0.1</w:t>
      </w:r>
      <w:r>
        <w:rPr>
          <w:rFonts w:hint="eastAsia" w:cstheme="minorBidi"/>
          <w:b/>
          <w:bCs/>
          <w:color w:val="auto"/>
          <w:kern w:val="2"/>
          <w:sz w:val="21"/>
          <w:szCs w:val="24"/>
          <w:highlight w:val="none"/>
          <w:lang w:val="en-US" w:eastAsia="zh-CN" w:bidi="ar-SA"/>
        </w:rPr>
        <w:t>0</w:t>
      </w:r>
      <w:r>
        <w:rPr>
          <w:rFonts w:hint="eastAsia" w:cstheme="minorBidi"/>
          <w:b w:val="0"/>
          <w:bCs w:val="0"/>
          <w:color w:val="auto"/>
          <w:kern w:val="2"/>
          <w:sz w:val="21"/>
          <w:szCs w:val="24"/>
          <w:highlight w:val="none"/>
          <w:lang w:val="en-US" w:eastAsia="zh-CN" w:bidi="ar-SA"/>
        </w:rPr>
        <w:t>参考</w:t>
      </w:r>
      <w:r>
        <w:rPr>
          <w:rFonts w:hint="eastAsia" w:asciiTheme="minorHAnsi" w:hAnsiTheme="minorHAnsi" w:eastAsiaTheme="minorEastAsia" w:cstheme="minorBidi"/>
          <w:b w:val="0"/>
          <w:bCs w:val="0"/>
          <w:color w:val="auto"/>
          <w:kern w:val="2"/>
          <w:sz w:val="21"/>
          <w:szCs w:val="24"/>
          <w:highlight w:val="none"/>
          <w:lang w:val="en-US" w:eastAsia="zh-CN" w:bidi="ar-SA"/>
        </w:rPr>
        <w:t>《老年人照料设施建筑设计标准</w:t>
      </w:r>
      <w:r>
        <w:rPr>
          <w:rFonts w:hint="eastAsia" w:cstheme="minorBidi"/>
          <w:b w:val="0"/>
          <w:bCs w:val="0"/>
          <w:color w:val="auto"/>
          <w:kern w:val="2"/>
          <w:sz w:val="21"/>
          <w:szCs w:val="24"/>
          <w:highlight w:val="none"/>
          <w:lang w:val="en-US" w:eastAsia="zh-CN" w:bidi="ar-SA"/>
        </w:rPr>
        <w:t>》</w:t>
      </w:r>
      <w:r>
        <w:rPr>
          <w:rFonts w:hint="eastAsia" w:asciiTheme="minorHAnsi" w:hAnsiTheme="minorHAnsi" w:eastAsiaTheme="minorEastAsia" w:cstheme="minorBidi"/>
          <w:b w:val="0"/>
          <w:bCs w:val="0"/>
          <w:color w:val="auto"/>
          <w:kern w:val="2"/>
          <w:sz w:val="21"/>
          <w:szCs w:val="24"/>
          <w:highlight w:val="none"/>
          <w:lang w:val="en-US" w:eastAsia="zh-CN" w:bidi="ar-SA"/>
        </w:rPr>
        <w:t>JGJ 450-2018，6.1.1</w:t>
      </w:r>
      <w:r>
        <w:rPr>
          <w:rFonts w:hint="eastAsia" w:cstheme="minorBidi"/>
          <w:b w:val="0"/>
          <w:bCs w:val="0"/>
          <w:color w:val="auto"/>
          <w:kern w:val="2"/>
          <w:sz w:val="21"/>
          <w:szCs w:val="24"/>
          <w:highlight w:val="none"/>
          <w:lang w:val="en-US" w:eastAsia="zh-CN" w:bidi="ar-SA"/>
        </w:rPr>
        <w:t>条，</w:t>
      </w:r>
      <w:r>
        <w:rPr>
          <w:rFonts w:hint="eastAsia" w:asciiTheme="minorHAnsi" w:hAnsiTheme="minorHAnsi" w:eastAsiaTheme="minorEastAsia" w:cstheme="minorBidi"/>
          <w:b w:val="0"/>
          <w:bCs w:val="0"/>
          <w:color w:val="auto"/>
          <w:kern w:val="2"/>
          <w:sz w:val="21"/>
          <w:szCs w:val="24"/>
          <w:highlight w:val="none"/>
          <w:lang w:val="en-US" w:eastAsia="zh-CN" w:bidi="ar-SA"/>
        </w:rPr>
        <w:t>整合交通空间部分说明，完善房间类型说明。</w:t>
      </w:r>
    </w:p>
    <w:p w14:paraId="3022EA02">
      <w:pPr>
        <w:numPr>
          <w:ilvl w:val="2"/>
          <w:numId w:val="0"/>
        </w:numPr>
        <w:ind w:left="0" w:leftChars="0" w:firstLine="0" w:firstLineChars="0"/>
        <w:rPr>
          <w:rFonts w:hint="eastAsia" w:asciiTheme="minorHAnsi" w:hAnsiTheme="minorHAnsi" w:eastAsiaTheme="minorEastAsia" w:cstheme="minorBidi"/>
          <w:b w:val="0"/>
          <w:bCs w:val="0"/>
          <w:color w:val="auto"/>
          <w:kern w:val="2"/>
          <w:sz w:val="21"/>
          <w:szCs w:val="24"/>
          <w:highlight w:val="none"/>
          <w:lang w:val="en-US" w:eastAsia="zh-CN" w:bidi="ar-SA"/>
        </w:rPr>
      </w:pPr>
    </w:p>
    <w:p w14:paraId="3D057569">
      <w:pPr>
        <w:rPr>
          <w:color w:val="auto"/>
          <w:highlight w:val="none"/>
        </w:rPr>
      </w:pPr>
    </w:p>
    <w:p w14:paraId="22EC8041">
      <w:pPr>
        <w:rPr>
          <w:rFonts w:hint="default"/>
          <w:color w:val="auto"/>
          <w:highlight w:val="none"/>
          <w:lang w:val="en-US" w:eastAsia="zh-CN"/>
        </w:rPr>
      </w:pPr>
    </w:p>
    <w:p w14:paraId="17F0BE87">
      <w:pPr>
        <w:numPr>
          <w:ilvl w:val="0"/>
          <w:numId w:val="15"/>
        </w:numPr>
        <w:ind w:left="425" w:leftChars="0" w:hanging="425" w:firstLineChars="0"/>
        <w:jc w:val="center"/>
        <w:outlineLvl w:val="0"/>
        <w:rPr>
          <w:rStyle w:val="20"/>
          <w:rFonts w:ascii="Times New Roman" w:hAnsi="Times New Roman" w:eastAsia="宋体" w:cs="Times New Roman"/>
          <w:color w:val="auto"/>
          <w:highlight w:val="none"/>
        </w:rPr>
      </w:pPr>
      <w:bookmarkStart w:id="146" w:name="_Toc23448"/>
      <w:bookmarkStart w:id="147" w:name="_Toc7398"/>
      <w:bookmarkStart w:id="148" w:name="_Toc11670"/>
      <w:r>
        <w:rPr>
          <w:rStyle w:val="20"/>
          <w:rFonts w:ascii="Times New Roman" w:hAnsi="Times New Roman" w:eastAsia="宋体" w:cs="Times New Roman"/>
          <w:color w:val="auto"/>
          <w:highlight w:val="none"/>
        </w:rPr>
        <w:t>总 平 面</w:t>
      </w:r>
      <w:bookmarkEnd w:id="146"/>
      <w:bookmarkEnd w:id="147"/>
      <w:bookmarkEnd w:id="148"/>
      <w:r>
        <w:rPr>
          <w:rStyle w:val="20"/>
          <w:rFonts w:ascii="Times New Roman" w:hAnsi="Times New Roman" w:eastAsia="宋体" w:cs="Times New Roman"/>
          <w:color w:val="auto"/>
          <w:highlight w:val="none"/>
        </w:rPr>
        <w:t xml:space="preserve"> </w:t>
      </w:r>
    </w:p>
    <w:p w14:paraId="3ACC372C">
      <w:pPr>
        <w:numPr>
          <w:ilvl w:val="0"/>
          <w:numId w:val="0"/>
        </w:numPr>
        <w:ind w:leftChars="0"/>
        <w:jc w:val="both"/>
        <w:rPr>
          <w:rStyle w:val="20"/>
          <w:rFonts w:ascii="Times New Roman" w:hAnsi="Times New Roman" w:eastAsia="宋体" w:cs="Times New Roman"/>
          <w:color w:val="auto"/>
          <w:highlight w:val="none"/>
        </w:rPr>
      </w:pPr>
    </w:p>
    <w:p w14:paraId="1BDFAEC0">
      <w:pPr>
        <w:numPr>
          <w:ilvl w:val="2"/>
          <w:numId w:val="19"/>
        </w:numPr>
        <w:ind w:left="0" w:leftChars="0" w:firstLine="0" w:firstLineChars="0"/>
        <w:rPr>
          <w:rFonts w:hint="eastAsia"/>
          <w:color w:val="auto"/>
          <w:highlight w:val="none"/>
          <w:lang w:val="en-US" w:eastAsia="zh-CN"/>
        </w:rPr>
      </w:pPr>
      <w:r>
        <w:rPr>
          <w:rFonts w:hint="eastAsia"/>
          <w:color w:val="auto"/>
          <w:highlight w:val="none"/>
          <w:lang w:val="en-US" w:eastAsia="zh-CN"/>
        </w:rPr>
        <w:t>根据《城镇老年人设施规划规范》GB50437-2007（2018版），5.1.2条：“老年人设施的日照标准应符合现行国家标准《城市居住区规划设计标准》GB50180的有关规定。”根据《城市居住区规划设计标准》GB50180-2018，4.0.9条：“老年人居住建筑日照标准不应低于冬至日日照时数2h”（强条）。</w:t>
      </w:r>
    </w:p>
    <w:p w14:paraId="67D7E8B9">
      <w:pPr>
        <w:numPr>
          <w:ilvl w:val="0"/>
          <w:numId w:val="0"/>
        </w:numPr>
        <w:ind w:leftChars="0"/>
        <w:rPr>
          <w:rFonts w:hint="default" w:eastAsiaTheme="minorEastAsia"/>
          <w:color w:val="auto"/>
          <w:highlight w:val="none"/>
          <w:lang w:val="en-US" w:eastAsia="zh-CN"/>
        </w:rPr>
      </w:pPr>
    </w:p>
    <w:p w14:paraId="462BD02F">
      <w:pPr>
        <w:numPr>
          <w:ilvl w:val="0"/>
          <w:numId w:val="0"/>
        </w:numPr>
        <w:ind w:leftChars="0"/>
        <w:jc w:val="both"/>
        <w:rPr>
          <w:rStyle w:val="20"/>
          <w:rFonts w:ascii="Times New Roman" w:hAnsi="Times New Roman" w:eastAsia="宋体" w:cs="Times New Roman"/>
          <w:color w:val="auto"/>
          <w:highlight w:val="none"/>
        </w:rPr>
      </w:pPr>
    </w:p>
    <w:p w14:paraId="064295AC">
      <w:pPr>
        <w:numPr>
          <w:ilvl w:val="0"/>
          <w:numId w:val="15"/>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149" w:name="_Toc1737"/>
      <w:bookmarkStart w:id="150" w:name="_Toc11380"/>
      <w:bookmarkStart w:id="151" w:name="_Toc2285"/>
      <w:r>
        <w:rPr>
          <w:rStyle w:val="19"/>
          <w:rFonts w:hint="eastAsia" w:ascii="Times New Roman" w:hAnsi="Times New Roman" w:eastAsia="宋体" w:cs="Times New Roman"/>
          <w:color w:val="auto"/>
          <w:highlight w:val="none"/>
          <w:lang w:val="en-US" w:eastAsia="zh-CN"/>
        </w:rPr>
        <w:t>建筑设计</w:t>
      </w:r>
      <w:bookmarkEnd w:id="149"/>
      <w:bookmarkEnd w:id="150"/>
      <w:bookmarkEnd w:id="151"/>
    </w:p>
    <w:p w14:paraId="5856E3F2">
      <w:pPr>
        <w:numPr>
          <w:ilvl w:val="0"/>
          <w:numId w:val="0"/>
        </w:numPr>
        <w:ind w:leftChars="0"/>
        <w:jc w:val="both"/>
        <w:outlineLvl w:val="9"/>
        <w:rPr>
          <w:rStyle w:val="19"/>
          <w:rFonts w:hint="default" w:ascii="Times New Roman" w:hAnsi="Times New Roman" w:eastAsia="宋体" w:cs="Times New Roman"/>
          <w:color w:val="auto"/>
          <w:highlight w:val="none"/>
          <w:lang w:val="en-US" w:eastAsia="zh-CN"/>
        </w:rPr>
      </w:pPr>
    </w:p>
    <w:p w14:paraId="373C07AC">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52" w:name="_Toc2983"/>
      <w:bookmarkStart w:id="153" w:name="_Toc5583"/>
      <w:bookmarkStart w:id="154" w:name="_Toc2197"/>
      <w:r>
        <w:rPr>
          <w:rStyle w:val="19"/>
          <w:rFonts w:hint="eastAsia" w:ascii="Times New Roman" w:hAnsi="Times New Roman" w:eastAsia="宋体" w:cs="Times New Roman"/>
          <w:color w:val="auto"/>
          <w:sz w:val="28"/>
          <w:szCs w:val="40"/>
          <w:highlight w:val="none"/>
          <w:lang w:val="en-US" w:eastAsia="zh-CN"/>
        </w:rPr>
        <w:t xml:space="preserve">5.1 </w:t>
      </w:r>
      <w:r>
        <w:rPr>
          <w:rStyle w:val="19"/>
          <w:rFonts w:hint="eastAsia" w:ascii="黑体" w:hAnsi="黑体" w:eastAsia="黑体" w:cs="黑体"/>
          <w:color w:val="auto"/>
          <w:sz w:val="28"/>
          <w:szCs w:val="40"/>
          <w:highlight w:val="none"/>
          <w:lang w:val="en-US" w:eastAsia="zh-CN"/>
        </w:rPr>
        <w:t>用房设置</w:t>
      </w:r>
      <w:bookmarkEnd w:id="152"/>
      <w:bookmarkEnd w:id="153"/>
    </w:p>
    <w:bookmarkEnd w:id="154"/>
    <w:p w14:paraId="1A2BF098">
      <w:pPr>
        <w:numPr>
          <w:ilvl w:val="2"/>
          <w:numId w:val="20"/>
        </w:numPr>
        <w:bidi w:val="0"/>
        <w:ind w:left="0" w:leftChars="0" w:firstLine="0" w:firstLineChars="0"/>
        <w:rPr>
          <w:color w:val="auto"/>
          <w:highlight w:val="none"/>
        </w:rPr>
      </w:pPr>
      <w:r>
        <w:rPr>
          <w:color w:val="auto"/>
          <w:highlight w:val="none"/>
        </w:rPr>
        <w:t>根据老年人使用情况，</w:t>
      </w:r>
      <w:r>
        <w:rPr>
          <w:rFonts w:hint="eastAsia"/>
          <w:color w:val="auto"/>
          <w:highlight w:val="none"/>
          <w:lang w:eastAsia="zh"/>
        </w:rPr>
        <w:t>老年人照料设施</w:t>
      </w:r>
      <w:r>
        <w:rPr>
          <w:color w:val="auto"/>
          <w:highlight w:val="none"/>
        </w:rPr>
        <w:t>的内部用房可以划分为两大类：老年人用房和管理服务用房。</w:t>
      </w:r>
    </w:p>
    <w:p w14:paraId="338365C1">
      <w:pPr>
        <w:numPr>
          <w:ilvl w:val="0"/>
          <w:numId w:val="0"/>
        </w:numPr>
        <w:bidi w:val="0"/>
        <w:ind w:left="0" w:leftChars="0" w:firstLine="420" w:firstLineChars="200"/>
        <w:rPr>
          <w:color w:val="auto"/>
          <w:highlight w:val="none"/>
        </w:rPr>
      </w:pPr>
      <w:r>
        <w:rPr>
          <w:color w:val="auto"/>
          <w:highlight w:val="none"/>
        </w:rPr>
        <w:t>老年人用房是指老年人日常生活活动需要使用的房间。根据不同功能又可划分为三类： 生活用房、医疗保健用房、公共活动用房。各类用房的房间在无相互干扰且满足使用功能的前提下可合并设置。</w:t>
      </w:r>
    </w:p>
    <w:p w14:paraId="694501F9">
      <w:pPr>
        <w:numPr>
          <w:ilvl w:val="0"/>
          <w:numId w:val="0"/>
        </w:numPr>
        <w:bidi w:val="0"/>
        <w:ind w:left="0" w:leftChars="0" w:firstLine="420" w:firstLineChars="200"/>
        <w:rPr>
          <w:color w:val="auto"/>
          <w:highlight w:val="none"/>
        </w:rPr>
      </w:pPr>
      <w:r>
        <w:rPr>
          <w:color w:val="auto"/>
          <w:highlight w:val="none"/>
        </w:rPr>
        <w:t>生活用房是老年人的生活起居及为其提供各类保障服务的房间，包括居住用房、生活辅助用房和生活服务用房。其中居住用房包括卧室、起居室、亲情居室；生活辅助用房包括自 用卫生间、公用卫生间、公用沐浴间、公用自助厨房、公共餐厅、自助洗衣间、开水间、护理站、污物间、交往厅；生活服务用房包括老年人专用浴室、理发室、商店和银行、 邮电、保险代理等房间。</w:t>
      </w:r>
    </w:p>
    <w:p w14:paraId="3AEB88A7">
      <w:pPr>
        <w:numPr>
          <w:ilvl w:val="0"/>
          <w:numId w:val="0"/>
        </w:numPr>
        <w:bidi w:val="0"/>
        <w:ind w:left="0" w:leftChars="0" w:firstLine="420" w:firstLineChars="200"/>
        <w:rPr>
          <w:rFonts w:hint="eastAsia" w:ascii="TT30A45o00" w:hAnsi="TT30A45o00" w:eastAsia="TT30A45o00" w:cs="TT30A45o00"/>
          <w:color w:val="auto"/>
          <w:kern w:val="0"/>
          <w:sz w:val="21"/>
          <w:szCs w:val="21"/>
          <w:highlight w:val="none"/>
          <w:lang w:val="en-US" w:eastAsia="zh-CN" w:bidi="ar"/>
        </w:rPr>
      </w:pPr>
      <w:r>
        <w:rPr>
          <w:color w:val="auto"/>
          <w:highlight w:val="none"/>
        </w:rPr>
        <w:t xml:space="preserve">医疗保健用房分为医疗用房和保健用房。医疗用房为老年人提供必要的诊察和治疗功能，包括医务室、 观察室、治疗室、 检验室、 </w:t>
      </w:r>
      <w:r>
        <w:rPr>
          <w:rFonts w:hint="eastAsia" w:asciiTheme="majorEastAsia" w:hAnsiTheme="majorEastAsia" w:eastAsiaTheme="majorEastAsia" w:cstheme="majorEastAsia"/>
          <w:b w:val="0"/>
          <w:bCs w:val="0"/>
          <w:color w:val="auto"/>
          <w:kern w:val="0"/>
          <w:sz w:val="21"/>
          <w:szCs w:val="21"/>
          <w:highlight w:val="none"/>
        </w:rPr>
        <w:t>药</w:t>
      </w:r>
      <w:r>
        <w:rPr>
          <w:rFonts w:hint="eastAsia" w:asciiTheme="majorEastAsia" w:hAnsiTheme="majorEastAsia" w:eastAsiaTheme="majorEastAsia" w:cstheme="majorEastAsia"/>
          <w:b w:val="0"/>
          <w:bCs w:val="0"/>
          <w:color w:val="auto"/>
          <w:kern w:val="0"/>
          <w:sz w:val="21"/>
          <w:szCs w:val="21"/>
          <w:highlight w:val="none"/>
          <w:lang w:val="en-US" w:eastAsia="zh-CN"/>
        </w:rPr>
        <w:t>房</w:t>
      </w:r>
      <w:r>
        <w:rPr>
          <w:color w:val="auto"/>
          <w:highlight w:val="none"/>
        </w:rPr>
        <w:t>、</w:t>
      </w:r>
      <w:r>
        <w:rPr>
          <w:rFonts w:hint="eastAsia"/>
          <w:color w:val="auto"/>
          <w:highlight w:val="none"/>
          <w:lang w:eastAsia="zh-CN"/>
        </w:rPr>
        <w:t>隔离</w:t>
      </w:r>
      <w:r>
        <w:rPr>
          <w:rFonts w:hint="eastAsia" w:asciiTheme="majorEastAsia" w:hAnsiTheme="majorEastAsia" w:eastAsiaTheme="majorEastAsia" w:cstheme="majorEastAsia"/>
          <w:b w:val="0"/>
          <w:bCs w:val="0"/>
          <w:color w:val="auto"/>
          <w:kern w:val="0"/>
          <w:sz w:val="21"/>
          <w:szCs w:val="21"/>
          <w:highlight w:val="none"/>
          <w:lang w:val="en-US" w:eastAsia="zh-CN"/>
        </w:rPr>
        <w:t>离室、</w:t>
      </w:r>
      <w:r>
        <w:rPr>
          <w:color w:val="auto"/>
          <w:highlight w:val="none"/>
        </w:rPr>
        <w:t>处置室和临终关怀室等房间； 保健用房则为老年人提供康复保健和心理疏导服务功能，包括保健室、 康复室和心理疏导室。</w:t>
      </w:r>
      <w:r>
        <w:rPr>
          <w:rFonts w:ascii="TT30A45o02" w:hAnsi="TT30A45o02" w:eastAsia="TT30A45o02" w:cs="TT30A45o02"/>
          <w:color w:val="auto"/>
          <w:kern w:val="0"/>
          <w:sz w:val="21"/>
          <w:szCs w:val="21"/>
          <w:highlight w:val="none"/>
          <w:lang w:val="en-US" w:eastAsia="zh-CN" w:bidi="ar"/>
        </w:rPr>
        <w:t>根据</w:t>
      </w:r>
      <w:r>
        <w:rPr>
          <w:rFonts w:ascii="TT30A45o01" w:hAnsi="TT30A45o01" w:eastAsia="TT30A45o01" w:cs="TT30A45o01"/>
          <w:color w:val="auto"/>
          <w:kern w:val="0"/>
          <w:sz w:val="21"/>
          <w:szCs w:val="21"/>
          <w:highlight w:val="none"/>
          <w:lang w:val="en-US" w:eastAsia="zh-CN" w:bidi="ar"/>
        </w:rPr>
        <w:t>目</w:t>
      </w:r>
      <w:r>
        <w:rPr>
          <w:rFonts w:ascii="TT30A45o00" w:hAnsi="TT30A45o00" w:eastAsia="TT30A45o00" w:cs="TT30A45o00"/>
          <w:color w:val="auto"/>
          <w:kern w:val="0"/>
          <w:sz w:val="21"/>
          <w:szCs w:val="21"/>
          <w:highlight w:val="none"/>
          <w:lang w:val="en-US" w:eastAsia="zh-CN" w:bidi="ar"/>
        </w:rPr>
        <w:t>前国内经济</w:t>
      </w:r>
      <w:r>
        <w:rPr>
          <w:rFonts w:hint="default" w:ascii="TT30A45o01" w:hAnsi="TT30A45o01" w:eastAsia="TT30A45o01" w:cs="TT30A45o01"/>
          <w:color w:val="auto"/>
          <w:kern w:val="0"/>
          <w:sz w:val="21"/>
          <w:szCs w:val="21"/>
          <w:highlight w:val="none"/>
          <w:lang w:val="en-US" w:eastAsia="zh-CN" w:bidi="ar"/>
        </w:rPr>
        <w:t>状</w:t>
      </w:r>
      <w:r>
        <w:rPr>
          <w:rFonts w:hint="default" w:ascii="TT30A45o00" w:hAnsi="TT30A45o00" w:eastAsia="TT30A45o00" w:cs="TT30A45o00"/>
          <w:color w:val="auto"/>
          <w:kern w:val="0"/>
          <w:sz w:val="21"/>
          <w:szCs w:val="21"/>
          <w:highlight w:val="none"/>
          <w:lang w:val="en-US" w:eastAsia="zh-CN" w:bidi="ar"/>
        </w:rPr>
        <w:t>况和</w:t>
      </w:r>
      <w:r>
        <w:rPr>
          <w:rFonts w:hint="eastAsia" w:ascii="TT30A45o00" w:hAnsi="TT30A45o00" w:eastAsia="TT30A45o00" w:cs="TT30A45o00"/>
          <w:color w:val="auto"/>
          <w:kern w:val="0"/>
          <w:sz w:val="21"/>
          <w:szCs w:val="21"/>
          <w:highlight w:val="none"/>
          <w:lang w:val="en-US" w:eastAsia="zh-CN" w:bidi="ar"/>
        </w:rPr>
        <w:t>我省</w:t>
      </w:r>
      <w:r>
        <w:rPr>
          <w:rFonts w:hint="default" w:ascii="TT30A45o00" w:hAnsi="TT30A45o00" w:eastAsia="TT30A45o00" w:cs="TT30A45o00"/>
          <w:color w:val="auto"/>
          <w:kern w:val="0"/>
          <w:sz w:val="21"/>
          <w:szCs w:val="21"/>
          <w:highlight w:val="none"/>
          <w:lang w:val="en-US" w:eastAsia="zh-CN" w:bidi="ar"/>
        </w:rPr>
        <w:t>现有</w:t>
      </w:r>
      <w:r>
        <w:rPr>
          <w:rFonts w:hint="eastAsia" w:eastAsia="宋体"/>
          <w:color w:val="auto"/>
          <w:highlight w:val="none"/>
          <w:lang w:eastAsia="zh"/>
        </w:rPr>
        <w:t>老年人照料设施</w:t>
      </w:r>
      <w:r>
        <w:rPr>
          <w:rFonts w:hint="eastAsia"/>
          <w:color w:val="auto"/>
          <w:highlight w:val="none"/>
          <w:lang w:eastAsia="zh-CN"/>
        </w:rPr>
        <w:t>调</w:t>
      </w:r>
      <w:r>
        <w:rPr>
          <w:rFonts w:ascii="TT30A45o03" w:hAnsi="TT30A45o03" w:eastAsia="TT30A45o03" w:cs="TT30A45o03"/>
          <w:color w:val="auto"/>
          <w:kern w:val="0"/>
          <w:sz w:val="21"/>
          <w:szCs w:val="21"/>
          <w:highlight w:val="none"/>
          <w:lang w:val="en-US" w:eastAsia="zh-CN" w:bidi="ar"/>
        </w:rPr>
        <w:t>查</w:t>
      </w:r>
      <w:r>
        <w:rPr>
          <w:rFonts w:hint="default" w:ascii="TT30A45o00" w:hAnsi="TT30A45o00" w:eastAsia="TT30A45o00" w:cs="TT30A45o00"/>
          <w:color w:val="auto"/>
          <w:kern w:val="0"/>
          <w:sz w:val="21"/>
          <w:szCs w:val="21"/>
          <w:highlight w:val="none"/>
          <w:lang w:val="en-US" w:eastAsia="zh-CN" w:bidi="ar"/>
        </w:rPr>
        <w:t>情况，</w:t>
      </w:r>
      <w:r>
        <w:rPr>
          <w:rFonts w:hint="eastAsia" w:ascii="TT30A45o00" w:hAnsi="TT30A45o00" w:eastAsia="TT30A45o00" w:cs="TT30A45o00"/>
          <w:color w:val="auto"/>
          <w:kern w:val="0"/>
          <w:sz w:val="21"/>
          <w:szCs w:val="21"/>
          <w:highlight w:val="none"/>
          <w:lang w:val="en-US" w:eastAsia="zh-CN" w:bidi="ar"/>
        </w:rPr>
        <w:t>除大型、特大型</w:t>
      </w:r>
      <w:r>
        <w:rPr>
          <w:rFonts w:hint="eastAsia" w:ascii="TT30A45o00" w:hAnsi="TT30A45o00" w:eastAsia="TT30A45o00" w:cs="TT30A45o00"/>
          <w:color w:val="auto"/>
          <w:kern w:val="0"/>
          <w:sz w:val="21"/>
          <w:szCs w:val="21"/>
          <w:highlight w:val="none"/>
          <w:lang w:val="en-US" w:eastAsia="zh" w:bidi="ar"/>
        </w:rPr>
        <w:t>老年人照料设施</w:t>
      </w:r>
      <w:r>
        <w:rPr>
          <w:rFonts w:hint="eastAsia" w:ascii="TT30A45o00" w:hAnsi="TT30A45o00" w:eastAsia="TT30A45o00" w:cs="TT30A45o00"/>
          <w:color w:val="auto"/>
          <w:kern w:val="0"/>
          <w:sz w:val="21"/>
          <w:szCs w:val="21"/>
          <w:highlight w:val="none"/>
          <w:lang w:val="en-US" w:eastAsia="zh-CN" w:bidi="ar"/>
        </w:rPr>
        <w:t>，检验室可根据具体情设置；隔离室主要是为了对患有传染病或可能患有传染病的老年人进行隔离观察和治疗，防止疾病在</w:t>
      </w:r>
      <w:r>
        <w:rPr>
          <w:rFonts w:hint="eastAsia" w:ascii="TT30A45o00" w:hAnsi="TT30A45o00" w:eastAsia="TT30A45o00" w:cs="TT30A45o00"/>
          <w:color w:val="auto"/>
          <w:kern w:val="0"/>
          <w:sz w:val="21"/>
          <w:szCs w:val="21"/>
          <w:highlight w:val="none"/>
          <w:lang w:val="en-US" w:eastAsia="zh" w:bidi="ar"/>
        </w:rPr>
        <w:t>老年人照料设施</w:t>
      </w:r>
      <w:r>
        <w:rPr>
          <w:rFonts w:hint="eastAsia" w:ascii="TT30A45o00" w:hAnsi="TT30A45o00" w:eastAsia="TT30A45o00" w:cs="TT30A45o00"/>
          <w:color w:val="auto"/>
          <w:kern w:val="0"/>
          <w:sz w:val="21"/>
          <w:szCs w:val="21"/>
          <w:highlight w:val="none"/>
          <w:lang w:val="en-US" w:eastAsia="zh-CN" w:bidi="ar"/>
        </w:rPr>
        <w:t>内传播，保护其他老年人和工作人员的健康安全。</w:t>
      </w:r>
    </w:p>
    <w:p w14:paraId="4A184F14">
      <w:pPr>
        <w:numPr>
          <w:ilvl w:val="0"/>
          <w:numId w:val="0"/>
        </w:numPr>
        <w:bidi w:val="0"/>
        <w:ind w:left="0" w:leftChars="0" w:firstLine="420" w:firstLineChars="200"/>
        <w:rPr>
          <w:rFonts w:hint="eastAsia" w:ascii="TT30A45o00" w:hAnsi="TT30A45o00" w:eastAsia="TT30A45o00" w:cs="TT30A45o00"/>
          <w:color w:val="auto"/>
          <w:kern w:val="0"/>
          <w:sz w:val="21"/>
          <w:szCs w:val="21"/>
          <w:highlight w:val="none"/>
          <w:lang w:val="en-US" w:eastAsia="zh-CN" w:bidi="ar"/>
        </w:rPr>
      </w:pPr>
      <w:r>
        <w:rPr>
          <w:color w:val="auto"/>
          <w:highlight w:val="none"/>
        </w:rPr>
        <w:t>公共活动用房是为老年人提供文化知识学习和休闲健身交往娱乐的房间，包括活动室、多功能厅和阳光厅（风雨廊 ）。其中活动室包括阅览室、网络室、棋牌室、书画室、健身房和教室等房间</w:t>
      </w:r>
      <w:r>
        <w:rPr>
          <w:rFonts w:hint="eastAsia"/>
          <w:color w:val="auto"/>
          <w:highlight w:val="none"/>
          <w:lang w:eastAsia="zh-CN"/>
        </w:rPr>
        <w:t>。</w:t>
      </w:r>
      <w:r>
        <w:rPr>
          <w:rFonts w:ascii="TT30A45o02" w:hAnsi="TT30A45o02" w:eastAsia="TT30A45o02" w:cs="TT30A45o02"/>
          <w:color w:val="auto"/>
          <w:kern w:val="0"/>
          <w:sz w:val="21"/>
          <w:szCs w:val="21"/>
          <w:highlight w:val="none"/>
          <w:lang w:val="en-US" w:eastAsia="zh-CN" w:bidi="ar"/>
        </w:rPr>
        <w:t>根据</w:t>
      </w:r>
      <w:r>
        <w:rPr>
          <w:rFonts w:ascii="TT30A45o01" w:hAnsi="TT30A45o01" w:eastAsia="TT30A45o01" w:cs="TT30A45o01"/>
          <w:color w:val="auto"/>
          <w:kern w:val="0"/>
          <w:sz w:val="21"/>
          <w:szCs w:val="21"/>
          <w:highlight w:val="none"/>
          <w:lang w:val="en-US" w:eastAsia="zh-CN" w:bidi="ar"/>
        </w:rPr>
        <w:t>目</w:t>
      </w:r>
      <w:r>
        <w:rPr>
          <w:rFonts w:ascii="TT30A45o00" w:hAnsi="TT30A45o00" w:eastAsia="TT30A45o00" w:cs="TT30A45o00"/>
          <w:color w:val="auto"/>
          <w:kern w:val="0"/>
          <w:sz w:val="21"/>
          <w:szCs w:val="21"/>
          <w:highlight w:val="none"/>
          <w:lang w:val="en-US" w:eastAsia="zh-CN" w:bidi="ar"/>
        </w:rPr>
        <w:t>前国内经济</w:t>
      </w:r>
      <w:r>
        <w:rPr>
          <w:rFonts w:hint="default" w:ascii="TT30A45o01" w:hAnsi="TT30A45o01" w:eastAsia="TT30A45o01" w:cs="TT30A45o01"/>
          <w:color w:val="auto"/>
          <w:kern w:val="0"/>
          <w:sz w:val="21"/>
          <w:szCs w:val="21"/>
          <w:highlight w:val="none"/>
          <w:lang w:val="en-US" w:eastAsia="zh-CN" w:bidi="ar"/>
        </w:rPr>
        <w:t>状</w:t>
      </w:r>
      <w:r>
        <w:rPr>
          <w:rFonts w:hint="default" w:ascii="TT30A45o00" w:hAnsi="TT30A45o00" w:eastAsia="TT30A45o00" w:cs="TT30A45o00"/>
          <w:color w:val="auto"/>
          <w:kern w:val="0"/>
          <w:sz w:val="21"/>
          <w:szCs w:val="21"/>
          <w:highlight w:val="none"/>
          <w:lang w:val="en-US" w:eastAsia="zh-CN" w:bidi="ar"/>
        </w:rPr>
        <w:t>况和</w:t>
      </w:r>
      <w:r>
        <w:rPr>
          <w:rFonts w:hint="eastAsia" w:ascii="TT30A45o00" w:hAnsi="TT30A45o00" w:eastAsia="TT30A45o00" w:cs="TT30A45o00"/>
          <w:color w:val="auto"/>
          <w:kern w:val="0"/>
          <w:sz w:val="21"/>
          <w:szCs w:val="21"/>
          <w:highlight w:val="none"/>
          <w:lang w:val="en-US" w:eastAsia="zh-CN" w:bidi="ar"/>
        </w:rPr>
        <w:t>我省</w:t>
      </w:r>
      <w:r>
        <w:rPr>
          <w:rFonts w:hint="default" w:ascii="TT30A45o00" w:hAnsi="TT30A45o00" w:eastAsia="TT30A45o00" w:cs="TT30A45o00"/>
          <w:color w:val="auto"/>
          <w:kern w:val="0"/>
          <w:sz w:val="21"/>
          <w:szCs w:val="21"/>
          <w:highlight w:val="none"/>
          <w:lang w:val="en-US" w:eastAsia="zh-CN" w:bidi="ar"/>
        </w:rPr>
        <w:t>现有</w:t>
      </w:r>
      <w:r>
        <w:rPr>
          <w:rFonts w:hint="eastAsia" w:eastAsia="宋体"/>
          <w:color w:val="auto"/>
          <w:highlight w:val="none"/>
          <w:lang w:eastAsia="zh"/>
        </w:rPr>
        <w:t>老年人照料设施</w:t>
      </w:r>
      <w:r>
        <w:rPr>
          <w:rFonts w:hint="eastAsia"/>
          <w:color w:val="auto"/>
          <w:highlight w:val="none"/>
          <w:lang w:eastAsia="zh-CN"/>
        </w:rPr>
        <w:t>调</w:t>
      </w:r>
      <w:r>
        <w:rPr>
          <w:rFonts w:ascii="TT30A45o03" w:hAnsi="TT30A45o03" w:eastAsia="TT30A45o03" w:cs="TT30A45o03"/>
          <w:color w:val="auto"/>
          <w:kern w:val="0"/>
          <w:sz w:val="21"/>
          <w:szCs w:val="21"/>
          <w:highlight w:val="none"/>
          <w:lang w:val="en-US" w:eastAsia="zh-CN" w:bidi="ar"/>
        </w:rPr>
        <w:t>查</w:t>
      </w:r>
      <w:r>
        <w:rPr>
          <w:rFonts w:hint="default" w:ascii="TT30A45o00" w:hAnsi="TT30A45o00" w:eastAsia="TT30A45o00" w:cs="TT30A45o00"/>
          <w:color w:val="auto"/>
          <w:kern w:val="0"/>
          <w:sz w:val="21"/>
          <w:szCs w:val="21"/>
          <w:highlight w:val="none"/>
          <w:lang w:val="en-US" w:eastAsia="zh-CN" w:bidi="ar"/>
        </w:rPr>
        <w:t>情况，</w:t>
      </w:r>
      <w:r>
        <w:rPr>
          <w:rFonts w:hint="eastAsia" w:ascii="TT30A45o00" w:hAnsi="TT30A45o00" w:eastAsia="TT30A45o00" w:cs="TT30A45o00"/>
          <w:color w:val="auto"/>
          <w:kern w:val="0"/>
          <w:sz w:val="21"/>
          <w:szCs w:val="21"/>
          <w:highlight w:val="none"/>
          <w:lang w:val="en-US" w:eastAsia="zh-CN" w:bidi="ar"/>
        </w:rPr>
        <w:t>除大型、特大型</w:t>
      </w:r>
      <w:r>
        <w:rPr>
          <w:rFonts w:hint="eastAsia" w:ascii="TT30A45o00" w:hAnsi="TT30A45o00" w:eastAsia="TT30A45o00" w:cs="TT30A45o00"/>
          <w:color w:val="auto"/>
          <w:kern w:val="0"/>
          <w:sz w:val="21"/>
          <w:szCs w:val="21"/>
          <w:highlight w:val="none"/>
          <w:lang w:val="en-US" w:eastAsia="zh" w:bidi="ar"/>
        </w:rPr>
        <w:t>老年人照料设施</w:t>
      </w:r>
      <w:r>
        <w:rPr>
          <w:rFonts w:hint="eastAsia" w:ascii="TT30A45o00" w:hAnsi="TT30A45o00" w:eastAsia="TT30A45o00" w:cs="TT30A45o00"/>
          <w:color w:val="auto"/>
          <w:kern w:val="0"/>
          <w:sz w:val="21"/>
          <w:szCs w:val="21"/>
          <w:highlight w:val="none"/>
          <w:lang w:val="en-US" w:eastAsia="zh-CN" w:bidi="ar"/>
        </w:rPr>
        <w:t>，</w:t>
      </w:r>
      <w:r>
        <w:rPr>
          <w:color w:val="auto"/>
          <w:highlight w:val="none"/>
        </w:rPr>
        <w:t>阅览室、网络室</w:t>
      </w:r>
      <w:r>
        <w:rPr>
          <w:rFonts w:hint="eastAsia"/>
          <w:color w:val="auto"/>
          <w:highlight w:val="none"/>
          <w:lang w:eastAsia="zh-CN"/>
        </w:rPr>
        <w:t>、</w:t>
      </w:r>
      <w:r>
        <w:rPr>
          <w:color w:val="auto"/>
          <w:highlight w:val="none"/>
        </w:rPr>
        <w:t>书画室</w:t>
      </w:r>
      <w:r>
        <w:rPr>
          <w:rFonts w:hint="eastAsia" w:ascii="TT30A45o00" w:hAnsi="TT30A45o00" w:eastAsia="TT30A45o00" w:cs="TT30A45o00"/>
          <w:color w:val="auto"/>
          <w:kern w:val="0"/>
          <w:sz w:val="21"/>
          <w:szCs w:val="21"/>
          <w:highlight w:val="none"/>
          <w:lang w:val="en-US" w:eastAsia="zh-CN" w:bidi="ar"/>
        </w:rPr>
        <w:t>可根据具体情设置；</w:t>
      </w:r>
      <w:r>
        <w:rPr>
          <w:rFonts w:ascii="TT30A45o00" w:hAnsi="TT30A45o00" w:eastAsia="TT30A45o00" w:cs="TT30A45o00"/>
          <w:color w:val="auto"/>
          <w:kern w:val="0"/>
          <w:sz w:val="21"/>
          <w:szCs w:val="21"/>
          <w:highlight w:val="none"/>
          <w:lang w:val="en-US" w:eastAsia="zh-CN" w:bidi="ar"/>
        </w:rPr>
        <w:t>在</w:t>
      </w:r>
      <w:r>
        <w:rPr>
          <w:rFonts w:hint="eastAsia" w:ascii="TT30A45o00" w:hAnsi="TT30A45o00" w:eastAsia="TT30A45o00" w:cs="TT30A45o00"/>
          <w:color w:val="auto"/>
          <w:kern w:val="0"/>
          <w:sz w:val="21"/>
          <w:szCs w:val="21"/>
          <w:highlight w:val="none"/>
          <w:lang w:val="en-US" w:eastAsia="zh" w:bidi="ar"/>
        </w:rPr>
        <w:t>老年人照料设施</w:t>
      </w:r>
      <w:r>
        <w:rPr>
          <w:rFonts w:ascii="TT30A45o00" w:hAnsi="TT30A45o00" w:eastAsia="TT30A45o00" w:cs="TT30A45o00"/>
          <w:color w:val="auto"/>
          <w:kern w:val="0"/>
          <w:sz w:val="21"/>
          <w:szCs w:val="21"/>
          <w:highlight w:val="none"/>
          <w:lang w:val="en-US" w:eastAsia="zh-CN" w:bidi="ar"/>
        </w:rPr>
        <w:t>中设置多功能厅是非常有必要的，</w:t>
      </w:r>
      <w:r>
        <w:rPr>
          <w:rFonts w:hint="eastAsia" w:ascii="TT30A45o00" w:hAnsi="TT30A45o00" w:eastAsia="TT30A45o00" w:cs="TT30A45o00"/>
          <w:color w:val="auto"/>
          <w:kern w:val="0"/>
          <w:sz w:val="21"/>
          <w:szCs w:val="21"/>
          <w:highlight w:val="none"/>
          <w:lang w:val="en-US" w:eastAsia="zh-CN" w:bidi="ar"/>
        </w:rPr>
        <w:t>可兼具</w:t>
      </w:r>
      <w:r>
        <w:rPr>
          <w:rFonts w:ascii="TT30A45o00" w:hAnsi="TT30A45o00" w:eastAsia="TT30A45o00" w:cs="TT30A45o00"/>
          <w:color w:val="auto"/>
          <w:kern w:val="0"/>
          <w:sz w:val="21"/>
          <w:szCs w:val="21"/>
          <w:highlight w:val="none"/>
          <w:lang w:val="en-US" w:eastAsia="zh-CN" w:bidi="ar"/>
        </w:rPr>
        <w:t>社交与娱乐功能</w:t>
      </w:r>
      <w:r>
        <w:rPr>
          <w:rFonts w:hint="eastAsia" w:ascii="TT30A45o00" w:hAnsi="TT30A45o00" w:eastAsia="TT30A45o00" w:cs="TT30A45o00"/>
          <w:color w:val="auto"/>
          <w:kern w:val="0"/>
          <w:sz w:val="21"/>
          <w:szCs w:val="21"/>
          <w:highlight w:val="none"/>
          <w:lang w:val="en-US" w:eastAsia="zh-CN" w:bidi="ar"/>
        </w:rPr>
        <w:t>、</w:t>
      </w:r>
      <w:r>
        <w:rPr>
          <w:rFonts w:ascii="TT30A45o00" w:hAnsi="TT30A45o00" w:eastAsia="TT30A45o00" w:cs="TT30A45o00"/>
          <w:color w:val="auto"/>
          <w:kern w:val="0"/>
          <w:sz w:val="21"/>
          <w:szCs w:val="21"/>
          <w:highlight w:val="none"/>
          <w:lang w:val="en-US" w:eastAsia="zh-CN" w:bidi="ar"/>
        </w:rPr>
        <w:t>健康与康复功能</w:t>
      </w:r>
      <w:r>
        <w:rPr>
          <w:rFonts w:hint="eastAsia" w:ascii="TT30A45o00" w:hAnsi="TT30A45o00" w:eastAsia="TT30A45o00" w:cs="TT30A45o00"/>
          <w:color w:val="auto"/>
          <w:kern w:val="0"/>
          <w:sz w:val="21"/>
          <w:szCs w:val="21"/>
          <w:highlight w:val="none"/>
          <w:lang w:val="en-US" w:eastAsia="zh-CN" w:bidi="ar"/>
        </w:rPr>
        <w:t>、</w:t>
      </w:r>
      <w:r>
        <w:rPr>
          <w:rFonts w:ascii="TT30A45o00" w:hAnsi="TT30A45o00" w:eastAsia="TT30A45o00" w:cs="TT30A45o00"/>
          <w:color w:val="auto"/>
          <w:kern w:val="0"/>
          <w:sz w:val="21"/>
          <w:szCs w:val="21"/>
          <w:highlight w:val="none"/>
          <w:lang w:val="en-US" w:eastAsia="zh-CN" w:bidi="ar"/>
        </w:rPr>
        <w:t>学习与教育功能</w:t>
      </w:r>
      <w:r>
        <w:rPr>
          <w:rFonts w:hint="eastAsia" w:ascii="TT30A45o00" w:hAnsi="TT30A45o00" w:eastAsia="TT30A45o00" w:cs="TT30A45o00"/>
          <w:color w:val="auto"/>
          <w:kern w:val="0"/>
          <w:sz w:val="21"/>
          <w:szCs w:val="21"/>
          <w:highlight w:val="none"/>
          <w:lang w:val="en-US" w:eastAsia="zh-CN" w:bidi="ar"/>
        </w:rPr>
        <w:t>、</w:t>
      </w:r>
      <w:r>
        <w:rPr>
          <w:rFonts w:ascii="TT30A45o00" w:hAnsi="TT30A45o00" w:eastAsia="TT30A45o00" w:cs="TT30A45o00"/>
          <w:color w:val="auto"/>
          <w:kern w:val="0"/>
          <w:sz w:val="21"/>
          <w:szCs w:val="21"/>
          <w:highlight w:val="none"/>
          <w:lang w:val="en-US" w:eastAsia="zh-CN" w:bidi="ar"/>
        </w:rPr>
        <w:t>餐饮与聚会功能</w:t>
      </w:r>
      <w:r>
        <w:rPr>
          <w:rFonts w:hint="eastAsia" w:ascii="TT30A45o00" w:hAnsi="TT30A45o00" w:eastAsia="TT30A45o00" w:cs="TT30A45o00"/>
          <w:color w:val="auto"/>
          <w:kern w:val="0"/>
          <w:sz w:val="21"/>
          <w:szCs w:val="21"/>
          <w:highlight w:val="none"/>
          <w:lang w:val="en-US" w:eastAsia="zh-CN" w:bidi="ar"/>
        </w:rPr>
        <w:t>、</w:t>
      </w:r>
      <w:r>
        <w:rPr>
          <w:rFonts w:ascii="TT30A45o00" w:hAnsi="TT30A45o00" w:eastAsia="TT30A45o00" w:cs="TT30A45o00"/>
          <w:color w:val="auto"/>
          <w:kern w:val="0"/>
          <w:sz w:val="21"/>
          <w:szCs w:val="21"/>
          <w:highlight w:val="none"/>
          <w:lang w:val="en-US" w:eastAsia="zh-CN" w:bidi="ar"/>
        </w:rPr>
        <w:t>应急与避险功能</w:t>
      </w:r>
      <w:r>
        <w:rPr>
          <w:rFonts w:hint="eastAsia" w:ascii="TT30A45o00" w:hAnsi="TT30A45o00" w:eastAsia="TT30A45o00" w:cs="TT30A45o00"/>
          <w:color w:val="auto"/>
          <w:kern w:val="0"/>
          <w:sz w:val="21"/>
          <w:szCs w:val="21"/>
          <w:highlight w:val="none"/>
          <w:lang w:val="en-US" w:eastAsia="zh-CN" w:bidi="ar"/>
        </w:rPr>
        <w:t>等功能。</w:t>
      </w:r>
    </w:p>
    <w:p w14:paraId="6A6ED191">
      <w:pPr>
        <w:numPr>
          <w:ilvl w:val="0"/>
          <w:numId w:val="0"/>
        </w:numPr>
        <w:bidi w:val="0"/>
        <w:ind w:left="0" w:leftChars="0" w:firstLine="420" w:firstLineChars="200"/>
        <w:rPr>
          <w:color w:val="auto"/>
          <w:highlight w:val="none"/>
        </w:rPr>
      </w:pPr>
      <w:r>
        <w:rPr>
          <w:color w:val="auto"/>
          <w:highlight w:val="none"/>
        </w:rPr>
        <w:t>管理服务用房是</w:t>
      </w:r>
      <w:r>
        <w:rPr>
          <w:rFonts w:hint="eastAsia"/>
          <w:color w:val="auto"/>
          <w:highlight w:val="none"/>
          <w:lang w:eastAsia="zh"/>
        </w:rPr>
        <w:t>老年人照料设施</w:t>
      </w:r>
      <w:r>
        <w:rPr>
          <w:color w:val="auto"/>
          <w:highlight w:val="none"/>
        </w:rPr>
        <w:t>中工作人员管理服务的房间，主要包括总值班室、入住登记室、办公室、接待室、会议室、档案室、 厨房、洗衣房、职工用房、备品库、设备用房等房间。</w:t>
      </w:r>
    </w:p>
    <w:p w14:paraId="581F7BAC">
      <w:pPr>
        <w:numPr>
          <w:ilvl w:val="0"/>
          <w:numId w:val="0"/>
        </w:numPr>
        <w:bidi w:val="0"/>
        <w:ind w:left="0" w:leftChars="0" w:firstLine="420" w:firstLineChars="200"/>
        <w:rPr>
          <w:rFonts w:hint="default"/>
          <w:color w:val="auto"/>
          <w:highlight w:val="none"/>
          <w:lang w:val="en-US" w:eastAsia="zh-CN"/>
        </w:rPr>
      </w:pPr>
      <w:r>
        <w:rPr>
          <w:color w:val="auto"/>
          <w:highlight w:val="none"/>
          <w:lang w:val="en-US" w:eastAsia="zh-CN"/>
        </w:rPr>
        <w:t>为提高</w:t>
      </w:r>
      <w:r>
        <w:rPr>
          <w:rFonts w:hint="eastAsia"/>
          <w:color w:val="auto"/>
          <w:highlight w:val="none"/>
          <w:lang w:eastAsia="zh"/>
        </w:rPr>
        <w:t>老年人照料设施</w:t>
      </w:r>
      <w:r>
        <w:rPr>
          <w:rFonts w:hint="default"/>
          <w:color w:val="auto"/>
          <w:highlight w:val="none"/>
          <w:lang w:val="en-US" w:eastAsia="zh-CN"/>
        </w:rPr>
        <w:t>用房使用效</w:t>
      </w:r>
      <w:r>
        <w:rPr>
          <w:color w:val="auto"/>
          <w:highlight w:val="none"/>
          <w:lang w:val="en-US" w:eastAsia="zh-CN"/>
        </w:rPr>
        <w:t>率</w:t>
      </w:r>
      <w:r>
        <w:rPr>
          <w:rFonts w:hint="default"/>
          <w:color w:val="auto"/>
          <w:highlight w:val="none"/>
          <w:lang w:val="en-US" w:eastAsia="zh-CN"/>
        </w:rPr>
        <w:t>，在满足使用功能和相</w:t>
      </w:r>
      <w:r>
        <w:rPr>
          <w:color w:val="auto"/>
          <w:highlight w:val="none"/>
          <w:lang w:val="en-US" w:eastAsia="zh-CN"/>
        </w:rPr>
        <w:t>互</w:t>
      </w:r>
      <w:r>
        <w:rPr>
          <w:rFonts w:hint="default"/>
          <w:color w:val="auto"/>
          <w:highlight w:val="none"/>
          <w:lang w:val="en-US" w:eastAsia="zh-CN"/>
        </w:rPr>
        <w:t>不干扰的前提下，各类用房可合并设置。</w:t>
      </w:r>
    </w:p>
    <w:p w14:paraId="2BF1A4B5">
      <w:pPr>
        <w:numPr>
          <w:ilvl w:val="2"/>
          <w:numId w:val="20"/>
        </w:numPr>
        <w:tabs>
          <w:tab w:val="left" w:pos="0"/>
        </w:tabs>
        <w:bidi w:val="0"/>
        <w:ind w:left="0" w:leftChars="0" w:firstLine="0" w:firstLineChars="0"/>
        <w:rPr>
          <w:color w:val="auto"/>
          <w:highlight w:val="none"/>
        </w:rPr>
      </w:pPr>
      <w:r>
        <w:rPr>
          <w:rFonts w:hint="eastAsia"/>
          <w:color w:val="auto"/>
          <w:highlight w:val="none"/>
          <w:lang w:eastAsia="zh"/>
        </w:rPr>
        <w:t>老年人照料设施</w:t>
      </w:r>
      <w:r>
        <w:rPr>
          <w:color w:val="auto"/>
          <w:highlight w:val="none"/>
          <w:lang w:val="en-US" w:eastAsia="zh-CN"/>
        </w:rPr>
        <w:t>的面积</w:t>
      </w:r>
      <w:r>
        <w:rPr>
          <w:rFonts w:hint="default"/>
          <w:color w:val="auto"/>
          <w:highlight w:val="none"/>
          <w:lang w:val="en-US" w:eastAsia="zh-CN"/>
        </w:rPr>
        <w:t>指标是参照《城</w:t>
      </w:r>
      <w:r>
        <w:rPr>
          <w:color w:val="auto"/>
          <w:highlight w:val="none"/>
          <w:lang w:val="en-US" w:eastAsia="zh-CN"/>
        </w:rPr>
        <w:t>镇</w:t>
      </w:r>
      <w:r>
        <w:rPr>
          <w:rFonts w:hint="default"/>
          <w:color w:val="auto"/>
          <w:highlight w:val="none"/>
          <w:lang w:val="en-US" w:eastAsia="zh-CN"/>
        </w:rPr>
        <w:t>老年人设施规划规范》</w:t>
      </w:r>
      <w:r>
        <w:rPr>
          <w:color w:val="auto"/>
          <w:highlight w:val="none"/>
          <w:lang w:val="en-US" w:eastAsia="zh-CN"/>
        </w:rPr>
        <w:t>GB 50437</w:t>
      </w:r>
      <w:r>
        <w:rPr>
          <w:rFonts w:hint="default"/>
          <w:color w:val="auto"/>
          <w:highlight w:val="none"/>
          <w:lang w:val="en-US" w:eastAsia="zh-CN"/>
        </w:rPr>
        <w:t>中规定的各级</w:t>
      </w:r>
      <w:r>
        <w:rPr>
          <w:rFonts w:hint="eastAsia"/>
          <w:color w:val="auto"/>
          <w:highlight w:val="none"/>
          <w:lang w:eastAsia="zh"/>
        </w:rPr>
        <w:t>老年人照料设施</w:t>
      </w:r>
      <w:r>
        <w:rPr>
          <w:rFonts w:hint="default"/>
          <w:color w:val="auto"/>
          <w:highlight w:val="none"/>
          <w:lang w:val="en-US" w:eastAsia="zh-CN"/>
        </w:rPr>
        <w:t>的配建指标，</w:t>
      </w:r>
      <w:r>
        <w:rPr>
          <w:rFonts w:hint="eastAsia"/>
          <w:color w:val="auto"/>
          <w:highlight w:val="none"/>
          <w:lang w:eastAsia="zh"/>
        </w:rPr>
        <w:t>老年人照料设施</w:t>
      </w:r>
      <w:r>
        <w:rPr>
          <w:rFonts w:hint="default"/>
          <w:color w:val="auto"/>
          <w:highlight w:val="none"/>
          <w:lang w:val="en-US" w:eastAsia="zh-CN"/>
        </w:rPr>
        <w:t>每床建筑面积标准为 45</w:t>
      </w:r>
      <w:r>
        <w:rPr>
          <w:rFonts w:hint="eastAsia"/>
          <w:color w:val="auto"/>
          <w:highlight w:val="none"/>
          <w:lang w:val="en-US" w:eastAsia="zh-CN"/>
        </w:rPr>
        <w:t>㎡</w:t>
      </w:r>
      <w:r>
        <w:rPr>
          <w:color w:val="auto"/>
          <w:highlight w:val="none"/>
          <w:lang w:val="en-US" w:eastAsia="zh-CN"/>
        </w:rPr>
        <w:t xml:space="preserve"> </w:t>
      </w:r>
      <w:r>
        <w:rPr>
          <w:rFonts w:hint="default"/>
          <w:color w:val="auto"/>
          <w:highlight w:val="none"/>
          <w:lang w:val="en-US" w:eastAsia="zh-CN"/>
        </w:rPr>
        <w:t>/床。以上建筑面积标准乘以平均使用系数 0.60，</w:t>
      </w:r>
      <w:r>
        <w:rPr>
          <w:color w:val="auto"/>
          <w:highlight w:val="none"/>
          <w:lang w:val="en-US" w:eastAsia="zh-CN"/>
        </w:rPr>
        <w:t>得</w:t>
      </w:r>
      <w:r>
        <w:rPr>
          <w:rFonts w:hint="default"/>
          <w:color w:val="auto"/>
          <w:highlight w:val="none"/>
          <w:lang w:val="en-US" w:eastAsia="zh-CN"/>
        </w:rPr>
        <w:t>出每床使用面积标准。同时根据</w:t>
      </w:r>
      <w:r>
        <w:rPr>
          <w:rFonts w:hint="eastAsia"/>
          <w:b w:val="0"/>
          <w:bCs w:val="0"/>
          <w:color w:val="auto"/>
          <w:highlight w:val="none"/>
          <w:lang w:val="en-US" w:eastAsia="zh-CN"/>
        </w:rPr>
        <w:t>《</w:t>
      </w:r>
      <w:r>
        <w:rPr>
          <w:rFonts w:hint="eastAsia"/>
          <w:b w:val="0"/>
          <w:bCs w:val="0"/>
          <w:color w:val="auto"/>
          <w:highlight w:val="none"/>
        </w:rPr>
        <w:t>老年人照料设施建筑设计标准</w:t>
      </w:r>
      <w:r>
        <w:rPr>
          <w:rFonts w:hint="eastAsia"/>
          <w:b w:val="0"/>
          <w:bCs w:val="0"/>
          <w:color w:val="auto"/>
          <w:highlight w:val="none"/>
          <w:lang w:val="en-US" w:eastAsia="zh-CN"/>
        </w:rPr>
        <w:t>》</w:t>
      </w:r>
      <w:r>
        <w:rPr>
          <w:rFonts w:hint="eastAsia"/>
          <w:b w:val="0"/>
          <w:bCs w:val="0"/>
          <w:color w:val="auto"/>
          <w:highlight w:val="none"/>
        </w:rPr>
        <w:t>JGJ450-2018</w:t>
      </w:r>
      <w:r>
        <w:rPr>
          <w:rFonts w:hint="default"/>
          <w:color w:val="auto"/>
          <w:highlight w:val="none"/>
          <w:lang w:val="en-US" w:eastAsia="zh-CN"/>
        </w:rPr>
        <w:t>中</w:t>
      </w:r>
      <w:r>
        <w:rPr>
          <w:rFonts w:hint="eastAsia"/>
          <w:color w:val="auto"/>
          <w:highlight w:val="none"/>
          <w:lang w:eastAsia="zh"/>
        </w:rPr>
        <w:t>老年人照料设施</w:t>
      </w:r>
      <w:r>
        <w:rPr>
          <w:rFonts w:hint="default"/>
          <w:color w:val="auto"/>
          <w:highlight w:val="none"/>
          <w:lang w:val="en-US" w:eastAsia="zh-CN"/>
        </w:rPr>
        <w:t>开展各项工作的实际需求，结合对各地调研数据的认真分析和总结，确定我省</w:t>
      </w:r>
      <w:r>
        <w:rPr>
          <w:rFonts w:hint="eastAsia"/>
          <w:color w:val="auto"/>
          <w:highlight w:val="none"/>
          <w:lang w:eastAsia="zh"/>
        </w:rPr>
        <w:t>老年人照料设施</w:t>
      </w:r>
      <w:r>
        <w:rPr>
          <w:rFonts w:hint="default"/>
          <w:color w:val="auto"/>
          <w:highlight w:val="none"/>
          <w:lang w:val="en-US" w:eastAsia="zh-CN"/>
        </w:rPr>
        <w:t>的各类用房使用面积标准。</w:t>
      </w:r>
    </w:p>
    <w:p w14:paraId="42992EDD">
      <w:pPr>
        <w:numPr>
          <w:ilvl w:val="2"/>
          <w:numId w:val="20"/>
        </w:numPr>
        <w:tabs>
          <w:tab w:val="left" w:pos="0"/>
        </w:tabs>
        <w:bidi w:val="0"/>
        <w:ind w:left="0" w:leftChars="0" w:firstLine="0" w:firstLineChars="0"/>
        <w:rPr>
          <w:rFonts w:hint="default"/>
          <w:color w:val="auto"/>
          <w:highlight w:val="none"/>
          <w:lang w:val="en-US" w:eastAsia="zh-CN"/>
        </w:rPr>
      </w:pPr>
      <w:r>
        <w:rPr>
          <w:color w:val="auto"/>
          <w:highlight w:val="none"/>
          <w:lang w:val="en-US" w:eastAsia="zh-CN"/>
        </w:rPr>
        <w:t>为便于为老年人提供各项</w:t>
      </w:r>
      <w:r>
        <w:rPr>
          <w:rFonts w:hint="default"/>
          <w:color w:val="auto"/>
          <w:highlight w:val="none"/>
          <w:lang w:val="en-US" w:eastAsia="zh-CN"/>
        </w:rPr>
        <w:t>服务和有效的管理，</w:t>
      </w:r>
      <w:r>
        <w:rPr>
          <w:rFonts w:hint="eastAsia"/>
          <w:color w:val="auto"/>
          <w:highlight w:val="none"/>
          <w:lang w:eastAsia="zh"/>
        </w:rPr>
        <w:t>老年人照料设施</w:t>
      </w:r>
      <w:r>
        <w:rPr>
          <w:rFonts w:hint="default"/>
          <w:color w:val="auto"/>
          <w:highlight w:val="none"/>
          <w:lang w:val="en-US" w:eastAsia="zh-CN"/>
        </w:rPr>
        <w:t>的老年人生活用房中的居住用房和生活辅助用房宜分单元设置。经对本省</w:t>
      </w:r>
      <w:r>
        <w:rPr>
          <w:rFonts w:hint="eastAsia"/>
          <w:color w:val="auto"/>
          <w:highlight w:val="none"/>
          <w:lang w:eastAsia="zh"/>
        </w:rPr>
        <w:t>老年人照料设施</w:t>
      </w:r>
      <w:r>
        <w:rPr>
          <w:rFonts w:hint="default"/>
          <w:color w:val="auto"/>
          <w:highlight w:val="none"/>
          <w:lang w:val="en-US" w:eastAsia="zh-CN"/>
        </w:rPr>
        <w:t>的调</w:t>
      </w:r>
      <w:r>
        <w:rPr>
          <w:color w:val="auto"/>
          <w:highlight w:val="none"/>
          <w:lang w:val="en-US" w:eastAsia="zh-CN"/>
        </w:rPr>
        <w:t>研</w:t>
      </w:r>
      <w:r>
        <w:rPr>
          <w:rFonts w:hint="default"/>
          <w:color w:val="auto"/>
          <w:highlight w:val="none"/>
          <w:lang w:val="en-US" w:eastAsia="zh-CN"/>
        </w:rPr>
        <w:t>，</w:t>
      </w:r>
      <w:r>
        <w:rPr>
          <w:rFonts w:hint="eastAsia"/>
          <w:color w:val="auto"/>
          <w:highlight w:val="none"/>
          <w:lang w:eastAsia="zh"/>
        </w:rPr>
        <w:t>老年人照料设施</w:t>
      </w:r>
      <w:r>
        <w:rPr>
          <w:rFonts w:hint="default"/>
          <w:color w:val="auto"/>
          <w:highlight w:val="none"/>
          <w:lang w:val="en-US" w:eastAsia="zh-CN"/>
        </w:rPr>
        <w:t>中能够有效照料和巡</w:t>
      </w:r>
      <w:r>
        <w:rPr>
          <w:color w:val="auto"/>
          <w:highlight w:val="none"/>
          <w:lang w:val="en-US" w:eastAsia="zh-CN"/>
        </w:rPr>
        <w:t>视</w:t>
      </w:r>
      <w:r>
        <w:rPr>
          <w:rFonts w:hint="default"/>
          <w:color w:val="auto"/>
          <w:highlight w:val="none"/>
          <w:lang w:val="en-US" w:eastAsia="zh-CN"/>
        </w:rPr>
        <w:t>自理老年人的服务单元规模为</w:t>
      </w:r>
      <w:r>
        <w:rPr>
          <w:rFonts w:hint="eastAsia"/>
          <w:color w:val="auto"/>
          <w:highlight w:val="none"/>
          <w:lang w:val="en-US" w:eastAsia="zh-CN"/>
        </w:rPr>
        <w:t>35</w:t>
      </w:r>
      <w:r>
        <w:rPr>
          <w:rFonts w:hint="eastAsia"/>
          <w:color w:val="auto"/>
          <w:highlight w:val="none"/>
        </w:rPr>
        <w:t>～</w:t>
      </w:r>
      <w:r>
        <w:rPr>
          <w:rFonts w:hint="eastAsia"/>
          <w:color w:val="auto"/>
          <w:highlight w:val="none"/>
          <w:lang w:val="en-US" w:eastAsia="zh-CN"/>
        </w:rPr>
        <w:t>60</w:t>
      </w:r>
      <w:r>
        <w:rPr>
          <w:rFonts w:hint="default"/>
          <w:color w:val="auto"/>
          <w:highlight w:val="none"/>
          <w:lang w:val="en-US" w:eastAsia="zh-CN"/>
        </w:rPr>
        <w:t>床；介护老年人中的失智老年人可能对其他人或物造成伤害或破坏，护理与服务方式较为特殊，其养护单元宜独立设置。</w:t>
      </w:r>
    </w:p>
    <w:p w14:paraId="2E23DBCF">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55" w:name="_Toc31210"/>
      <w:bookmarkStart w:id="156" w:name="_Toc18426"/>
      <w:bookmarkStart w:id="157" w:name="_Toc23025"/>
      <w:r>
        <w:rPr>
          <w:rStyle w:val="19"/>
          <w:rFonts w:hint="eastAsia" w:ascii="Times New Roman" w:hAnsi="Times New Roman" w:eastAsia="宋体" w:cs="Times New Roman"/>
          <w:color w:val="auto"/>
          <w:sz w:val="28"/>
          <w:szCs w:val="40"/>
          <w:highlight w:val="none"/>
          <w:lang w:val="en-US" w:eastAsia="zh-CN"/>
        </w:rPr>
        <w:t xml:space="preserve">5.2 </w:t>
      </w:r>
      <w:r>
        <w:rPr>
          <w:rStyle w:val="19"/>
          <w:rFonts w:hint="eastAsia" w:ascii="黑体" w:hAnsi="黑体" w:eastAsia="黑体" w:cs="黑体"/>
          <w:color w:val="auto"/>
          <w:sz w:val="28"/>
          <w:szCs w:val="40"/>
          <w:highlight w:val="none"/>
          <w:lang w:val="en-US" w:eastAsia="zh-CN"/>
        </w:rPr>
        <w:t>生活用房</w:t>
      </w:r>
      <w:bookmarkEnd w:id="155"/>
      <w:bookmarkEnd w:id="156"/>
    </w:p>
    <w:bookmarkEnd w:id="157"/>
    <w:p w14:paraId="7EF217B0">
      <w:pPr>
        <w:numPr>
          <w:ilvl w:val="2"/>
          <w:numId w:val="21"/>
        </w:numPr>
        <w:bidi w:val="0"/>
        <w:ind w:left="9" w:leftChars="0" w:hanging="9" w:firstLineChars="0"/>
        <w:rPr>
          <w:rFonts w:hint="eastAsia"/>
          <w:color w:val="auto"/>
          <w:highlight w:val="none"/>
          <w:lang w:val="en-US" w:eastAsia="zh-CN"/>
        </w:rPr>
      </w:pPr>
      <w:r>
        <w:rPr>
          <w:color w:val="auto"/>
          <w:highlight w:val="none"/>
          <w:lang w:val="en-US" w:eastAsia="zh-CN"/>
        </w:rPr>
        <w:t>居住用房是老年人久</w:t>
      </w:r>
      <w:r>
        <w:rPr>
          <w:rFonts w:hint="default"/>
          <w:color w:val="auto"/>
          <w:highlight w:val="none"/>
          <w:lang w:val="en-US" w:eastAsia="zh-CN"/>
        </w:rPr>
        <w:t>居的房</w:t>
      </w:r>
      <w:r>
        <w:rPr>
          <w:color w:val="auto"/>
          <w:highlight w:val="none"/>
          <w:lang w:val="en-US" w:eastAsia="zh-CN"/>
        </w:rPr>
        <w:t>间</w:t>
      </w:r>
      <w:r>
        <w:rPr>
          <w:rFonts w:hint="default"/>
          <w:color w:val="auto"/>
          <w:highlight w:val="none"/>
          <w:lang w:val="en-US" w:eastAsia="zh-CN"/>
        </w:rPr>
        <w:t>，强调本条主要</w:t>
      </w:r>
      <w:r>
        <w:rPr>
          <w:color w:val="auto"/>
          <w:highlight w:val="none"/>
          <w:lang w:val="en-US" w:eastAsia="zh-CN"/>
        </w:rPr>
        <w:t>考虑设置在</w:t>
      </w:r>
      <w:r>
        <w:rPr>
          <w:rFonts w:hint="default"/>
          <w:color w:val="auto"/>
          <w:highlight w:val="none"/>
          <w:lang w:val="en-US" w:eastAsia="zh-CN"/>
        </w:rPr>
        <w:t>地下、半地下的老年人居住用房的阳光、自然通风条件不</w:t>
      </w:r>
      <w:r>
        <w:rPr>
          <w:color w:val="auto"/>
          <w:highlight w:val="none"/>
          <w:lang w:val="en-US" w:eastAsia="zh-CN"/>
        </w:rPr>
        <w:t>佳</w:t>
      </w:r>
      <w:r>
        <w:rPr>
          <w:rFonts w:hint="default"/>
          <w:color w:val="auto"/>
          <w:highlight w:val="none"/>
          <w:lang w:val="en-US" w:eastAsia="zh-CN"/>
        </w:rPr>
        <w:t>和</w:t>
      </w:r>
      <w:r>
        <w:rPr>
          <w:color w:val="auto"/>
          <w:highlight w:val="none"/>
          <w:lang w:val="en-US" w:eastAsia="zh-CN"/>
        </w:rPr>
        <w:t>火灾</w:t>
      </w:r>
      <w:r>
        <w:rPr>
          <w:rFonts w:hint="default"/>
          <w:color w:val="auto"/>
          <w:highlight w:val="none"/>
          <w:lang w:val="en-US" w:eastAsia="zh-CN"/>
        </w:rPr>
        <w:t>时烟气不易排除，对老年人的健康和安全带来危害。噪声振动对老年人的心脑功能和神经系统有较大影响，应远离噪声源布置居住用房，并对噪声振动源进行相关降噪处理。</w:t>
      </w:r>
    </w:p>
    <w:p w14:paraId="0E620228">
      <w:pPr>
        <w:numPr>
          <w:ilvl w:val="2"/>
          <w:numId w:val="21"/>
        </w:numPr>
        <w:bidi w:val="0"/>
        <w:ind w:left="9" w:leftChars="0" w:hanging="9" w:firstLineChars="0"/>
        <w:rPr>
          <w:color w:val="auto"/>
          <w:highlight w:val="none"/>
        </w:rPr>
      </w:pPr>
      <w:r>
        <w:rPr>
          <w:rFonts w:hint="eastAsia"/>
          <w:color w:val="auto"/>
          <w:highlight w:val="none"/>
          <w:lang w:val="en-US" w:eastAsia="zh-CN"/>
        </w:rPr>
        <w:t>老年人居住用房卧室、起居室是</w:t>
      </w:r>
      <w:r>
        <w:rPr>
          <w:rFonts w:hint="eastAsia"/>
          <w:color w:val="auto"/>
          <w:highlight w:val="none"/>
          <w:lang w:val="en-US" w:eastAsia="zh"/>
        </w:rPr>
        <w:t>老年人照料设施</w:t>
      </w:r>
      <w:r>
        <w:rPr>
          <w:rFonts w:hint="eastAsia"/>
          <w:color w:val="auto"/>
          <w:highlight w:val="none"/>
          <w:lang w:val="en-US" w:eastAsia="zh-CN"/>
        </w:rPr>
        <w:t>中的主要功能用房，并应满足老年人正常睡眠的需求；根据《建筑环境通用规范》GB55016-2021中相关规定，主要功能用房室内噪声限制应符合表5.2.2规定，且噪声限值应为关闭门窗状态下的限值；</w:t>
      </w:r>
      <w:r>
        <w:rPr>
          <w:rFonts w:hint="default"/>
          <w:color w:val="auto"/>
          <w:highlight w:val="none"/>
          <w:lang w:val="en-US" w:eastAsia="zh-CN"/>
        </w:rPr>
        <w:t>昼间时段应为6: 00～22: 00时，夜间时段应为22: 00～次</w:t>
      </w:r>
      <w:r>
        <w:rPr>
          <w:rFonts w:hint="eastAsia"/>
          <w:color w:val="auto"/>
          <w:highlight w:val="none"/>
          <w:lang w:val="en-US" w:eastAsia="zh-CN"/>
        </w:rPr>
        <w:t>日6: 00时。当昼间、夜间的划分当地另有规定时，应按其规定。</w:t>
      </w:r>
    </w:p>
    <w:p w14:paraId="7428D419">
      <w:pPr>
        <w:numPr>
          <w:ilvl w:val="0"/>
          <w:numId w:val="0"/>
        </w:numPr>
        <w:jc w:val="center"/>
        <w:rPr>
          <w:rFonts w:hint="default"/>
          <w:b/>
          <w:bCs/>
          <w:color w:val="auto"/>
          <w:sz w:val="18"/>
          <w:szCs w:val="21"/>
          <w:highlight w:val="none"/>
          <w:lang w:val="en-US" w:eastAsia="zh-CN"/>
        </w:rPr>
      </w:pPr>
      <w:r>
        <w:rPr>
          <w:rFonts w:hint="eastAsia"/>
          <w:b/>
          <w:bCs/>
          <w:color w:val="auto"/>
          <w:sz w:val="18"/>
          <w:szCs w:val="21"/>
          <w:highlight w:val="none"/>
          <w:lang w:val="en-US" w:eastAsia="zh-CN"/>
        </w:rPr>
        <w:t>表5.2.2主要功能房间室内噪音限值</w:t>
      </w:r>
    </w:p>
    <w:p w14:paraId="76AD0186">
      <w:pPr>
        <w:keepNext w:val="0"/>
        <w:keepLines w:val="0"/>
        <w:widowControl/>
        <w:numPr>
          <w:ilvl w:val="0"/>
          <w:numId w:val="0"/>
        </w:numPr>
        <w:suppressLineNumbers w:val="0"/>
        <w:ind w:leftChars="0"/>
        <w:jc w:val="center"/>
        <w:rPr>
          <w:color w:val="auto"/>
          <w:highlight w:val="none"/>
        </w:rPr>
      </w:pPr>
      <w:r>
        <w:rPr>
          <w:color w:val="auto"/>
          <w:highlight w:val="none"/>
        </w:rPr>
        <w:drawing>
          <wp:inline distT="0" distB="0" distL="114300" distR="114300">
            <wp:extent cx="3976370" cy="1374775"/>
            <wp:effectExtent l="0" t="0" r="508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976370" cy="1374775"/>
                    </a:xfrm>
                    <a:prstGeom prst="rect">
                      <a:avLst/>
                    </a:prstGeom>
                    <a:noFill/>
                    <a:ln>
                      <a:noFill/>
                    </a:ln>
                  </pic:spPr>
                </pic:pic>
              </a:graphicData>
            </a:graphic>
          </wp:inline>
        </w:drawing>
      </w:r>
    </w:p>
    <w:p w14:paraId="0A3CC187">
      <w:pPr>
        <w:numPr>
          <w:ilvl w:val="2"/>
          <w:numId w:val="21"/>
        </w:numPr>
        <w:bidi w:val="0"/>
        <w:ind w:left="9" w:leftChars="0" w:hanging="9" w:firstLineChars="0"/>
        <w:rPr>
          <w:rFonts w:hint="eastAsia"/>
          <w:color w:val="auto"/>
          <w:highlight w:val="none"/>
          <w:lang w:val="en-US" w:eastAsia="zh-CN"/>
        </w:rPr>
      </w:pPr>
      <w:r>
        <w:rPr>
          <w:color w:val="auto"/>
          <w:highlight w:val="none"/>
          <w:lang w:val="en-US" w:eastAsia="zh-CN"/>
        </w:rPr>
        <w:t>据调查</w:t>
      </w:r>
      <w:r>
        <w:rPr>
          <w:rFonts w:hint="default"/>
          <w:color w:val="auto"/>
          <w:highlight w:val="none"/>
          <w:lang w:val="en-US" w:eastAsia="zh-CN"/>
        </w:rPr>
        <w:t>现</w:t>
      </w:r>
      <w:r>
        <w:rPr>
          <w:color w:val="auto"/>
          <w:highlight w:val="none"/>
          <w:lang w:val="en-US" w:eastAsia="zh-CN"/>
        </w:rPr>
        <w:t>在</w:t>
      </w:r>
      <w:r>
        <w:rPr>
          <w:rFonts w:hint="default"/>
          <w:color w:val="auto"/>
          <w:highlight w:val="none"/>
          <w:lang w:val="en-US" w:eastAsia="zh-CN"/>
        </w:rPr>
        <w:t>实际老年人居</w:t>
      </w:r>
      <w:r>
        <w:rPr>
          <w:rFonts w:hint="eastAsia"/>
          <w:color w:val="auto"/>
          <w:highlight w:val="none"/>
          <w:lang w:val="en-US" w:eastAsia="zh-CN"/>
        </w:rPr>
        <w:t>室</w:t>
      </w:r>
      <w:r>
        <w:rPr>
          <w:rFonts w:hint="default"/>
          <w:color w:val="auto"/>
          <w:highlight w:val="none"/>
          <w:lang w:val="en-US" w:eastAsia="zh-CN"/>
        </w:rPr>
        <w:t>普遍偏小。由于老年人动作迟缓，准确度降低以及使用轮椅 和方便护理的需要</w:t>
      </w:r>
      <w:r>
        <w:rPr>
          <w:rFonts w:hint="eastAsia"/>
          <w:color w:val="auto"/>
          <w:highlight w:val="none"/>
          <w:lang w:val="en-US" w:eastAsia="zh-CN"/>
        </w:rPr>
        <w:t>，</w:t>
      </w:r>
      <w:r>
        <w:rPr>
          <w:rFonts w:hint="default"/>
          <w:color w:val="auto"/>
          <w:highlight w:val="none"/>
          <w:lang w:val="en-US" w:eastAsia="zh-CN"/>
        </w:rPr>
        <w:t xml:space="preserve">特别是对文化层次越来越高的老年人，生活空间不宜太小。日本老年看护院标准单人间卧室 </w:t>
      </w:r>
      <w:r>
        <w:rPr>
          <w:color w:val="auto"/>
          <w:highlight w:val="none"/>
          <w:lang w:val="en-US" w:eastAsia="zh-CN"/>
        </w:rPr>
        <w:t xml:space="preserve">10.80 </w:t>
      </w:r>
      <w:r>
        <w:rPr>
          <w:rFonts w:hint="eastAsia"/>
          <w:color w:val="auto"/>
          <w:highlight w:val="none"/>
          <w:lang w:val="en-US" w:eastAsia="zh-CN"/>
        </w:rPr>
        <w:t>㎡</w:t>
      </w:r>
      <w:r>
        <w:rPr>
          <w:color w:val="auto"/>
          <w:highlight w:val="none"/>
          <w:lang w:val="en-US" w:eastAsia="zh-CN"/>
        </w:rPr>
        <w:t xml:space="preserve"> </w:t>
      </w:r>
      <w:r>
        <w:rPr>
          <w:rFonts w:hint="default"/>
          <w:color w:val="auto"/>
          <w:highlight w:val="none"/>
          <w:lang w:val="en-US" w:eastAsia="zh-CN"/>
        </w:rPr>
        <w:t>，我国香港</w:t>
      </w:r>
      <w:r>
        <w:rPr>
          <w:rFonts w:hint="eastAsia"/>
          <w:color w:val="auto"/>
          <w:highlight w:val="none"/>
          <w:lang w:val="en-US" w:eastAsia="zh"/>
        </w:rPr>
        <w:t>老年人照料设施</w:t>
      </w:r>
      <w:r>
        <w:rPr>
          <w:rFonts w:hint="default"/>
          <w:color w:val="auto"/>
          <w:highlight w:val="none"/>
          <w:lang w:val="en-US" w:eastAsia="zh-CN"/>
        </w:rPr>
        <w:t>标准每人 6.50</w:t>
      </w:r>
      <w:r>
        <w:rPr>
          <w:rFonts w:hint="eastAsia"/>
          <w:color w:val="auto"/>
          <w:highlight w:val="none"/>
          <w:lang w:val="en-US" w:eastAsia="zh-CN"/>
        </w:rPr>
        <w:t>㎡</w:t>
      </w:r>
      <w:r>
        <w:rPr>
          <w:rFonts w:hint="default"/>
          <w:color w:val="auto"/>
          <w:highlight w:val="none"/>
          <w:lang w:val="en-US" w:eastAsia="zh-CN"/>
        </w:rPr>
        <w:t xml:space="preserve"> 等，本</w:t>
      </w:r>
      <w:r>
        <w:rPr>
          <w:rFonts w:hint="eastAsia"/>
          <w:color w:val="auto"/>
          <w:highlight w:val="none"/>
          <w:lang w:val="en-US" w:eastAsia="zh"/>
          <w:woUserID w:val="1"/>
        </w:rPr>
        <w:t>标准</w:t>
      </w:r>
      <w:r>
        <w:rPr>
          <w:rFonts w:hint="default"/>
          <w:color w:val="auto"/>
          <w:highlight w:val="none"/>
          <w:lang w:val="en-US" w:eastAsia="zh-CN"/>
        </w:rPr>
        <w:t>参照国内外标准综合确定了面积指标</w:t>
      </w:r>
      <w:r>
        <w:rPr>
          <w:rFonts w:hint="eastAsia"/>
          <w:color w:val="auto"/>
          <w:highlight w:val="none"/>
          <w:lang w:val="en-US" w:eastAsia="zh-CN"/>
        </w:rPr>
        <w:t>，且居室面积不包含卫生间面积</w:t>
      </w:r>
      <w:r>
        <w:rPr>
          <w:rFonts w:hint="default"/>
          <w:color w:val="auto"/>
          <w:highlight w:val="none"/>
          <w:lang w:val="en-US" w:eastAsia="zh-CN"/>
        </w:rPr>
        <w:t>。</w:t>
      </w:r>
      <w:r>
        <w:rPr>
          <w:rFonts w:hint="eastAsia"/>
          <w:color w:val="auto"/>
          <w:highlight w:val="none"/>
          <w:lang w:val="en-US" w:eastAsia="zh-CN"/>
        </w:rPr>
        <w:t>对于居室净高的控制，借鉴住宅建筑对净高的规定给出老年人居室的净高要求</w:t>
      </w:r>
      <w:r>
        <w:rPr>
          <w:rFonts w:hint="eastAsia"/>
          <w:b w:val="0"/>
          <w:bCs w:val="0"/>
          <w:color w:val="auto"/>
          <w:highlight w:val="none"/>
          <w:lang w:val="en-US" w:eastAsia="zh-CN"/>
        </w:rPr>
        <w:t>。给出老年人无障碍通行以及床位周围进行护理、急救操作的空间最小尺寸要求。</w:t>
      </w:r>
    </w:p>
    <w:p w14:paraId="613DDC60">
      <w:pPr>
        <w:numPr>
          <w:ilvl w:val="2"/>
          <w:numId w:val="21"/>
        </w:numPr>
        <w:bidi w:val="0"/>
        <w:ind w:left="9" w:leftChars="0" w:hanging="9" w:firstLineChars="0"/>
        <w:rPr>
          <w:color w:val="auto"/>
          <w:highlight w:val="none"/>
        </w:rPr>
      </w:pPr>
      <w:r>
        <w:rPr>
          <w:rFonts w:ascii="TT30A45o02" w:hAnsi="TT30A45o02" w:eastAsia="TT30A45o02" w:cs="TT30A45o02"/>
          <w:color w:val="auto"/>
          <w:kern w:val="0"/>
          <w:sz w:val="21"/>
          <w:szCs w:val="21"/>
          <w:highlight w:val="none"/>
          <w:lang w:val="en-US" w:eastAsia="zh-CN" w:bidi="ar"/>
        </w:rPr>
        <w:t>根据</w:t>
      </w:r>
      <w:r>
        <w:rPr>
          <w:rFonts w:ascii="TT30A45o01" w:hAnsi="TT30A45o01" w:eastAsia="TT30A45o01" w:cs="TT30A45o01"/>
          <w:color w:val="auto"/>
          <w:kern w:val="0"/>
          <w:sz w:val="21"/>
          <w:szCs w:val="21"/>
          <w:highlight w:val="none"/>
          <w:lang w:val="en-US" w:eastAsia="zh-CN" w:bidi="ar"/>
        </w:rPr>
        <w:t>目</w:t>
      </w:r>
      <w:r>
        <w:rPr>
          <w:rFonts w:ascii="TT30A45o00" w:hAnsi="TT30A45o00" w:eastAsia="TT30A45o00" w:cs="TT30A45o00"/>
          <w:color w:val="auto"/>
          <w:kern w:val="0"/>
          <w:sz w:val="21"/>
          <w:szCs w:val="21"/>
          <w:highlight w:val="none"/>
          <w:lang w:val="en-US" w:eastAsia="zh-CN" w:bidi="ar"/>
        </w:rPr>
        <w:t>前国内经济</w:t>
      </w:r>
      <w:r>
        <w:rPr>
          <w:rFonts w:hint="default" w:ascii="TT30A45o01" w:hAnsi="TT30A45o01" w:eastAsia="TT30A45o01" w:cs="TT30A45o01"/>
          <w:color w:val="auto"/>
          <w:kern w:val="0"/>
          <w:sz w:val="21"/>
          <w:szCs w:val="21"/>
          <w:highlight w:val="none"/>
          <w:lang w:val="en-US" w:eastAsia="zh-CN" w:bidi="ar"/>
        </w:rPr>
        <w:t>状</w:t>
      </w:r>
      <w:r>
        <w:rPr>
          <w:rFonts w:hint="default" w:ascii="TT30A45o00" w:hAnsi="TT30A45o00" w:eastAsia="TT30A45o00" w:cs="TT30A45o00"/>
          <w:color w:val="auto"/>
          <w:kern w:val="0"/>
          <w:sz w:val="21"/>
          <w:szCs w:val="21"/>
          <w:highlight w:val="none"/>
          <w:lang w:val="en-US" w:eastAsia="zh-CN" w:bidi="ar"/>
        </w:rPr>
        <w:t>况和现有</w:t>
      </w:r>
      <w:r>
        <w:rPr>
          <w:rFonts w:hint="eastAsia" w:eastAsia="宋体"/>
          <w:color w:val="auto"/>
          <w:highlight w:val="none"/>
          <w:lang w:eastAsia="zh"/>
        </w:rPr>
        <w:t>老年人照料设施</w:t>
      </w:r>
      <w:r>
        <w:rPr>
          <w:rFonts w:hint="eastAsia" w:ascii="TT30A45o03" w:hAnsi="TT30A45o03" w:eastAsia="TT30A45o03" w:cs="TT30A45o03"/>
          <w:color w:val="auto"/>
          <w:kern w:val="0"/>
          <w:sz w:val="21"/>
          <w:szCs w:val="21"/>
          <w:highlight w:val="none"/>
          <w:lang w:val="en-US" w:eastAsia="zh-CN" w:bidi="ar"/>
        </w:rPr>
        <w:t>调</w:t>
      </w:r>
      <w:r>
        <w:rPr>
          <w:rFonts w:ascii="TT30A45o03" w:hAnsi="TT30A45o03" w:eastAsia="TT30A45o03" w:cs="TT30A45o03"/>
          <w:color w:val="auto"/>
          <w:kern w:val="0"/>
          <w:sz w:val="21"/>
          <w:szCs w:val="21"/>
          <w:highlight w:val="none"/>
          <w:lang w:val="en-US" w:eastAsia="zh-CN" w:bidi="ar"/>
        </w:rPr>
        <w:t>查</w:t>
      </w:r>
      <w:r>
        <w:rPr>
          <w:rFonts w:hint="default" w:ascii="TT30A45o00" w:hAnsi="TT30A45o00" w:eastAsia="TT30A45o00" w:cs="TT30A45o00"/>
          <w:color w:val="auto"/>
          <w:kern w:val="0"/>
          <w:sz w:val="21"/>
          <w:szCs w:val="21"/>
          <w:highlight w:val="none"/>
          <w:lang w:val="en-US" w:eastAsia="zh-CN" w:bidi="ar"/>
        </w:rPr>
        <w:t>情况，</w:t>
      </w:r>
      <w:r>
        <w:rPr>
          <w:rFonts w:hint="default"/>
          <w:color w:val="auto"/>
          <w:highlight w:val="none"/>
          <w:lang w:val="en-US" w:eastAsia="zh-CN"/>
        </w:rPr>
        <w:t>本</w:t>
      </w:r>
      <w:r>
        <w:rPr>
          <w:rFonts w:hint="eastAsia"/>
          <w:color w:val="auto"/>
          <w:highlight w:val="none"/>
          <w:lang w:val="en-US" w:eastAsia="zh"/>
          <w:woUserID w:val="1"/>
        </w:rPr>
        <w:t>标准</w:t>
      </w:r>
      <w:r>
        <w:rPr>
          <w:rFonts w:hint="eastAsia"/>
          <w:color w:val="auto"/>
          <w:highlight w:val="none"/>
          <w:lang w:val="en-US" w:eastAsia="zh-CN"/>
        </w:rPr>
        <w:t>针对老年人的生活特征及护理特点，分别给出多人间居室护理型床位和非护理型床位数量上限</w:t>
      </w:r>
      <w:r>
        <w:rPr>
          <w:rFonts w:hint="default"/>
          <w:color w:val="auto"/>
          <w:highlight w:val="none"/>
          <w:lang w:val="en-US" w:eastAsia="zh-CN"/>
        </w:rPr>
        <w:t>。</w:t>
      </w:r>
      <w:r>
        <w:rPr>
          <w:rFonts w:hint="eastAsia"/>
          <w:color w:val="auto"/>
          <w:highlight w:val="none"/>
          <w:lang w:val="en-US" w:eastAsia="zh-CN"/>
        </w:rPr>
        <w:t>并要求对床位空间进行适当的分隔以保护老年人的隐私和尊严</w:t>
      </w:r>
      <w:r>
        <w:rPr>
          <w:rFonts w:hint="default"/>
          <w:color w:val="auto"/>
          <w:highlight w:val="none"/>
          <w:lang w:val="en-US" w:eastAsia="zh-CN"/>
        </w:rPr>
        <w:t>。</w:t>
      </w:r>
    </w:p>
    <w:p w14:paraId="3B3FFBC7">
      <w:pPr>
        <w:numPr>
          <w:ilvl w:val="2"/>
          <w:numId w:val="21"/>
        </w:numPr>
        <w:bidi w:val="0"/>
        <w:ind w:left="9" w:leftChars="0" w:hanging="9" w:firstLineChars="0"/>
        <w:rPr>
          <w:color w:val="auto"/>
          <w:highlight w:val="none"/>
        </w:rPr>
      </w:pPr>
      <w:r>
        <w:rPr>
          <w:rFonts w:ascii="TT30A45o00" w:hAnsi="TT30A45o00" w:eastAsia="TT30A45o00" w:cs="TT30A45o00"/>
          <w:color w:val="auto"/>
          <w:kern w:val="0"/>
          <w:sz w:val="21"/>
          <w:szCs w:val="21"/>
          <w:highlight w:val="none"/>
          <w:lang w:val="en-US" w:eastAsia="zh-CN" w:bidi="ar"/>
        </w:rPr>
        <w:t>为</w:t>
      </w:r>
      <w:r>
        <w:rPr>
          <w:rFonts w:ascii="TT30A45o01" w:hAnsi="TT30A45o01" w:eastAsia="TT30A45o01" w:cs="TT30A45o01"/>
          <w:color w:val="auto"/>
          <w:kern w:val="0"/>
          <w:sz w:val="21"/>
          <w:szCs w:val="21"/>
          <w:highlight w:val="none"/>
          <w:lang w:val="en-US" w:eastAsia="zh-CN" w:bidi="ar"/>
        </w:rPr>
        <w:t>防</w:t>
      </w:r>
      <w:r>
        <w:rPr>
          <w:rFonts w:ascii="TT30A45o02" w:hAnsi="TT30A45o02" w:eastAsia="TT30A45o02" w:cs="TT30A45o02"/>
          <w:color w:val="auto"/>
          <w:kern w:val="0"/>
          <w:sz w:val="21"/>
          <w:szCs w:val="21"/>
          <w:highlight w:val="none"/>
          <w:lang w:val="en-US" w:eastAsia="zh-CN" w:bidi="ar"/>
        </w:rPr>
        <w:t>止</w:t>
      </w:r>
      <w:r>
        <w:rPr>
          <w:rFonts w:hint="default" w:ascii="TT30A45o00" w:hAnsi="TT30A45o00" w:eastAsia="TT30A45o00" w:cs="TT30A45o00"/>
          <w:color w:val="auto"/>
          <w:kern w:val="0"/>
          <w:sz w:val="21"/>
          <w:szCs w:val="21"/>
          <w:highlight w:val="none"/>
          <w:lang w:val="en-US" w:eastAsia="zh-CN" w:bidi="ar"/>
        </w:rPr>
        <w:t>介护老年人中失智老年人发生</w:t>
      </w:r>
      <w:r>
        <w:rPr>
          <w:rFonts w:hint="default" w:ascii="TT30A45o01" w:hAnsi="TT30A45o01" w:eastAsia="TT30A45o01" w:cs="TT30A45o01"/>
          <w:color w:val="auto"/>
          <w:kern w:val="0"/>
          <w:sz w:val="21"/>
          <w:szCs w:val="21"/>
          <w:highlight w:val="none"/>
          <w:lang w:val="en-US" w:eastAsia="zh-CN" w:bidi="ar"/>
        </w:rPr>
        <w:t>高</w:t>
      </w:r>
      <w:r>
        <w:rPr>
          <w:rFonts w:hint="default" w:ascii="TT30A45o00" w:hAnsi="TT30A45o00" w:eastAsia="TT30A45o00" w:cs="TT30A45o00"/>
          <w:color w:val="auto"/>
          <w:kern w:val="0"/>
          <w:sz w:val="21"/>
          <w:szCs w:val="21"/>
          <w:highlight w:val="none"/>
          <w:lang w:val="en-US" w:eastAsia="zh-CN" w:bidi="ar"/>
        </w:rPr>
        <w:t>空</w:t>
      </w:r>
      <w:r>
        <w:rPr>
          <w:rFonts w:ascii="TT30A45o03" w:hAnsi="TT30A45o03" w:eastAsia="TT30A45o03" w:cs="TT30A45o03"/>
          <w:color w:val="auto"/>
          <w:kern w:val="0"/>
          <w:sz w:val="21"/>
          <w:szCs w:val="21"/>
          <w:highlight w:val="none"/>
          <w:lang w:val="en-US" w:eastAsia="zh-CN" w:bidi="ar"/>
        </w:rPr>
        <w:t>坠</w:t>
      </w:r>
      <w:r>
        <w:rPr>
          <w:rFonts w:hint="default" w:ascii="TT30A45o01" w:hAnsi="TT30A45o01" w:eastAsia="TT30A45o01" w:cs="TT30A45o01"/>
          <w:color w:val="auto"/>
          <w:kern w:val="0"/>
          <w:sz w:val="21"/>
          <w:szCs w:val="21"/>
          <w:highlight w:val="none"/>
          <w:lang w:val="en-US" w:eastAsia="zh-CN" w:bidi="ar"/>
        </w:rPr>
        <w:t>落</w:t>
      </w:r>
      <w:r>
        <w:rPr>
          <w:rFonts w:hint="default" w:ascii="TT30A45o00" w:hAnsi="TT30A45o00" w:eastAsia="TT30A45o00" w:cs="TT30A45o00"/>
          <w:color w:val="auto"/>
          <w:kern w:val="0"/>
          <w:sz w:val="21"/>
          <w:szCs w:val="21"/>
          <w:highlight w:val="none"/>
          <w:lang w:val="en-US" w:eastAsia="zh-CN" w:bidi="ar"/>
        </w:rPr>
        <w:t>等意外发生，本条规定失智老年人养护单元用房的外</w:t>
      </w:r>
      <w:r>
        <w:rPr>
          <w:rFonts w:hint="default" w:ascii="TT30A45o01" w:hAnsi="TT30A45o01" w:eastAsia="TT30A45o01" w:cs="TT30A45o01"/>
          <w:color w:val="auto"/>
          <w:kern w:val="0"/>
          <w:sz w:val="21"/>
          <w:szCs w:val="21"/>
          <w:highlight w:val="none"/>
          <w:lang w:val="en-US" w:eastAsia="zh-CN" w:bidi="ar"/>
        </w:rPr>
        <w:t>窗</w:t>
      </w:r>
      <w:r>
        <w:rPr>
          <w:rFonts w:hint="default" w:ascii="TT30A45o00" w:hAnsi="TT30A45o00" w:eastAsia="TT30A45o00" w:cs="TT30A45o00"/>
          <w:color w:val="auto"/>
          <w:kern w:val="0"/>
          <w:sz w:val="21"/>
          <w:szCs w:val="21"/>
          <w:highlight w:val="none"/>
          <w:lang w:val="en-US" w:eastAsia="zh-CN" w:bidi="ar"/>
        </w:rPr>
        <w:t>可开</w:t>
      </w:r>
      <w:r>
        <w:rPr>
          <w:rFonts w:hint="default" w:ascii="TT30A45o01" w:hAnsi="TT30A45o01" w:eastAsia="TT30A45o01" w:cs="TT30A45o01"/>
          <w:color w:val="auto"/>
          <w:kern w:val="0"/>
          <w:sz w:val="21"/>
          <w:szCs w:val="21"/>
          <w:highlight w:val="none"/>
          <w:lang w:val="en-US" w:eastAsia="zh-CN" w:bidi="ar"/>
        </w:rPr>
        <w:t>启</w:t>
      </w:r>
      <w:r>
        <w:rPr>
          <w:rFonts w:hint="default" w:ascii="TT30A45o00" w:hAnsi="TT30A45o00" w:eastAsia="TT30A45o00" w:cs="TT30A45o00"/>
          <w:color w:val="auto"/>
          <w:kern w:val="0"/>
          <w:sz w:val="21"/>
          <w:szCs w:val="21"/>
          <w:highlight w:val="none"/>
          <w:lang w:val="en-US" w:eastAsia="zh-CN" w:bidi="ar"/>
        </w:rPr>
        <w:t>范围内设置</w:t>
      </w:r>
      <w:r>
        <w:rPr>
          <w:rFonts w:hint="default" w:ascii="TT30A45o01" w:hAnsi="TT30A45o01" w:eastAsia="TT30A45o01" w:cs="TT30A45o01"/>
          <w:color w:val="auto"/>
          <w:kern w:val="0"/>
          <w:sz w:val="21"/>
          <w:szCs w:val="21"/>
          <w:highlight w:val="none"/>
          <w:lang w:val="en-US" w:eastAsia="zh-CN" w:bidi="ar"/>
        </w:rPr>
        <w:t>防</w:t>
      </w:r>
      <w:r>
        <w:rPr>
          <w:rFonts w:hint="default" w:ascii="TT30A45o00" w:hAnsi="TT30A45o00" w:eastAsia="TT30A45o00" w:cs="TT30A45o00"/>
          <w:color w:val="auto"/>
          <w:kern w:val="0"/>
          <w:sz w:val="21"/>
          <w:szCs w:val="21"/>
          <w:highlight w:val="none"/>
          <w:lang w:val="en-US" w:eastAsia="zh-CN" w:bidi="ar"/>
        </w:rPr>
        <w:t>护措施。房</w:t>
      </w:r>
      <w:r>
        <w:rPr>
          <w:rFonts w:hint="default" w:ascii="TT30A45o01" w:hAnsi="TT30A45o01" w:eastAsia="TT30A45o01" w:cs="TT30A45o01"/>
          <w:color w:val="auto"/>
          <w:kern w:val="0"/>
          <w:sz w:val="21"/>
          <w:szCs w:val="21"/>
          <w:highlight w:val="none"/>
          <w:lang w:val="en-US" w:eastAsia="zh-CN" w:bidi="ar"/>
        </w:rPr>
        <w:t>间门采</w:t>
      </w:r>
      <w:r>
        <w:rPr>
          <w:rFonts w:hint="default" w:ascii="TT30A45o00" w:hAnsi="TT30A45o00" w:eastAsia="TT30A45o00" w:cs="TT30A45o00"/>
          <w:color w:val="auto"/>
          <w:kern w:val="0"/>
          <w:sz w:val="21"/>
          <w:szCs w:val="21"/>
          <w:highlight w:val="none"/>
          <w:lang w:val="en-US" w:eastAsia="zh-CN" w:bidi="ar"/>
        </w:rPr>
        <w:t>用明</w:t>
      </w:r>
      <w:r>
        <w:rPr>
          <w:rFonts w:hint="default" w:ascii="TT30A45o01" w:hAnsi="TT30A45o01" w:eastAsia="TT30A45o01" w:cs="TT30A45o01"/>
          <w:color w:val="auto"/>
          <w:kern w:val="0"/>
          <w:sz w:val="21"/>
          <w:szCs w:val="21"/>
          <w:highlight w:val="none"/>
          <w:lang w:val="en-US" w:eastAsia="zh-CN" w:bidi="ar"/>
        </w:rPr>
        <w:t>显颜色或图案</w:t>
      </w:r>
      <w:r>
        <w:rPr>
          <w:rFonts w:hint="default" w:ascii="TT30A45o02" w:hAnsi="TT30A45o02" w:eastAsia="TT30A45o02" w:cs="TT30A45o02"/>
          <w:color w:val="auto"/>
          <w:kern w:val="0"/>
          <w:sz w:val="21"/>
          <w:szCs w:val="21"/>
          <w:highlight w:val="none"/>
          <w:lang w:val="en-US" w:eastAsia="zh-CN" w:bidi="ar"/>
        </w:rPr>
        <w:t>加</w:t>
      </w:r>
      <w:r>
        <w:rPr>
          <w:rFonts w:hint="default" w:ascii="TT30A45o00" w:hAnsi="TT30A45o00" w:eastAsia="TT30A45o00" w:cs="TT30A45o00"/>
          <w:color w:val="auto"/>
          <w:kern w:val="0"/>
          <w:sz w:val="21"/>
          <w:szCs w:val="21"/>
          <w:highlight w:val="none"/>
          <w:lang w:val="en-US" w:eastAsia="zh-CN" w:bidi="ar"/>
        </w:rPr>
        <w:t>以</w:t>
      </w:r>
      <w:r>
        <w:rPr>
          <w:rFonts w:hint="default" w:ascii="TT30A45o01" w:hAnsi="TT30A45o01" w:eastAsia="TT30A45o01" w:cs="TT30A45o01"/>
          <w:color w:val="auto"/>
          <w:kern w:val="0"/>
          <w:sz w:val="21"/>
          <w:szCs w:val="21"/>
          <w:highlight w:val="none"/>
          <w:lang w:val="en-US" w:eastAsia="zh-CN" w:bidi="ar"/>
        </w:rPr>
        <w:t>显</w:t>
      </w:r>
      <w:r>
        <w:rPr>
          <w:rFonts w:hint="default" w:ascii="TT30A45o03" w:hAnsi="TT30A45o03" w:eastAsia="TT30A45o03" w:cs="TT30A45o03"/>
          <w:color w:val="auto"/>
          <w:kern w:val="0"/>
          <w:sz w:val="21"/>
          <w:szCs w:val="21"/>
          <w:highlight w:val="none"/>
          <w:lang w:val="en-US" w:eastAsia="zh-CN" w:bidi="ar"/>
        </w:rPr>
        <w:t>著</w:t>
      </w:r>
      <w:r>
        <w:rPr>
          <w:rFonts w:hint="default" w:ascii="TT30A45o00" w:hAnsi="TT30A45o00" w:eastAsia="TT30A45o00" w:cs="TT30A45o00"/>
          <w:color w:val="auto"/>
          <w:kern w:val="0"/>
          <w:sz w:val="21"/>
          <w:szCs w:val="21"/>
          <w:highlight w:val="none"/>
          <w:lang w:val="en-US" w:eastAsia="zh-CN" w:bidi="ar"/>
        </w:rPr>
        <w:t>标</w:t>
      </w:r>
      <w:r>
        <w:rPr>
          <w:rFonts w:hint="default" w:ascii="TT30A45o01" w:hAnsi="TT30A45o01" w:eastAsia="TT30A45o01" w:cs="TT30A45o01"/>
          <w:color w:val="auto"/>
          <w:kern w:val="0"/>
          <w:sz w:val="21"/>
          <w:szCs w:val="21"/>
          <w:highlight w:val="none"/>
          <w:lang w:val="en-US" w:eastAsia="zh-CN" w:bidi="ar"/>
        </w:rPr>
        <w:t>识</w:t>
      </w:r>
      <w:r>
        <w:rPr>
          <w:rFonts w:hint="default" w:ascii="TT30A45o00" w:hAnsi="TT30A45o00" w:eastAsia="TT30A45o00" w:cs="TT30A45o00"/>
          <w:color w:val="auto"/>
          <w:kern w:val="0"/>
          <w:sz w:val="21"/>
          <w:szCs w:val="21"/>
          <w:highlight w:val="none"/>
          <w:lang w:val="en-US" w:eastAsia="zh-CN" w:bidi="ar"/>
        </w:rPr>
        <w:t>，以便于失智老年人</w:t>
      </w:r>
      <w:r>
        <w:rPr>
          <w:rFonts w:hint="default" w:ascii="TT30A45o02" w:hAnsi="TT30A45o02" w:eastAsia="TT30A45o02" w:cs="TT30A45o02"/>
          <w:color w:val="auto"/>
          <w:kern w:val="0"/>
          <w:sz w:val="21"/>
          <w:szCs w:val="21"/>
          <w:highlight w:val="none"/>
          <w:lang w:val="en-US" w:eastAsia="zh-CN" w:bidi="ar"/>
        </w:rPr>
        <w:t>记</w:t>
      </w:r>
      <w:r>
        <w:rPr>
          <w:rFonts w:hint="default" w:ascii="TT30A45o03" w:hAnsi="TT30A45o03" w:eastAsia="TT30A45o03" w:cs="TT30A45o03"/>
          <w:color w:val="auto"/>
          <w:kern w:val="0"/>
          <w:sz w:val="21"/>
          <w:szCs w:val="21"/>
          <w:highlight w:val="none"/>
          <w:lang w:val="en-US" w:eastAsia="zh-CN" w:bidi="ar"/>
        </w:rPr>
        <w:t>忆</w:t>
      </w:r>
      <w:r>
        <w:rPr>
          <w:rFonts w:hint="default" w:ascii="TT30A45o00" w:hAnsi="TT30A45o00" w:eastAsia="TT30A45o00" w:cs="TT30A45o00"/>
          <w:color w:val="auto"/>
          <w:kern w:val="0"/>
          <w:sz w:val="21"/>
          <w:szCs w:val="21"/>
          <w:highlight w:val="none"/>
          <w:lang w:val="en-US" w:eastAsia="zh-CN" w:bidi="ar"/>
        </w:rPr>
        <w:t>和</w:t>
      </w:r>
      <w:r>
        <w:rPr>
          <w:rFonts w:hint="default" w:ascii="TT30A45o02" w:hAnsi="TT30A45o02" w:eastAsia="TT30A45o02" w:cs="TT30A45o02"/>
          <w:color w:val="auto"/>
          <w:kern w:val="0"/>
          <w:sz w:val="21"/>
          <w:szCs w:val="21"/>
          <w:highlight w:val="none"/>
          <w:lang w:val="en-US" w:eastAsia="zh-CN" w:bidi="ar"/>
        </w:rPr>
        <w:t>辨</w:t>
      </w:r>
      <w:r>
        <w:rPr>
          <w:rFonts w:hint="default" w:ascii="TT30A45o01" w:hAnsi="TT30A45o01" w:eastAsia="TT30A45o01" w:cs="TT30A45o01"/>
          <w:color w:val="auto"/>
          <w:kern w:val="0"/>
          <w:sz w:val="21"/>
          <w:szCs w:val="21"/>
          <w:highlight w:val="none"/>
          <w:lang w:val="en-US" w:eastAsia="zh-CN" w:bidi="ar"/>
        </w:rPr>
        <w:t>识</w:t>
      </w:r>
      <w:r>
        <w:rPr>
          <w:rFonts w:hint="default" w:ascii="TT30A45o00" w:hAnsi="TT30A45o00" w:eastAsia="TT30A45o00" w:cs="TT30A45o00"/>
          <w:color w:val="auto"/>
          <w:kern w:val="0"/>
          <w:sz w:val="21"/>
          <w:szCs w:val="21"/>
          <w:highlight w:val="none"/>
          <w:lang w:val="en-US" w:eastAsia="zh-CN" w:bidi="ar"/>
        </w:rPr>
        <w:t>。</w:t>
      </w:r>
    </w:p>
    <w:p w14:paraId="45966509">
      <w:pPr>
        <w:numPr>
          <w:ilvl w:val="2"/>
          <w:numId w:val="21"/>
        </w:numPr>
        <w:bidi w:val="0"/>
        <w:ind w:left="9" w:leftChars="0" w:hanging="9" w:firstLineChars="0"/>
        <w:rPr>
          <w:color w:val="auto"/>
          <w:highlight w:val="none"/>
        </w:rPr>
      </w:pPr>
      <w:r>
        <w:rPr>
          <w:color w:val="auto"/>
          <w:highlight w:val="none"/>
          <w:lang w:val="en-US" w:eastAsia="zh-CN"/>
        </w:rPr>
        <w:t>开敞式阳台栏杆高度不低</w:t>
      </w:r>
      <w:r>
        <w:rPr>
          <w:rFonts w:hint="default"/>
          <w:color w:val="auto"/>
          <w:highlight w:val="none"/>
          <w:lang w:val="en-US" w:eastAsia="zh-CN"/>
        </w:rPr>
        <w:t>于</w:t>
      </w:r>
      <w:r>
        <w:rPr>
          <w:color w:val="auto"/>
          <w:highlight w:val="none"/>
          <w:lang w:val="en-US" w:eastAsia="zh-CN"/>
        </w:rPr>
        <w:t xml:space="preserve">1.10 </w:t>
      </w:r>
      <w:r>
        <w:rPr>
          <w:rFonts w:hint="eastAsia"/>
          <w:color w:val="auto"/>
          <w:highlight w:val="none"/>
          <w:lang w:val="en-US" w:eastAsia="zh-CN"/>
        </w:rPr>
        <w:t>m</w:t>
      </w:r>
      <w:r>
        <w:rPr>
          <w:rFonts w:hint="default"/>
          <w:color w:val="auto"/>
          <w:highlight w:val="none"/>
          <w:lang w:val="en-US" w:eastAsia="zh-CN"/>
        </w:rPr>
        <w:t>，且距地面0.30 m 高度范围内不留空，</w:t>
      </w:r>
      <w:r>
        <w:rPr>
          <w:color w:val="auto"/>
          <w:highlight w:val="none"/>
          <w:lang w:val="en-US" w:eastAsia="zh-CN"/>
        </w:rPr>
        <w:t>考虑</w:t>
      </w:r>
      <w:r>
        <w:rPr>
          <w:rFonts w:hint="default"/>
          <w:color w:val="auto"/>
          <w:highlight w:val="none"/>
          <w:lang w:val="en-US" w:eastAsia="zh-CN"/>
        </w:rPr>
        <w:t>老人易产生头</w:t>
      </w:r>
      <w:r>
        <w:rPr>
          <w:color w:val="auto"/>
          <w:highlight w:val="none"/>
          <w:lang w:val="en-US" w:eastAsia="zh-CN"/>
        </w:rPr>
        <w:t>晕</w:t>
      </w:r>
      <w:r>
        <w:rPr>
          <w:rFonts w:hint="default"/>
          <w:color w:val="auto"/>
          <w:highlight w:val="none"/>
          <w:lang w:val="en-US" w:eastAsia="zh-CN"/>
        </w:rPr>
        <w:t>目眩，阳台宜采用实心栏板，并做好雨水遮挡和排水措施，以保证介助老年人使用安全。考虑地域特征，严寒、寒冷地区，阳台设封闭避风设置。介护老年人中失智老年人居室的阳台采用封闭式设置，以便于管理服务。</w:t>
      </w:r>
    </w:p>
    <w:p w14:paraId="2DEB647E">
      <w:pPr>
        <w:numPr>
          <w:ilvl w:val="2"/>
          <w:numId w:val="21"/>
        </w:numPr>
        <w:bidi w:val="0"/>
        <w:ind w:left="9" w:leftChars="0" w:hanging="9" w:firstLineChars="0"/>
        <w:rPr>
          <w:rFonts w:hint="default"/>
          <w:color w:val="auto"/>
          <w:highlight w:val="none"/>
          <w:lang w:val="en-US"/>
        </w:rPr>
      </w:pPr>
      <w:r>
        <w:rPr>
          <w:color w:val="auto"/>
          <w:highlight w:val="none"/>
          <w:lang w:val="en-US" w:eastAsia="zh-CN"/>
        </w:rPr>
        <w:t>老年人身患泌尿</w:t>
      </w:r>
      <w:r>
        <w:rPr>
          <w:rFonts w:hint="default"/>
          <w:color w:val="auto"/>
          <w:highlight w:val="none"/>
          <w:lang w:val="en-US" w:eastAsia="zh-CN"/>
        </w:rPr>
        <w:t>系统病症较</w:t>
      </w:r>
      <w:r>
        <w:rPr>
          <w:color w:val="auto"/>
          <w:highlight w:val="none"/>
          <w:lang w:val="en-US" w:eastAsia="zh-CN"/>
        </w:rPr>
        <w:t>普</w:t>
      </w:r>
      <w:r>
        <w:rPr>
          <w:rFonts w:hint="default"/>
          <w:color w:val="auto"/>
          <w:highlight w:val="none"/>
          <w:lang w:val="en-US" w:eastAsia="zh-CN"/>
        </w:rPr>
        <w:t>遍，自用卫生间位置与居室相邻设置，以方便老年人使用。卫生洁具浅色最佳，不仅感觉清洁而且易于随时发现老年人的某些病变。卫生间的平面布置要考虑可能有护理员协助操作，留有助厕、助浴空间。自用卫生间需要保证良好的自然通风换气、防潮、防滑等条件，以提高环境卫生质量。</w:t>
      </w:r>
      <w:r>
        <w:rPr>
          <w:b w:val="0"/>
          <w:bCs w:val="0"/>
          <w:color w:val="auto"/>
          <w:highlight w:val="none"/>
        </w:rPr>
        <w:t>卫生间安全扶手</w:t>
      </w:r>
      <w:r>
        <w:rPr>
          <w:rFonts w:hint="eastAsia"/>
          <w:b w:val="0"/>
          <w:bCs w:val="0"/>
          <w:strike w:val="0"/>
          <w:dstrike w:val="0"/>
          <w:color w:val="auto"/>
          <w:highlight w:val="none"/>
          <w:lang w:val="en-US" w:eastAsia="zh-CN"/>
        </w:rPr>
        <w:t>应按照《建筑与市政工程无障碍通用规范》GB55019要求设置）</w:t>
      </w:r>
      <w:r>
        <w:rPr>
          <w:rFonts w:hint="eastAsia"/>
          <w:b w:val="0"/>
          <w:bCs w:val="0"/>
          <w:strike w:val="0"/>
          <w:dstrike w:val="0"/>
          <w:color w:val="auto"/>
          <w:highlight w:val="none"/>
          <w:lang w:eastAsia="zh-CN"/>
        </w:rPr>
        <w:t>。</w:t>
      </w:r>
    </w:p>
    <w:p w14:paraId="04B14E61">
      <w:pPr>
        <w:numPr>
          <w:ilvl w:val="2"/>
          <w:numId w:val="21"/>
        </w:numPr>
        <w:bidi w:val="0"/>
        <w:ind w:left="9" w:leftChars="0" w:hanging="9" w:firstLineChars="0"/>
        <w:rPr>
          <w:color w:val="auto"/>
          <w:highlight w:val="none"/>
        </w:rPr>
      </w:pPr>
      <w:r>
        <w:rPr>
          <w:color w:val="auto"/>
          <w:highlight w:val="none"/>
          <w:lang w:val="en-US" w:eastAsia="zh-CN"/>
        </w:rPr>
        <w:t>老年人多</w:t>
      </w:r>
      <w:r>
        <w:rPr>
          <w:rFonts w:hint="default"/>
          <w:color w:val="auto"/>
          <w:highlight w:val="none"/>
          <w:lang w:val="en-US" w:eastAsia="zh-CN"/>
        </w:rPr>
        <w:t>依赖于公共餐厅</w:t>
      </w:r>
      <w:r>
        <w:rPr>
          <w:color w:val="auto"/>
          <w:highlight w:val="none"/>
          <w:lang w:val="en-US" w:eastAsia="zh-CN"/>
        </w:rPr>
        <w:t>就</w:t>
      </w:r>
      <w:r>
        <w:rPr>
          <w:rFonts w:hint="default"/>
          <w:color w:val="auto"/>
          <w:highlight w:val="none"/>
          <w:lang w:val="en-US" w:eastAsia="zh-CN"/>
        </w:rPr>
        <w:t>餐，本</w:t>
      </w:r>
      <w:r>
        <w:rPr>
          <w:rFonts w:hint="eastAsia"/>
          <w:color w:val="auto"/>
          <w:highlight w:val="none"/>
          <w:lang w:val="en-US" w:eastAsia="zh"/>
          <w:woUserID w:val="1"/>
        </w:rPr>
        <w:t>标准</w:t>
      </w:r>
      <w:r>
        <w:rPr>
          <w:rFonts w:hint="default"/>
          <w:color w:val="auto"/>
          <w:highlight w:val="none"/>
          <w:lang w:val="en-US" w:eastAsia="zh-CN"/>
        </w:rPr>
        <w:t>参照</w:t>
      </w:r>
      <w:r>
        <w:rPr>
          <w:rFonts w:hint="eastAsia"/>
          <w:b w:val="0"/>
          <w:bCs w:val="0"/>
          <w:color w:val="auto"/>
          <w:highlight w:val="none"/>
          <w:lang w:val="en-US" w:eastAsia="zh-CN"/>
        </w:rPr>
        <w:t>《</w:t>
      </w:r>
      <w:r>
        <w:rPr>
          <w:rFonts w:hint="eastAsia"/>
          <w:b w:val="0"/>
          <w:bCs w:val="0"/>
          <w:color w:val="auto"/>
          <w:highlight w:val="none"/>
        </w:rPr>
        <w:t>老年人照料设施建筑设计标准</w:t>
      </w:r>
      <w:r>
        <w:rPr>
          <w:rFonts w:hint="eastAsia"/>
          <w:b w:val="0"/>
          <w:bCs w:val="0"/>
          <w:color w:val="auto"/>
          <w:highlight w:val="none"/>
          <w:lang w:val="en-US" w:eastAsia="zh-CN"/>
        </w:rPr>
        <w:t>》</w:t>
      </w:r>
      <w:r>
        <w:rPr>
          <w:rFonts w:hint="eastAsia"/>
          <w:b w:val="0"/>
          <w:bCs w:val="0"/>
          <w:color w:val="auto"/>
          <w:highlight w:val="none"/>
        </w:rPr>
        <w:t>JGJ450-2018</w:t>
      </w:r>
      <w:r>
        <w:rPr>
          <w:rFonts w:hint="default"/>
          <w:color w:val="auto"/>
          <w:highlight w:val="none"/>
          <w:lang w:val="en-US" w:eastAsia="zh-CN"/>
        </w:rPr>
        <w:t>中的相关标准，规定最低配建面 积标准。</w:t>
      </w:r>
      <w:r>
        <w:rPr>
          <w:rFonts w:hint="eastAsia"/>
          <w:color w:val="auto"/>
          <w:highlight w:val="none"/>
          <w:lang w:val="en-US" w:eastAsia="zh"/>
        </w:rPr>
        <w:t>老年人照料设施</w:t>
      </w:r>
      <w:r>
        <w:rPr>
          <w:rFonts w:hint="default"/>
          <w:color w:val="auto"/>
          <w:highlight w:val="none"/>
          <w:lang w:val="en-US" w:eastAsia="zh-CN"/>
        </w:rPr>
        <w:t>的公共餐厅结合养护单元分散设置，与老年人 生活用房的距离不宜过长，便于老年人就近用餐。老年人的就餐</w:t>
      </w:r>
      <w:r>
        <w:rPr>
          <w:color w:val="auto"/>
          <w:highlight w:val="none"/>
          <w:lang w:val="en-US" w:eastAsia="zh-CN"/>
        </w:rPr>
        <w:t>习惯</w:t>
      </w:r>
      <w:r>
        <w:rPr>
          <w:rFonts w:hint="default"/>
          <w:color w:val="auto"/>
          <w:highlight w:val="none"/>
          <w:lang w:val="en-US" w:eastAsia="zh-CN"/>
        </w:rPr>
        <w:t>、体能心态特征各异，且行动不便，因此公共餐厅需使用可移动的单人座椅。在空间布置上为护理员留有分餐、助餐空间，且应设有无障碍服务柜台，以便于更好地为老年人就餐服务。如送餐流线与就餐流线交叉宜产生油腻污物和发生老年人与餐车碰撞，造成老年人摔倒。因此应避免送车流线与就餐流线的交叉。</w:t>
      </w:r>
      <w:r>
        <w:rPr>
          <w:rFonts w:hint="eastAsia"/>
          <w:color w:val="auto"/>
          <w:highlight w:val="none"/>
          <w:lang w:val="en-US" w:eastAsia="zh-CN"/>
        </w:rPr>
        <w:t>考虑坐轮椅老年人的就餐需求，部分座位餐桌台应该满足轮椅的停放。</w:t>
      </w:r>
    </w:p>
    <w:p w14:paraId="529AC9C6">
      <w:pPr>
        <w:numPr>
          <w:ilvl w:val="2"/>
          <w:numId w:val="21"/>
        </w:numPr>
        <w:bidi w:val="0"/>
        <w:ind w:left="9" w:leftChars="0" w:hanging="9" w:firstLineChars="0"/>
        <w:rPr>
          <w:color w:val="auto"/>
          <w:highlight w:val="none"/>
        </w:rPr>
      </w:pPr>
      <w:r>
        <w:rPr>
          <w:rFonts w:hint="eastAsia"/>
          <w:color w:val="auto"/>
          <w:highlight w:val="none"/>
          <w:lang w:eastAsia="zh"/>
        </w:rPr>
        <w:t>老年人照料设施</w:t>
      </w:r>
      <w:r>
        <w:rPr>
          <w:color w:val="auto"/>
          <w:highlight w:val="none"/>
          <w:lang w:val="en-US" w:eastAsia="zh-CN"/>
        </w:rPr>
        <w:t>中除自用卫</w:t>
      </w:r>
      <w:r>
        <w:rPr>
          <w:rFonts w:hint="default"/>
          <w:color w:val="auto"/>
          <w:highlight w:val="none"/>
          <w:lang w:val="en-US" w:eastAsia="zh-CN"/>
        </w:rPr>
        <w:t>生间外，还需在老年人经常 活动的生活服务用房、医疗保健用房、公共活动用房等设置公用卫生间，且同层、</w:t>
      </w:r>
      <w:r>
        <w:rPr>
          <w:color w:val="auto"/>
          <w:highlight w:val="none"/>
          <w:lang w:val="en-US" w:eastAsia="zh-CN"/>
        </w:rPr>
        <w:t>临</w:t>
      </w:r>
      <w:r>
        <w:rPr>
          <w:rFonts w:hint="default"/>
          <w:color w:val="auto"/>
          <w:highlight w:val="none"/>
          <w:lang w:val="en-US" w:eastAsia="zh-CN"/>
        </w:rPr>
        <w:t>近、分散设置，并应考虑采光、通风及男女性别特点。</w:t>
      </w:r>
      <w:r>
        <w:rPr>
          <w:rFonts w:hint="eastAsia"/>
          <w:color w:val="auto"/>
          <w:highlight w:val="none"/>
          <w:lang w:val="en-US" w:eastAsia="zh"/>
        </w:rPr>
        <w:t>老年人照料设施</w:t>
      </w:r>
      <w:r>
        <w:rPr>
          <w:rFonts w:hint="default"/>
          <w:color w:val="auto"/>
          <w:highlight w:val="none"/>
          <w:lang w:val="en-US" w:eastAsia="zh-CN"/>
        </w:rPr>
        <w:t>的每个养护单元内均应设置公用卫生间，以方便老年人使用。公用卫生间在介护区应留有助厕空间。</w:t>
      </w:r>
    </w:p>
    <w:p w14:paraId="2D69F575">
      <w:pPr>
        <w:numPr>
          <w:ilvl w:val="2"/>
          <w:numId w:val="21"/>
        </w:numPr>
        <w:bidi w:val="0"/>
        <w:ind w:left="9" w:leftChars="0" w:hanging="9" w:firstLineChars="0"/>
        <w:rPr>
          <w:color w:val="auto"/>
          <w:highlight w:val="none"/>
        </w:rPr>
      </w:pPr>
      <w:r>
        <w:rPr>
          <w:color w:val="auto"/>
          <w:highlight w:val="none"/>
          <w:lang w:val="en-US" w:eastAsia="zh-CN"/>
        </w:rPr>
        <w:t>当用地紧张时</w:t>
      </w:r>
      <w:r>
        <w:rPr>
          <w:rFonts w:hint="default"/>
          <w:color w:val="auto"/>
          <w:highlight w:val="none"/>
          <w:lang w:val="en-US" w:eastAsia="zh-CN"/>
        </w:rPr>
        <w:t>，小型</w:t>
      </w:r>
      <w:r>
        <w:rPr>
          <w:rFonts w:hint="eastAsia"/>
          <w:color w:val="auto"/>
          <w:highlight w:val="none"/>
          <w:lang w:eastAsia="zh"/>
        </w:rPr>
        <w:t>老年人照料设施</w:t>
      </w:r>
      <w:r>
        <w:rPr>
          <w:rFonts w:hint="default"/>
          <w:color w:val="auto"/>
          <w:highlight w:val="none"/>
          <w:lang w:val="en-US" w:eastAsia="zh-CN"/>
        </w:rPr>
        <w:t>的老年人专用浴室，可男女合并设置分时段使用；介助和介护的老年人，多有助浴需要，应留有助浴空间；公用沐浴间一般需要结合养护单元分散设</w:t>
      </w:r>
      <w:r>
        <w:rPr>
          <w:color w:val="auto"/>
          <w:highlight w:val="none"/>
          <w:lang w:val="en-US" w:eastAsia="zh-CN"/>
        </w:rPr>
        <w:t>置，规模可按总床位数测算</w:t>
      </w:r>
      <w:r>
        <w:rPr>
          <w:rFonts w:hint="default"/>
          <w:color w:val="auto"/>
          <w:highlight w:val="none"/>
          <w:lang w:val="en-US" w:eastAsia="zh-CN"/>
        </w:rPr>
        <w:t>。考虑老年人生理特征及方便使用，公共淋浴间均应附设无障碍厕位。</w:t>
      </w:r>
    </w:p>
    <w:p w14:paraId="5352562E">
      <w:pPr>
        <w:numPr>
          <w:ilvl w:val="2"/>
          <w:numId w:val="21"/>
        </w:numPr>
        <w:bidi w:val="0"/>
        <w:ind w:left="9" w:leftChars="0" w:hanging="9" w:firstLineChars="0"/>
        <w:rPr>
          <w:color w:val="auto"/>
          <w:highlight w:val="none"/>
        </w:rPr>
      </w:pPr>
      <w:r>
        <w:rPr>
          <w:color w:val="auto"/>
          <w:highlight w:val="none"/>
          <w:lang w:val="en-US" w:eastAsia="zh-CN"/>
        </w:rPr>
        <w:t>护理站</w:t>
      </w:r>
      <w:r>
        <w:rPr>
          <w:rFonts w:hint="default"/>
          <w:color w:val="auto"/>
          <w:highlight w:val="none"/>
          <w:lang w:val="en-US" w:eastAsia="zh-CN"/>
        </w:rPr>
        <w:t>是护理员值</w:t>
      </w:r>
      <w:r>
        <w:rPr>
          <w:color w:val="auto"/>
          <w:highlight w:val="none"/>
          <w:lang w:val="en-US" w:eastAsia="zh-CN"/>
        </w:rPr>
        <w:t>守并</w:t>
      </w:r>
      <w:r>
        <w:rPr>
          <w:rFonts w:hint="default"/>
          <w:color w:val="auto"/>
          <w:highlight w:val="none"/>
          <w:lang w:val="en-US" w:eastAsia="zh-CN"/>
        </w:rPr>
        <w:t>为老年人提供护理服务的房间。规定每个</w:t>
      </w:r>
      <w:r>
        <w:rPr>
          <w:rFonts w:hint="eastAsia"/>
          <w:color w:val="auto"/>
          <w:highlight w:val="none"/>
          <w:lang w:val="en-US" w:eastAsia="zh-CN"/>
        </w:rPr>
        <w:t>照料单元</w:t>
      </w:r>
      <w:r>
        <w:rPr>
          <w:rFonts w:hint="default"/>
          <w:color w:val="auto"/>
          <w:highlight w:val="none"/>
          <w:lang w:val="en-US" w:eastAsia="zh-CN"/>
        </w:rPr>
        <w:t>均设护理站，是为了方便和及时为介助和介护老年人服务。</w:t>
      </w:r>
    </w:p>
    <w:p w14:paraId="5D1C8D3F">
      <w:pPr>
        <w:numPr>
          <w:ilvl w:val="2"/>
          <w:numId w:val="21"/>
        </w:numPr>
        <w:bidi w:val="0"/>
        <w:ind w:left="9" w:leftChars="0" w:hanging="9" w:firstLineChars="0"/>
        <w:rPr>
          <w:rFonts w:hint="eastAsia"/>
          <w:color w:val="auto"/>
          <w:highlight w:val="none"/>
          <w:lang w:val="en-US" w:eastAsia="zh-CN"/>
        </w:rPr>
      </w:pPr>
      <w:r>
        <w:rPr>
          <w:color w:val="auto"/>
          <w:highlight w:val="none"/>
          <w:lang w:val="en-US" w:eastAsia="zh-CN"/>
        </w:rPr>
        <w:t>污物污洗间靠</w:t>
      </w:r>
      <w:r>
        <w:rPr>
          <w:rFonts w:hint="default"/>
          <w:color w:val="auto"/>
          <w:highlight w:val="none"/>
          <w:lang w:val="en-US" w:eastAsia="zh-CN"/>
        </w:rPr>
        <w:t>近污物运输通道，便于控制污染。</w:t>
      </w:r>
    </w:p>
    <w:p w14:paraId="031AB9B9">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58" w:name="_Toc11066"/>
      <w:bookmarkStart w:id="159" w:name="_Toc8371"/>
      <w:bookmarkStart w:id="160" w:name="_Toc9427"/>
      <w:r>
        <w:rPr>
          <w:rStyle w:val="19"/>
          <w:rFonts w:hint="eastAsia" w:ascii="Times New Roman" w:hAnsi="Times New Roman" w:eastAsia="宋体" w:cs="Times New Roman"/>
          <w:color w:val="auto"/>
          <w:sz w:val="28"/>
          <w:szCs w:val="40"/>
          <w:highlight w:val="none"/>
          <w:lang w:val="en-US" w:eastAsia="zh-CN"/>
        </w:rPr>
        <w:t xml:space="preserve">5.3 </w:t>
      </w:r>
      <w:r>
        <w:rPr>
          <w:rStyle w:val="19"/>
          <w:rFonts w:hint="eastAsia" w:ascii="黑体" w:hAnsi="黑体" w:eastAsia="黑体" w:cs="黑体"/>
          <w:color w:val="auto"/>
          <w:sz w:val="28"/>
          <w:szCs w:val="40"/>
          <w:highlight w:val="none"/>
          <w:lang w:val="en-US" w:eastAsia="zh"/>
          <w:woUserID w:val="1"/>
        </w:rPr>
        <w:t>康复与</w:t>
      </w:r>
      <w:r>
        <w:rPr>
          <w:rStyle w:val="19"/>
          <w:rFonts w:hint="eastAsia" w:ascii="黑体" w:hAnsi="黑体" w:eastAsia="黑体" w:cs="黑体"/>
          <w:color w:val="auto"/>
          <w:sz w:val="28"/>
          <w:szCs w:val="40"/>
          <w:highlight w:val="none"/>
          <w:lang w:val="en-US" w:eastAsia="zh-CN"/>
        </w:rPr>
        <w:t>医疗用房</w:t>
      </w:r>
      <w:bookmarkEnd w:id="158"/>
      <w:bookmarkEnd w:id="159"/>
    </w:p>
    <w:bookmarkEnd w:id="160"/>
    <w:p w14:paraId="64187139">
      <w:pPr>
        <w:numPr>
          <w:ilvl w:val="2"/>
          <w:numId w:val="22"/>
        </w:numPr>
        <w:tabs>
          <w:tab w:val="left" w:pos="0"/>
        </w:tabs>
        <w:bidi w:val="0"/>
        <w:ind w:left="9" w:leftChars="0" w:hanging="9" w:firstLineChars="0"/>
        <w:rPr>
          <w:color w:val="auto"/>
          <w:highlight w:val="none"/>
        </w:rPr>
      </w:pPr>
      <w:r>
        <w:rPr>
          <w:color w:val="auto"/>
          <w:highlight w:val="none"/>
          <w:lang w:val="en-US" w:eastAsia="zh-CN"/>
        </w:rPr>
        <w:t>由于老年人</w:t>
      </w:r>
      <w:r>
        <w:rPr>
          <w:rFonts w:hint="default"/>
          <w:color w:val="auto"/>
          <w:highlight w:val="none"/>
          <w:lang w:val="en-US" w:eastAsia="zh-CN"/>
        </w:rPr>
        <w:t>疾病发病率</w:t>
      </w:r>
      <w:r>
        <w:rPr>
          <w:color w:val="auto"/>
          <w:highlight w:val="none"/>
          <w:lang w:val="en-US" w:eastAsia="zh-CN"/>
        </w:rPr>
        <w:t>高</w:t>
      </w:r>
      <w:r>
        <w:rPr>
          <w:rFonts w:hint="default"/>
          <w:color w:val="auto"/>
          <w:highlight w:val="none"/>
          <w:lang w:val="en-US" w:eastAsia="zh-CN"/>
        </w:rPr>
        <w:t>、突发</w:t>
      </w:r>
      <w:r>
        <w:rPr>
          <w:color w:val="auto"/>
          <w:highlight w:val="none"/>
          <w:lang w:val="en-US" w:eastAsia="zh-CN"/>
        </w:rPr>
        <w:t>性</w:t>
      </w:r>
      <w:r>
        <w:rPr>
          <w:rFonts w:hint="default"/>
          <w:color w:val="auto"/>
          <w:highlight w:val="none"/>
          <w:lang w:val="en-US" w:eastAsia="zh-CN"/>
        </w:rPr>
        <w:t>强，因此</w:t>
      </w:r>
      <w:r>
        <w:rPr>
          <w:rFonts w:hint="eastAsia"/>
          <w:color w:val="auto"/>
          <w:highlight w:val="none"/>
          <w:lang w:eastAsia="zh"/>
        </w:rPr>
        <w:t>老年人照料设施</w:t>
      </w:r>
      <w:r>
        <w:rPr>
          <w:rFonts w:hint="default"/>
          <w:color w:val="auto"/>
          <w:highlight w:val="none"/>
          <w:lang w:val="en-US" w:eastAsia="zh-CN"/>
        </w:rPr>
        <w:t>均需要具有必要的医疗设施条件，并根据不同的服务类别和规模等级进行设置。医疗用房中的医务室、观察室、治疗室、检验室、</w:t>
      </w:r>
      <w:r>
        <w:rPr>
          <w:rFonts w:hint="eastAsia"/>
          <w:b w:val="0"/>
          <w:bCs w:val="0"/>
          <w:color w:val="auto"/>
          <w:highlight w:val="none"/>
          <w:lang w:val="en-US" w:eastAsia="zh-CN"/>
        </w:rPr>
        <w:t>药房、隔离室</w:t>
      </w:r>
      <w:r>
        <w:rPr>
          <w:rFonts w:hint="default"/>
          <w:color w:val="auto"/>
          <w:highlight w:val="none"/>
          <w:lang w:val="en-US" w:eastAsia="zh-CN"/>
        </w:rPr>
        <w:t>、处置室等，参照《综合医院建筑设计</w:t>
      </w:r>
      <w:r>
        <w:rPr>
          <w:rFonts w:hint="eastAsia"/>
          <w:color w:val="auto"/>
          <w:highlight w:val="none"/>
          <w:lang w:val="en-US" w:eastAsia="zh-CN"/>
        </w:rPr>
        <w:t>标准</w:t>
      </w:r>
      <w:r>
        <w:rPr>
          <w:rFonts w:hint="default"/>
          <w:color w:val="auto"/>
          <w:highlight w:val="none"/>
          <w:lang w:val="en-US" w:eastAsia="zh-CN"/>
        </w:rPr>
        <w:t>》</w:t>
      </w:r>
      <w:r>
        <w:rPr>
          <w:rFonts w:hint="eastAsia"/>
          <w:color w:val="auto"/>
          <w:highlight w:val="none"/>
        </w:rPr>
        <w:t>GB51039</w:t>
      </w:r>
      <w:r>
        <w:rPr>
          <w:rFonts w:hint="default"/>
          <w:color w:val="auto"/>
          <w:highlight w:val="none"/>
          <w:lang w:val="en-US" w:eastAsia="zh-CN"/>
        </w:rPr>
        <w:t>的相关规定设计，并尽可能利用社会资源为老年人就医服务。其中医务室临近生活区，便于救护车的靠近和运送病人；临终关怀室靠近医疗用房独立设置，可以避免对其他老年人心理上产生不良影响。由于老年人遗体的运送相对私密隐蔽，因此其对外通道需要独立设置。</w:t>
      </w:r>
    </w:p>
    <w:p w14:paraId="37AFD7C2">
      <w:pPr>
        <w:numPr>
          <w:ilvl w:val="2"/>
          <w:numId w:val="22"/>
        </w:numPr>
        <w:tabs>
          <w:tab w:val="left" w:pos="0"/>
        </w:tabs>
        <w:bidi w:val="0"/>
        <w:ind w:left="9" w:leftChars="0" w:hanging="9" w:firstLineChars="0"/>
        <w:rPr>
          <w:color w:val="auto"/>
          <w:highlight w:val="none"/>
        </w:rPr>
      </w:pPr>
      <w:r>
        <w:rPr>
          <w:rFonts w:hint="eastAsia"/>
          <w:color w:val="auto"/>
          <w:highlight w:val="none"/>
          <w:lang w:eastAsia="zh"/>
        </w:rPr>
        <w:t>老年人照料设施</w:t>
      </w:r>
      <w:r>
        <w:rPr>
          <w:color w:val="auto"/>
          <w:highlight w:val="none"/>
          <w:lang w:val="en-US" w:eastAsia="zh-CN"/>
        </w:rPr>
        <w:t>的保健用房包括保健室、康复</w:t>
      </w:r>
      <w:r>
        <w:rPr>
          <w:rFonts w:hint="default"/>
          <w:color w:val="auto"/>
          <w:highlight w:val="none"/>
          <w:lang w:val="en-US" w:eastAsia="zh-CN"/>
        </w:rPr>
        <w:t>室和心理</w:t>
      </w:r>
      <w:r>
        <w:rPr>
          <w:color w:val="auto"/>
          <w:highlight w:val="none"/>
          <w:lang w:val="en-US" w:eastAsia="zh-CN"/>
        </w:rPr>
        <w:t>疏</w:t>
      </w:r>
      <w:r>
        <w:rPr>
          <w:rFonts w:hint="default"/>
          <w:color w:val="auto"/>
          <w:highlight w:val="none"/>
          <w:lang w:val="en-US" w:eastAsia="zh-CN"/>
        </w:rPr>
        <w:t>导室等。其中保健室和康复室是老年人进行日常保健和</w:t>
      </w:r>
      <w:r>
        <w:rPr>
          <w:color w:val="auto"/>
          <w:highlight w:val="none"/>
          <w:lang w:val="en-US" w:eastAsia="zh-CN"/>
        </w:rPr>
        <w:t>借</w:t>
      </w:r>
      <w:r>
        <w:rPr>
          <w:rFonts w:hint="default"/>
          <w:color w:val="auto"/>
          <w:highlight w:val="none"/>
          <w:lang w:val="en-US" w:eastAsia="zh-CN"/>
        </w:rPr>
        <w:t>助各类康复设施进行康复训练的房间，房间应地面平整、表面材料具有一定弹性，可以防止和减轻老年人摔倒所引起的损伤，房间的平面形式应考虑满足不同保健和康复设施的摆放和使用要求。规定心理疏导室使用面积不小于</w:t>
      </w:r>
      <w:r>
        <w:rPr>
          <w:color w:val="auto"/>
          <w:highlight w:val="none"/>
          <w:lang w:val="en-US" w:eastAsia="zh-CN"/>
        </w:rPr>
        <w:t>10m</w:t>
      </w:r>
      <w:r>
        <w:rPr>
          <w:rFonts w:hint="eastAsia"/>
          <w:color w:val="auto"/>
          <w:highlight w:val="none"/>
          <w:vertAlign w:val="superscript"/>
          <w:lang w:val="en-US" w:eastAsia="zh-CN"/>
        </w:rPr>
        <w:t>2</w:t>
      </w:r>
      <w:r>
        <w:rPr>
          <w:rFonts w:hint="default"/>
          <w:color w:val="auto"/>
          <w:highlight w:val="none"/>
          <w:lang w:val="en-US" w:eastAsia="zh-CN"/>
        </w:rPr>
        <w:t>，是为了满足沙盘测试的要求，以缓解老年人的紧张和焦虑心理。</w:t>
      </w:r>
    </w:p>
    <w:p w14:paraId="357CE827">
      <w:pPr>
        <w:numPr>
          <w:ilvl w:val="0"/>
          <w:numId w:val="0"/>
        </w:numPr>
        <w:jc w:val="center"/>
        <w:outlineLvl w:val="1"/>
        <w:rPr>
          <w:rStyle w:val="19"/>
          <w:rFonts w:hint="default" w:ascii="黑体" w:hAnsi="黑体" w:eastAsia="黑体" w:cs="黑体"/>
          <w:color w:val="auto"/>
          <w:sz w:val="28"/>
          <w:szCs w:val="40"/>
          <w:highlight w:val="none"/>
          <w:lang w:val="en-US" w:eastAsia="zh-CN"/>
        </w:rPr>
      </w:pPr>
      <w:bookmarkStart w:id="161" w:name="_Toc7118"/>
      <w:bookmarkStart w:id="162" w:name="_Toc2800"/>
      <w:bookmarkStart w:id="163" w:name="_Toc30397"/>
      <w:r>
        <w:rPr>
          <w:rStyle w:val="19"/>
          <w:rFonts w:hint="eastAsia" w:ascii="Times New Roman" w:hAnsi="Times New Roman" w:eastAsia="宋体" w:cs="Times New Roman"/>
          <w:color w:val="auto"/>
          <w:sz w:val="28"/>
          <w:szCs w:val="40"/>
          <w:highlight w:val="none"/>
          <w:lang w:val="en-US" w:eastAsia="zh-CN"/>
        </w:rPr>
        <w:t xml:space="preserve">5.4 </w:t>
      </w:r>
      <w:r>
        <w:rPr>
          <w:rStyle w:val="19"/>
          <w:rFonts w:hint="eastAsia" w:ascii="黑体" w:hAnsi="黑体" w:eastAsia="黑体" w:cs="黑体"/>
          <w:color w:val="auto"/>
          <w:sz w:val="28"/>
          <w:szCs w:val="40"/>
          <w:highlight w:val="none"/>
          <w:lang w:val="en-US" w:eastAsia="zh"/>
          <w:woUserID w:val="1"/>
        </w:rPr>
        <w:t>文娱与健身</w:t>
      </w:r>
      <w:r>
        <w:rPr>
          <w:rStyle w:val="19"/>
          <w:rFonts w:hint="eastAsia" w:ascii="黑体" w:hAnsi="黑体" w:eastAsia="黑体" w:cs="黑体"/>
          <w:color w:val="auto"/>
          <w:sz w:val="28"/>
          <w:szCs w:val="40"/>
          <w:highlight w:val="none"/>
          <w:lang w:val="en-US" w:eastAsia="zh-CN"/>
        </w:rPr>
        <w:t>用房</w:t>
      </w:r>
      <w:bookmarkEnd w:id="161"/>
      <w:bookmarkEnd w:id="162"/>
    </w:p>
    <w:bookmarkEnd w:id="163"/>
    <w:p w14:paraId="3F203981">
      <w:pPr>
        <w:numPr>
          <w:ilvl w:val="2"/>
          <w:numId w:val="23"/>
        </w:numPr>
        <w:ind w:left="9" w:leftChars="0" w:hanging="9" w:firstLineChars="0"/>
        <w:rPr>
          <w:rFonts w:hint="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 w:bidi="ar-SA"/>
          <w:woUserID w:val="1"/>
        </w:rPr>
        <w:t>文娱与健身</w:t>
      </w:r>
      <w:r>
        <w:rPr>
          <w:rFonts w:hint="eastAsia" w:cstheme="minorBidi"/>
          <w:b w:val="0"/>
          <w:bCs w:val="0"/>
          <w:color w:val="auto"/>
          <w:kern w:val="2"/>
          <w:sz w:val="21"/>
          <w:szCs w:val="24"/>
          <w:highlight w:val="none"/>
          <w:lang w:val="en-US" w:eastAsia="zh-CN" w:bidi="ar-SA"/>
        </w:rPr>
        <w:t>用房是老年人从事</w:t>
      </w:r>
      <w:r>
        <w:rPr>
          <w:rFonts w:hint="default" w:cstheme="minorBidi"/>
          <w:b w:val="0"/>
          <w:bCs w:val="0"/>
          <w:color w:val="auto"/>
          <w:kern w:val="2"/>
          <w:sz w:val="21"/>
          <w:szCs w:val="24"/>
          <w:highlight w:val="none"/>
          <w:lang w:val="en-US" w:eastAsia="zh-CN" w:bidi="ar-SA"/>
        </w:rPr>
        <w:t>文化知</w:t>
      </w:r>
      <w:r>
        <w:rPr>
          <w:rFonts w:hint="eastAsia" w:cstheme="minorBidi"/>
          <w:b w:val="0"/>
          <w:bCs w:val="0"/>
          <w:color w:val="auto"/>
          <w:kern w:val="2"/>
          <w:sz w:val="21"/>
          <w:szCs w:val="24"/>
          <w:highlight w:val="none"/>
          <w:lang w:val="en-US" w:eastAsia="zh-CN" w:bidi="ar-SA"/>
        </w:rPr>
        <w:t>识</w:t>
      </w:r>
      <w:r>
        <w:rPr>
          <w:rFonts w:hint="default" w:cstheme="minorBidi"/>
          <w:b w:val="0"/>
          <w:bCs w:val="0"/>
          <w:color w:val="auto"/>
          <w:kern w:val="2"/>
          <w:sz w:val="21"/>
          <w:szCs w:val="24"/>
          <w:highlight w:val="none"/>
          <w:lang w:val="en-US" w:eastAsia="zh-CN" w:bidi="ar-SA"/>
        </w:rPr>
        <w:t xml:space="preserve">学习、休闲交往娱乐等活动的房间，需要具有良好的自然采光和自然通风。 </w:t>
      </w:r>
    </w:p>
    <w:p w14:paraId="15ADD585">
      <w:pPr>
        <w:numPr>
          <w:ilvl w:val="2"/>
          <w:numId w:val="23"/>
        </w:numPr>
        <w:ind w:left="9" w:leftChars="0" w:hanging="9"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活动室通常要相对独立于生活用房设置，以避免对老年人居室产生干</w:t>
      </w:r>
      <w:r>
        <w:rPr>
          <w:rFonts w:hint="eastAsia" w:cstheme="minorBidi"/>
          <w:b w:val="0"/>
          <w:bCs w:val="0"/>
          <w:color w:val="auto"/>
          <w:kern w:val="2"/>
          <w:sz w:val="21"/>
          <w:szCs w:val="24"/>
          <w:highlight w:val="none"/>
          <w:lang w:val="en-US" w:eastAsia="zh-CN" w:bidi="ar-SA"/>
        </w:rPr>
        <w:t>扰</w:t>
      </w:r>
      <w:r>
        <w:rPr>
          <w:rFonts w:hint="default" w:cstheme="minorBidi"/>
          <w:b w:val="0"/>
          <w:bCs w:val="0"/>
          <w:color w:val="auto"/>
          <w:kern w:val="2"/>
          <w:sz w:val="21"/>
          <w:szCs w:val="24"/>
          <w:highlight w:val="none"/>
          <w:lang w:val="en-US" w:eastAsia="zh-CN" w:bidi="ar-SA"/>
        </w:rPr>
        <w:t xml:space="preserve">。其平面及空间形式需充分考虑多功能使用的可能性，以适合老年人进行多种活动的需求。 </w:t>
      </w:r>
    </w:p>
    <w:p w14:paraId="24EFF363">
      <w:pPr>
        <w:numPr>
          <w:ilvl w:val="2"/>
          <w:numId w:val="23"/>
        </w:numPr>
        <w:ind w:left="9" w:leftChars="0" w:hanging="9"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 xml:space="preserve">多功能厅是为老年人提供集会、观演、学习等文化娱乐活动的较大空间场所，为了便于老年人集散以及紧急情况下的疏散需要，多功能厅通常宜设置在建筑首层。室内地面平整且具有弹性，墙面和顶棚采用吸声材料，可以避免老年人跌倒摔伤和噪声的干扰。在多功能厅邻近设置公用卫生间和储藏间（仓库）等，便于老年人就近使用。 </w:t>
      </w:r>
    </w:p>
    <w:p w14:paraId="76402384">
      <w:pPr>
        <w:numPr>
          <w:ilvl w:val="2"/>
          <w:numId w:val="23"/>
        </w:numPr>
        <w:ind w:left="9" w:leftChars="0" w:hanging="9" w:firstLineChars="0"/>
        <w:rPr>
          <w:rStyle w:val="19"/>
          <w:rFonts w:hint="default" w:ascii="Times New Roman" w:hAnsi="Times New Roman" w:eastAsia="宋体" w:cs="Times New Roman"/>
          <w:color w:val="auto"/>
          <w:highlight w:val="none"/>
          <w:lang w:val="en-US" w:eastAsia="zh-CN"/>
        </w:rPr>
      </w:pPr>
      <w:r>
        <w:rPr>
          <w:rFonts w:hint="default" w:cstheme="minorBidi"/>
          <w:b w:val="0"/>
          <w:bCs w:val="0"/>
          <w:color w:val="auto"/>
          <w:kern w:val="2"/>
          <w:sz w:val="21"/>
          <w:szCs w:val="24"/>
          <w:highlight w:val="none"/>
          <w:lang w:val="en-US" w:eastAsia="zh-CN" w:bidi="ar-SA"/>
        </w:rPr>
        <w:t>我省包含有：严寒和寒冷地区、温和地区、夏热冬冷四个气候区，严寒、寒冷地区冬季时间较长，老年人无法进行室外活动，因此</w:t>
      </w:r>
      <w:r>
        <w:rPr>
          <w:rFonts w:hint="eastAsia" w:cstheme="minorBidi"/>
          <w:b w:val="0"/>
          <w:bCs w:val="0"/>
          <w:color w:val="auto"/>
          <w:kern w:val="2"/>
          <w:sz w:val="21"/>
          <w:szCs w:val="24"/>
          <w:highlight w:val="none"/>
          <w:lang w:val="en-US" w:eastAsia="zh" w:bidi="ar-SA"/>
        </w:rPr>
        <w:t>老年人照料设施</w:t>
      </w:r>
      <w:r>
        <w:rPr>
          <w:rFonts w:hint="default" w:cstheme="minorBidi"/>
          <w:b w:val="0"/>
          <w:bCs w:val="0"/>
          <w:color w:val="auto"/>
          <w:kern w:val="2"/>
          <w:sz w:val="21"/>
          <w:szCs w:val="24"/>
          <w:highlight w:val="none"/>
          <w:lang w:val="en-US" w:eastAsia="zh-CN" w:bidi="ar-SA"/>
        </w:rPr>
        <w:t>设置阳光厅，保证在冬季有充足的日照，以满足老年人日光浴的需要。夏热冬冷地区（多雨多雪地区）和温和地区降雨量较大，</w:t>
      </w:r>
      <w:r>
        <w:rPr>
          <w:rFonts w:hint="eastAsia" w:cstheme="minorBidi"/>
          <w:b w:val="0"/>
          <w:bCs w:val="0"/>
          <w:color w:val="auto"/>
          <w:kern w:val="2"/>
          <w:sz w:val="21"/>
          <w:szCs w:val="24"/>
          <w:highlight w:val="none"/>
          <w:lang w:val="en-US" w:eastAsia="zh" w:bidi="ar-SA"/>
        </w:rPr>
        <w:t>老年人照料设施</w:t>
      </w:r>
      <w:r>
        <w:rPr>
          <w:rFonts w:hint="default" w:cstheme="minorBidi"/>
          <w:b w:val="0"/>
          <w:bCs w:val="0"/>
          <w:color w:val="auto"/>
          <w:kern w:val="2"/>
          <w:sz w:val="21"/>
          <w:szCs w:val="24"/>
          <w:highlight w:val="none"/>
          <w:lang w:val="en-US" w:eastAsia="zh-CN" w:bidi="ar-SA"/>
        </w:rPr>
        <w:t>设置风雨廊，以便于老年人方便、安全往返于各功能区。</w:t>
      </w:r>
    </w:p>
    <w:p w14:paraId="5E7A70B5">
      <w:pPr>
        <w:numPr>
          <w:ilvl w:val="0"/>
          <w:numId w:val="0"/>
        </w:numPr>
        <w:jc w:val="center"/>
        <w:outlineLvl w:val="1"/>
        <w:rPr>
          <w:rStyle w:val="19"/>
          <w:rFonts w:hint="default" w:ascii="黑体" w:hAnsi="黑体" w:eastAsia="黑体" w:cs="黑体"/>
          <w:color w:val="auto"/>
          <w:sz w:val="28"/>
          <w:szCs w:val="40"/>
          <w:highlight w:val="none"/>
          <w:lang w:val="en-US" w:eastAsia="zh-CN"/>
        </w:rPr>
      </w:pPr>
      <w:bookmarkStart w:id="164" w:name="_Toc6415"/>
      <w:bookmarkStart w:id="165" w:name="_Toc25045"/>
      <w:bookmarkStart w:id="166" w:name="_Toc23293"/>
      <w:r>
        <w:rPr>
          <w:rStyle w:val="19"/>
          <w:rFonts w:hint="eastAsia" w:ascii="Times New Roman" w:hAnsi="Times New Roman" w:eastAsia="宋体" w:cs="Times New Roman"/>
          <w:color w:val="auto"/>
          <w:sz w:val="28"/>
          <w:szCs w:val="40"/>
          <w:highlight w:val="none"/>
          <w:lang w:val="en-US" w:eastAsia="zh-CN"/>
        </w:rPr>
        <w:t xml:space="preserve">5.5 </w:t>
      </w:r>
      <w:r>
        <w:rPr>
          <w:rStyle w:val="19"/>
          <w:rFonts w:hint="eastAsia" w:ascii="黑体" w:hAnsi="黑体" w:eastAsia="黑体" w:cs="黑体"/>
          <w:color w:val="auto"/>
          <w:sz w:val="28"/>
          <w:szCs w:val="40"/>
          <w:highlight w:val="none"/>
          <w:lang w:val="en-US" w:eastAsia="zh-CN"/>
        </w:rPr>
        <w:t>管理服务用房</w:t>
      </w:r>
      <w:bookmarkEnd w:id="164"/>
      <w:bookmarkEnd w:id="165"/>
    </w:p>
    <w:bookmarkEnd w:id="166"/>
    <w:p w14:paraId="39B0E8C9">
      <w:pPr>
        <w:numPr>
          <w:ilvl w:val="2"/>
          <w:numId w:val="24"/>
        </w:numPr>
        <w:ind w:left="9" w:leftChars="0" w:hanging="9" w:firstLineChars="0"/>
        <w:rPr>
          <w:rFonts w:hint="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入住登记</w:t>
      </w:r>
      <w:r>
        <w:rPr>
          <w:rFonts w:hint="default" w:cstheme="minorBidi"/>
          <w:b w:val="0"/>
          <w:bCs w:val="0"/>
          <w:color w:val="auto"/>
          <w:kern w:val="2"/>
          <w:sz w:val="21"/>
          <w:szCs w:val="24"/>
          <w:highlight w:val="none"/>
          <w:lang w:val="en-US" w:eastAsia="zh-CN" w:bidi="ar-SA"/>
        </w:rPr>
        <w:t>室设置</w:t>
      </w:r>
      <w:r>
        <w:rPr>
          <w:rFonts w:hint="eastAsia" w:cstheme="minorBidi"/>
          <w:b w:val="0"/>
          <w:bCs w:val="0"/>
          <w:color w:val="auto"/>
          <w:kern w:val="2"/>
          <w:sz w:val="21"/>
          <w:szCs w:val="24"/>
          <w:highlight w:val="none"/>
          <w:lang w:val="en-US" w:eastAsia="zh-CN" w:bidi="ar-SA"/>
        </w:rPr>
        <w:t>在</w:t>
      </w:r>
      <w:r>
        <w:rPr>
          <w:rFonts w:hint="default" w:cstheme="minorBidi"/>
          <w:b w:val="0"/>
          <w:bCs w:val="0"/>
          <w:color w:val="auto"/>
          <w:kern w:val="2"/>
          <w:sz w:val="21"/>
          <w:szCs w:val="24"/>
          <w:highlight w:val="none"/>
          <w:lang w:val="en-US" w:eastAsia="zh-CN" w:bidi="ar-SA"/>
        </w:rPr>
        <w:t>主出入口附近，且有醒目的标识，便于老年人识别或其家属咨询、</w:t>
      </w:r>
      <w:r>
        <w:rPr>
          <w:rFonts w:hint="eastAsia" w:cstheme="minorBidi"/>
          <w:b w:val="0"/>
          <w:bCs w:val="0"/>
          <w:color w:val="auto"/>
          <w:kern w:val="2"/>
          <w:sz w:val="21"/>
          <w:szCs w:val="24"/>
          <w:highlight w:val="none"/>
          <w:lang w:val="en-US" w:eastAsia="zh-CN" w:bidi="ar-SA"/>
        </w:rPr>
        <w:t>办</w:t>
      </w:r>
      <w:r>
        <w:rPr>
          <w:rFonts w:hint="default" w:cstheme="minorBidi"/>
          <w:b w:val="0"/>
          <w:bCs w:val="0"/>
          <w:color w:val="auto"/>
          <w:kern w:val="2"/>
          <w:sz w:val="21"/>
          <w:szCs w:val="24"/>
          <w:highlight w:val="none"/>
          <w:lang w:val="en-US" w:eastAsia="zh-CN" w:bidi="ar-SA"/>
        </w:rPr>
        <w:t xml:space="preserve">理入住登记。 </w:t>
      </w:r>
    </w:p>
    <w:p w14:paraId="3BCC8AAD">
      <w:pPr>
        <w:numPr>
          <w:ilvl w:val="2"/>
          <w:numId w:val="24"/>
        </w:numPr>
        <w:ind w:left="9" w:leftChars="0" w:hanging="9" w:firstLineChars="0"/>
        <w:rPr>
          <w:rFonts w:hint="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 w:bidi="ar-SA"/>
        </w:rPr>
        <w:t>老年人照料设施</w:t>
      </w:r>
      <w:r>
        <w:rPr>
          <w:rFonts w:hint="default" w:cstheme="minorBidi"/>
          <w:b w:val="0"/>
          <w:bCs w:val="0"/>
          <w:color w:val="auto"/>
          <w:kern w:val="2"/>
          <w:sz w:val="21"/>
          <w:szCs w:val="24"/>
          <w:highlight w:val="none"/>
          <w:lang w:val="en-US" w:eastAsia="zh-CN" w:bidi="ar-SA"/>
        </w:rPr>
        <w:t xml:space="preserve">的总值班室，靠近建筑主入口设置，从管理与安保要求出发，设置建筑设备设施控制系统、呼叫报警系统和电视监控系统，以便于及时发现和处置紧急情况。 </w:t>
      </w:r>
    </w:p>
    <w:p w14:paraId="428E8134">
      <w:pPr>
        <w:numPr>
          <w:ilvl w:val="2"/>
          <w:numId w:val="24"/>
        </w:numPr>
        <w:ind w:left="9" w:leftChars="0" w:hanging="9"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 xml:space="preserve">厨房应当便于餐车的出入、停放和消毒，设置在相对独立的区域，并采用适当的防潮、消声、隔声、通风、除尘措施，以避免蒸汽、噪声和气味对老年人用房的干扰。 </w:t>
      </w:r>
    </w:p>
    <w:p w14:paraId="074F8A09">
      <w:pPr>
        <w:numPr>
          <w:ilvl w:val="2"/>
          <w:numId w:val="24"/>
        </w:numPr>
        <w:ind w:left="9" w:leftChars="0" w:hanging="9"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 xml:space="preserve">职工用房宜含职工休息室、职工沐浴间、卫生间、职工食堂等，宜独立设置，既方便职工人员使用，也可避免对老年人用房的干扰。 </w:t>
      </w:r>
    </w:p>
    <w:p w14:paraId="607F6030">
      <w:pPr>
        <w:numPr>
          <w:ilvl w:val="2"/>
          <w:numId w:val="24"/>
        </w:numPr>
        <w:ind w:left="9" w:leftChars="0" w:hanging="9"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洗衣房主要是护理服务人员为介护老年人清洁衣物和为其他老年人清洁公共被品等，为达到必要的卫生要求，平面布置需要做到洁污分区。洗衣房除具有洗衣功能外，还需要为消毒、叠衣和存放等功能提供空间</w:t>
      </w:r>
      <w:r>
        <w:rPr>
          <w:rFonts w:hint="eastAsia" w:cstheme="minorBidi"/>
          <w:b w:val="0"/>
          <w:bCs w:val="0"/>
          <w:color w:val="auto"/>
          <w:kern w:val="2"/>
          <w:sz w:val="21"/>
          <w:szCs w:val="24"/>
          <w:highlight w:val="none"/>
          <w:lang w:val="en-US" w:eastAsia="zh-CN" w:bidi="ar-SA"/>
        </w:rPr>
        <w:t>。</w:t>
      </w:r>
    </w:p>
    <w:p w14:paraId="3B96DDC2">
      <w:pPr>
        <w:numPr>
          <w:ilvl w:val="0"/>
          <w:numId w:val="0"/>
        </w:numPr>
        <w:jc w:val="center"/>
        <w:outlineLvl w:val="1"/>
        <w:rPr>
          <w:rStyle w:val="19"/>
          <w:rFonts w:hint="default" w:ascii="黑体" w:hAnsi="黑体" w:eastAsia="黑体" w:cs="黑体"/>
          <w:color w:val="auto"/>
          <w:sz w:val="28"/>
          <w:szCs w:val="40"/>
          <w:highlight w:val="none"/>
          <w:lang w:val="en-US" w:eastAsia="zh-CN"/>
        </w:rPr>
      </w:pPr>
      <w:bookmarkStart w:id="167" w:name="_Toc21544"/>
      <w:bookmarkStart w:id="168" w:name="_Toc3674"/>
      <w:bookmarkStart w:id="169" w:name="_Toc2868"/>
      <w:r>
        <w:rPr>
          <w:rStyle w:val="19"/>
          <w:rFonts w:hint="eastAsia" w:ascii="Times New Roman" w:hAnsi="Times New Roman" w:eastAsia="宋体" w:cs="Times New Roman"/>
          <w:color w:val="auto"/>
          <w:sz w:val="28"/>
          <w:szCs w:val="40"/>
          <w:highlight w:val="none"/>
          <w:lang w:val="en-US" w:eastAsia="zh-CN"/>
        </w:rPr>
        <w:t xml:space="preserve">5.6 </w:t>
      </w:r>
      <w:r>
        <w:rPr>
          <w:rStyle w:val="19"/>
          <w:rFonts w:hint="eastAsia" w:ascii="黑体" w:hAnsi="黑体" w:eastAsia="黑体" w:cs="黑体"/>
          <w:color w:val="auto"/>
          <w:sz w:val="28"/>
          <w:szCs w:val="40"/>
          <w:highlight w:val="none"/>
          <w:lang w:val="en-US" w:eastAsia="zh-CN"/>
        </w:rPr>
        <w:t>安全措施</w:t>
      </w:r>
      <w:bookmarkEnd w:id="167"/>
      <w:bookmarkEnd w:id="168"/>
    </w:p>
    <w:bookmarkEnd w:id="169"/>
    <w:p w14:paraId="4E12BC88">
      <w:pPr>
        <w:numPr>
          <w:ilvl w:val="2"/>
          <w:numId w:val="25"/>
        </w:numPr>
        <w:ind w:left="0" w:leftChars="0" w:firstLine="0" w:firstLineChars="0"/>
        <w:rPr>
          <w:rFonts w:hint="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 w:bidi="ar-SA"/>
        </w:rPr>
        <w:t>老年人照料设施</w:t>
      </w:r>
      <w:r>
        <w:rPr>
          <w:rFonts w:hint="eastAsia" w:cstheme="minorBidi"/>
          <w:b w:val="0"/>
          <w:bCs w:val="0"/>
          <w:color w:val="auto"/>
          <w:kern w:val="2"/>
          <w:sz w:val="21"/>
          <w:szCs w:val="24"/>
          <w:highlight w:val="none"/>
          <w:lang w:val="en-US" w:eastAsia="zh-CN" w:bidi="ar-SA"/>
        </w:rPr>
        <w:t>的出</w:t>
      </w:r>
      <w:r>
        <w:rPr>
          <w:rFonts w:hint="default" w:cstheme="minorBidi"/>
          <w:b w:val="0"/>
          <w:bCs w:val="0"/>
          <w:color w:val="auto"/>
          <w:kern w:val="2"/>
          <w:sz w:val="21"/>
          <w:szCs w:val="24"/>
          <w:highlight w:val="none"/>
          <w:lang w:val="en-US" w:eastAsia="zh-CN" w:bidi="ar-SA"/>
        </w:rPr>
        <w:t>入口是老年人集中使用的场所，</w:t>
      </w:r>
      <w:r>
        <w:rPr>
          <w:rFonts w:hint="eastAsia" w:cstheme="minorBidi"/>
          <w:b w:val="0"/>
          <w:bCs w:val="0"/>
          <w:color w:val="auto"/>
          <w:kern w:val="2"/>
          <w:sz w:val="21"/>
          <w:szCs w:val="24"/>
          <w:highlight w:val="none"/>
          <w:lang w:val="en-US" w:eastAsia="zh-CN" w:bidi="ar-SA"/>
        </w:rPr>
        <w:t xml:space="preserve">考虑 </w:t>
      </w:r>
      <w:r>
        <w:rPr>
          <w:rFonts w:hint="default" w:cstheme="minorBidi"/>
          <w:b w:val="0"/>
          <w:bCs w:val="0"/>
          <w:color w:val="auto"/>
          <w:kern w:val="2"/>
          <w:sz w:val="21"/>
          <w:szCs w:val="24"/>
          <w:highlight w:val="none"/>
          <w:lang w:val="en-US" w:eastAsia="zh-CN" w:bidi="ar-SA"/>
        </w:rPr>
        <w:t>到老年人的体能</w:t>
      </w:r>
      <w:r>
        <w:rPr>
          <w:rFonts w:hint="eastAsia" w:cstheme="minorBidi"/>
          <w:b w:val="0"/>
          <w:bCs w:val="0"/>
          <w:color w:val="auto"/>
          <w:kern w:val="2"/>
          <w:sz w:val="21"/>
          <w:szCs w:val="24"/>
          <w:highlight w:val="none"/>
          <w:lang w:val="en-US" w:eastAsia="zh-CN" w:bidi="ar-SA"/>
        </w:rPr>
        <w:t>衰退</w:t>
      </w:r>
      <w:r>
        <w:rPr>
          <w:rFonts w:hint="default" w:cstheme="minorBidi"/>
          <w:b w:val="0"/>
          <w:bCs w:val="0"/>
          <w:color w:val="auto"/>
          <w:kern w:val="2"/>
          <w:sz w:val="21"/>
          <w:szCs w:val="24"/>
          <w:highlight w:val="none"/>
          <w:lang w:val="en-US" w:eastAsia="zh-CN" w:bidi="ar-SA"/>
        </w:rPr>
        <w:t xml:space="preserve">和紧急疏散的要求，专门规定了老年人使 用的出入口数量。为方便轮椅出入及回转，外开平开门是最基本形式。 </w:t>
      </w:r>
    </w:p>
    <w:p w14:paraId="46E4F6A1">
      <w:pPr>
        <w:numPr>
          <w:ilvl w:val="2"/>
          <w:numId w:val="25"/>
        </w:numPr>
        <w:ind w:left="0" w:leftChars="0" w:firstLine="0"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考虑老年人缓行、停歇、换乘等方便，</w:t>
      </w:r>
      <w:r>
        <w:rPr>
          <w:rFonts w:hint="eastAsia" w:cstheme="minorBidi"/>
          <w:b w:val="0"/>
          <w:bCs w:val="0"/>
          <w:color w:val="auto"/>
          <w:kern w:val="2"/>
          <w:sz w:val="21"/>
          <w:szCs w:val="24"/>
          <w:highlight w:val="none"/>
          <w:lang w:val="en-US" w:eastAsia="zh" w:bidi="ar-SA"/>
        </w:rPr>
        <w:t>老年人照料设施</w:t>
      </w:r>
      <w:r>
        <w:rPr>
          <w:rFonts w:hint="default" w:cstheme="minorBidi"/>
          <w:b w:val="0"/>
          <w:bCs w:val="0"/>
          <w:color w:val="auto"/>
          <w:kern w:val="2"/>
          <w:sz w:val="21"/>
          <w:szCs w:val="24"/>
          <w:highlight w:val="none"/>
          <w:lang w:val="en-US" w:eastAsia="zh-CN" w:bidi="ar-SA"/>
        </w:rPr>
        <w:t>出入口至机动车道路之间需留有充足的避让缓冲空间</w:t>
      </w:r>
      <w:r>
        <w:rPr>
          <w:rFonts w:hint="eastAsia" w:cstheme="minorBidi"/>
          <w:b w:val="0"/>
          <w:bCs w:val="0"/>
          <w:color w:val="auto"/>
          <w:kern w:val="2"/>
          <w:sz w:val="21"/>
          <w:szCs w:val="24"/>
          <w:highlight w:val="none"/>
          <w:lang w:val="en-US" w:eastAsia="zh" w:bidi="ar-SA"/>
          <w:woUserID w:val="1"/>
        </w:rPr>
        <w:t>，宜大于2.5m。</w:t>
      </w:r>
    </w:p>
    <w:p w14:paraId="7C8ADAC1">
      <w:pPr>
        <w:numPr>
          <w:ilvl w:val="2"/>
          <w:numId w:val="25"/>
        </w:numPr>
        <w:ind w:left="0" w:leftChars="0" w:firstLine="0"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 xml:space="preserve">出入口门厅、平台、台阶、坡道等设计的各项参数和要求均取自较高标准，目的是降低通行障碍，适应更多的老年 人方便使用。 </w:t>
      </w:r>
    </w:p>
    <w:p w14:paraId="1C6D5ED2">
      <w:pPr>
        <w:numPr>
          <w:ilvl w:val="2"/>
          <w:numId w:val="25"/>
        </w:numPr>
        <w:ind w:left="0" w:leftChars="0" w:firstLine="0" w:firstLineChars="0"/>
        <w:rPr>
          <w:rFonts w:hint="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本条为功能性要求。</w:t>
      </w:r>
      <w:r>
        <w:rPr>
          <w:rFonts w:hint="default" w:cstheme="minorBidi"/>
          <w:b w:val="0"/>
          <w:bCs w:val="0"/>
          <w:color w:val="auto"/>
          <w:kern w:val="2"/>
          <w:sz w:val="21"/>
          <w:szCs w:val="24"/>
          <w:highlight w:val="none"/>
          <w:lang w:val="en-US" w:eastAsia="zh-CN" w:bidi="ar-SA"/>
        </w:rPr>
        <w:t>老年人因身体衰退常常在经过公共走廊、过厅、浴室和卫生间等处需借助安全扶手等扶助技术措施通行，本条文中专门规定了</w:t>
      </w:r>
      <w:r>
        <w:rPr>
          <w:rFonts w:hint="eastAsia" w:cstheme="minorBidi"/>
          <w:b w:val="0"/>
          <w:bCs w:val="0"/>
          <w:color w:val="auto"/>
          <w:kern w:val="2"/>
          <w:sz w:val="21"/>
          <w:szCs w:val="24"/>
          <w:highlight w:val="none"/>
          <w:lang w:val="en-US" w:eastAsia="zh" w:bidi="ar-SA"/>
        </w:rPr>
        <w:t>老年人照料设施</w:t>
      </w:r>
      <w:r>
        <w:rPr>
          <w:rFonts w:hint="default" w:cstheme="minorBidi"/>
          <w:b w:val="0"/>
          <w:bCs w:val="0"/>
          <w:color w:val="auto"/>
          <w:kern w:val="2"/>
          <w:sz w:val="21"/>
          <w:szCs w:val="24"/>
          <w:highlight w:val="none"/>
          <w:lang w:val="en-US" w:eastAsia="zh-CN" w:bidi="ar-SA"/>
        </w:rPr>
        <w:t>建筑中安全扶手的适宜设计尺寸，其中最小有效长度是考虑不小于老年人两手同时握住扶手的尺寸。</w:t>
      </w:r>
      <w:r>
        <w:rPr>
          <w:rFonts w:hint="eastAsia" w:cstheme="minorBidi"/>
          <w:b w:val="0"/>
          <w:bCs w:val="0"/>
          <w:color w:val="auto"/>
          <w:kern w:val="2"/>
          <w:sz w:val="21"/>
          <w:szCs w:val="24"/>
          <w:highlight w:val="none"/>
          <w:lang w:val="en-US" w:eastAsia="zh-CN" w:bidi="ar-SA"/>
        </w:rPr>
        <w:t>本条规定的扶手高度为地面垂直向上到扶手中心线的高度。</w:t>
      </w:r>
    </w:p>
    <w:p w14:paraId="4E49E6D4">
      <w:pPr>
        <w:numPr>
          <w:ilvl w:val="2"/>
          <w:numId w:val="25"/>
        </w:numPr>
        <w:ind w:left="0" w:leftChars="0" w:firstLine="0"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本条规定了</w:t>
      </w:r>
      <w:r>
        <w:rPr>
          <w:rFonts w:hint="eastAsia" w:cstheme="minorBidi"/>
          <w:b w:val="0"/>
          <w:bCs w:val="0"/>
          <w:color w:val="auto"/>
          <w:kern w:val="2"/>
          <w:sz w:val="21"/>
          <w:szCs w:val="24"/>
          <w:highlight w:val="none"/>
          <w:lang w:val="en-US" w:eastAsia="zh" w:bidi="ar-SA"/>
        </w:rPr>
        <w:t>老年人照料设施</w:t>
      </w:r>
      <w:r>
        <w:rPr>
          <w:rFonts w:hint="default" w:cstheme="minorBidi"/>
          <w:b w:val="0"/>
          <w:bCs w:val="0"/>
          <w:color w:val="auto"/>
          <w:kern w:val="2"/>
          <w:sz w:val="21"/>
          <w:szCs w:val="24"/>
          <w:highlight w:val="none"/>
          <w:lang w:val="en-US" w:eastAsia="zh-CN" w:bidi="ar-SA"/>
        </w:rPr>
        <w:t xml:space="preserve">的楼梯设计要求。需要强调的是对反应能力、调整能力逐渐降低的老年人而言，在楼梯上行或下行时，如若踏步尺度不均衡，会造成行走楼梯的困难。在紧急情况下，考虑主要疏散楼梯能满足医护担架的通行，满足 《综合医院建筑设计规范》 </w:t>
      </w:r>
      <w:r>
        <w:rPr>
          <w:rFonts w:hint="eastAsia" w:cstheme="minorBidi"/>
          <w:b w:val="0"/>
          <w:bCs w:val="0"/>
          <w:color w:val="auto"/>
          <w:kern w:val="2"/>
          <w:sz w:val="21"/>
          <w:szCs w:val="24"/>
          <w:highlight w:val="none"/>
          <w:lang w:val="en-US" w:eastAsia="zh-CN" w:bidi="ar-SA"/>
        </w:rPr>
        <w:t xml:space="preserve">JGJ 49 </w:t>
      </w:r>
      <w:r>
        <w:rPr>
          <w:rFonts w:hint="default" w:cstheme="minorBidi"/>
          <w:b w:val="0"/>
          <w:bCs w:val="0"/>
          <w:color w:val="auto"/>
          <w:kern w:val="2"/>
          <w:sz w:val="21"/>
          <w:szCs w:val="24"/>
          <w:highlight w:val="none"/>
          <w:lang w:val="en-US" w:eastAsia="zh-CN" w:bidi="ar-SA"/>
        </w:rPr>
        <w:t xml:space="preserve">第 3.1.5 条关于主楼梯的规定。而踏面下方透空，对于拄杖老年人而言，容易造成打滑失控或摔伤。通过色彩和照明的提示，引起过往老年人注意，保 障通行安全。 </w:t>
      </w:r>
    </w:p>
    <w:p w14:paraId="6611946C">
      <w:pPr>
        <w:numPr>
          <w:ilvl w:val="2"/>
          <w:numId w:val="25"/>
        </w:numPr>
        <w:ind w:left="0" w:leftChars="0" w:firstLine="0" w:firstLineChars="0"/>
        <w:rPr>
          <w:rFonts w:hint="eastAsia" w:cstheme="minorBidi"/>
          <w:b w:val="0"/>
          <w:bCs w:val="0"/>
          <w:color w:val="auto"/>
          <w:kern w:val="2"/>
          <w:sz w:val="21"/>
          <w:szCs w:val="24"/>
          <w:highlight w:val="none"/>
          <w:lang w:val="en-US" w:eastAsia="zh-CN" w:bidi="ar-SA"/>
        </w:rPr>
      </w:pPr>
      <w:r>
        <w:rPr>
          <w:rFonts w:hint="default" w:cstheme="minorBidi"/>
          <w:b w:val="0"/>
          <w:bCs w:val="0"/>
          <w:color w:val="auto"/>
          <w:kern w:val="2"/>
          <w:sz w:val="21"/>
          <w:szCs w:val="24"/>
          <w:highlight w:val="none"/>
          <w:lang w:val="en-US" w:eastAsia="zh-CN" w:bidi="ar-SA"/>
        </w:rPr>
        <w:t>电梯运行速度不大于 1.50 m/s，主要考虑其启停速度 不会太快，可减少患有心脏病、高血压等症老年人搭乘电梯时的不适感。放缓梯门关闭速度，是考虑老年人的行动缓慢，需留出更多的时间便于老年人出入电梯，避免因门扇突然关闭而造成惊吓和夹伤</w:t>
      </w:r>
      <w:r>
        <w:rPr>
          <w:rFonts w:hint="eastAsia" w:cstheme="minorBidi"/>
          <w:b w:val="0"/>
          <w:bCs w:val="0"/>
          <w:color w:val="auto"/>
          <w:kern w:val="2"/>
          <w:sz w:val="21"/>
          <w:szCs w:val="24"/>
          <w:highlight w:val="none"/>
          <w:lang w:val="en-US" w:eastAsia="zh-CN" w:bidi="ar-SA"/>
        </w:rPr>
        <w:t>，</w:t>
      </w:r>
      <w:r>
        <w:rPr>
          <w:rFonts w:hint="default" w:cstheme="minorBidi"/>
          <w:b w:val="0"/>
          <w:bCs w:val="0"/>
          <w:color w:val="auto"/>
          <w:kern w:val="2"/>
          <w:sz w:val="21"/>
          <w:szCs w:val="24"/>
          <w:highlight w:val="none"/>
          <w:lang w:val="en-US" w:eastAsia="zh-CN" w:bidi="ar-SA"/>
        </w:rPr>
        <w:t>医疗电梯应按现行行业标准《综合医院建筑设计规范》 JGJ 49 执行。</w:t>
      </w:r>
    </w:p>
    <w:p w14:paraId="1814AC1B">
      <w:pPr>
        <w:numPr>
          <w:ilvl w:val="2"/>
          <w:numId w:val="25"/>
        </w:numPr>
        <w:ind w:left="0" w:leftChars="0" w:firstLine="0" w:firstLineChars="0"/>
        <w:rPr>
          <w:color w:val="auto"/>
          <w:highlight w:val="none"/>
        </w:rPr>
      </w:pPr>
      <w:r>
        <w:rPr>
          <w:rFonts w:hint="eastAsia" w:cstheme="minorBidi"/>
          <w:b/>
          <w:bCs/>
          <w:color w:val="auto"/>
          <w:kern w:val="2"/>
          <w:sz w:val="21"/>
          <w:szCs w:val="24"/>
          <w:highlight w:val="none"/>
          <w:lang w:val="en-US" w:eastAsia="zh-CN" w:bidi="ar-SA"/>
        </w:rPr>
        <w:t xml:space="preserve">5.6.8 5.6.9 </w:t>
      </w:r>
      <w:r>
        <w:rPr>
          <w:rFonts w:hint="default" w:cstheme="minorBidi"/>
          <w:b w:val="0"/>
          <w:bCs w:val="0"/>
          <w:color w:val="auto"/>
          <w:kern w:val="2"/>
          <w:sz w:val="21"/>
          <w:szCs w:val="24"/>
          <w:highlight w:val="none"/>
          <w:lang w:val="en-US" w:eastAsia="zh-CN" w:bidi="ar-SA"/>
        </w:rPr>
        <w:t>外廊应采取有效的排水及防飘雨措施，避免外廊积水造成老年人滑倒。走廊的净宽和房间门的尺寸是考虑轮椅和担架床、医用床进出且门扇开启后的净空尺寸。门通常为子母门或推拉门。当房门向外开向走廊时，需要留有缓冲空间，以防阻碍交通。在水平交通中既要保证老年人无障碍通行，又要保证担架床、医用床全程进出所有老年人用房。</w:t>
      </w:r>
    </w:p>
    <w:p w14:paraId="68A242C3">
      <w:pPr>
        <w:numPr>
          <w:ilvl w:val="2"/>
          <w:numId w:val="0"/>
        </w:numPr>
        <w:ind w:left="0" w:leftChars="0" w:firstLine="0" w:firstLineChars="0"/>
        <w:rPr>
          <w:rFonts w:hint="eastAsia" w:asciiTheme="minorEastAsia" w:hAnsiTheme="minorEastAsia" w:eastAsiaTheme="minorEastAsia" w:cstheme="minorEastAsia"/>
          <w:color w:val="auto"/>
          <w:kern w:val="0"/>
          <w:sz w:val="21"/>
          <w:szCs w:val="21"/>
          <w:highlight w:val="none"/>
          <w:lang w:val="en-US" w:eastAsia="zh-CN" w:bidi="ar"/>
        </w:rPr>
      </w:pPr>
      <w:r>
        <w:rPr>
          <w:rFonts w:hint="default" w:ascii="Times" w:hAnsi="Times" w:cs="Times" w:eastAsiaTheme="minorEastAsia"/>
          <w:b/>
          <w:bCs/>
          <w:color w:val="auto"/>
          <w:kern w:val="0"/>
          <w:sz w:val="20"/>
          <w:szCs w:val="20"/>
          <w:highlight w:val="none"/>
          <w:lang w:val="en-US" w:eastAsia="zh-CN" w:bidi="ar"/>
        </w:rPr>
        <w:t>5.6.1</w:t>
      </w:r>
      <w:r>
        <w:rPr>
          <w:rFonts w:hint="default" w:ascii="Times" w:hAnsi="Times" w:cs="Times"/>
          <w:b/>
          <w:bCs/>
          <w:color w:val="auto"/>
          <w:kern w:val="0"/>
          <w:sz w:val="20"/>
          <w:szCs w:val="20"/>
          <w:highlight w:val="none"/>
          <w:lang w:val="en-US" w:eastAsia="zh-CN" w:bidi="ar"/>
        </w:rPr>
        <w:t>0</w:t>
      </w:r>
      <w:r>
        <w:rPr>
          <w:rFonts w:hint="eastAsia" w:ascii="Calibri Light" w:hAnsi="Calibri Light" w:cstheme="minorEastAsia"/>
          <w:b/>
          <w:bCs/>
          <w:color w:val="auto"/>
          <w:kern w:val="0"/>
          <w:sz w:val="18"/>
          <w:szCs w:val="18"/>
          <w:highlight w:val="none"/>
          <w:lang w:val="en-US" w:eastAsia="zh-CN" w:bidi="ar"/>
        </w:rPr>
        <w:t xml:space="preserve"> </w:t>
      </w:r>
      <w:r>
        <w:rPr>
          <w:rFonts w:hint="eastAsia" w:asciiTheme="minorEastAsia" w:hAnsiTheme="minorEastAsia" w:eastAsiaTheme="minorEastAsia" w:cstheme="minorEastAsia"/>
          <w:color w:val="auto"/>
          <w:kern w:val="0"/>
          <w:sz w:val="21"/>
          <w:szCs w:val="21"/>
          <w:highlight w:val="none"/>
          <w:lang w:val="en-US" w:eastAsia="zh-CN" w:bidi="ar"/>
        </w:rPr>
        <w:t>由于老年人体能逐渐减弱，他们活动的间歇明显加密。在老年人的活动和行走场所以及电梯厅等区域，加设休息座椅，对缓解疲劳，恢复体能大有裨益。同时老年人之间的交往无处不在，这些休息座椅也提供了老年人相互交流的机会，利于老年人的身心健康。但休息座椅的设置是有前提的，不能以降低消防前室的安全度为代价。</w:t>
      </w:r>
      <w:r>
        <w:rPr>
          <w:rFonts w:hint="eastAsia" w:asciiTheme="minorEastAsia" w:hAnsiTheme="minorEastAsia" w:eastAsiaTheme="minorEastAsia" w:cstheme="minorEastAsia"/>
          <w:color w:val="auto"/>
          <w:highlight w:val="none"/>
          <w:lang w:val="en-US" w:eastAsia="zh-CN"/>
        </w:rPr>
        <w:t xml:space="preserve"> </w:t>
      </w:r>
    </w:p>
    <w:p w14:paraId="06C94779">
      <w:pPr>
        <w:numPr>
          <w:ilvl w:val="2"/>
          <w:numId w:val="0"/>
        </w:numPr>
        <w:ind w:left="0" w:leftChars="0" w:firstLine="0" w:firstLineChars="0"/>
        <w:rPr>
          <w:rFonts w:hint="eastAsia" w:asciiTheme="minorEastAsia" w:hAnsiTheme="minorEastAsia" w:eastAsiaTheme="minorEastAsia" w:cstheme="minorEastAsia"/>
          <w:color w:val="auto"/>
          <w:sz w:val="21"/>
          <w:szCs w:val="21"/>
          <w:highlight w:val="none"/>
        </w:rPr>
      </w:pPr>
      <w:r>
        <w:rPr>
          <w:rFonts w:hint="default" w:ascii="Times" w:hAnsi="Times" w:cs="Times" w:eastAsiaTheme="minorEastAsia"/>
          <w:b/>
          <w:bCs/>
          <w:color w:val="auto"/>
          <w:kern w:val="0"/>
          <w:sz w:val="20"/>
          <w:szCs w:val="20"/>
          <w:highlight w:val="none"/>
          <w:lang w:val="en-US" w:eastAsia="zh-CN" w:bidi="ar"/>
        </w:rPr>
        <w:t>5.6.1</w:t>
      </w:r>
      <w:r>
        <w:rPr>
          <w:rFonts w:hint="default" w:ascii="Times" w:hAnsi="Times" w:cs="Times"/>
          <w:b/>
          <w:bCs/>
          <w:color w:val="auto"/>
          <w:kern w:val="0"/>
          <w:sz w:val="20"/>
          <w:szCs w:val="20"/>
          <w:highlight w:val="none"/>
          <w:lang w:val="en-US" w:eastAsia="zh-CN" w:bidi="ar"/>
        </w:rPr>
        <w:t>3</w:t>
      </w:r>
      <w:r>
        <w:rPr>
          <w:rFonts w:hint="eastAsia" w:asciiTheme="minorEastAsia" w:hAnsiTheme="minorEastAsia" w:cstheme="minorEastAsia"/>
          <w:color w:val="auto"/>
          <w:sz w:val="21"/>
          <w:szCs w:val="21"/>
          <w:highlight w:val="none"/>
          <w:lang w:val="en-US" w:eastAsia="zh-CN"/>
        </w:rPr>
        <w:t>为便于在紧急情况下，由内部的护理人员或外部的救护人员经紧急送医通道将老年人送至救护车所在位置，应提前规划出紧急送医通道。紧急送医通道的路径为：老年人用房—走廊—门厅—出入口—救护车停靠点；或老年人用房—走廊—可容纳单价的电梯（楼梯）—门厅（或走廊）—出入口—救护车停靠点。老年人用房应与紧急送医通道联系直接，不能存在“孤岛”,紧急送医通道经由各处节点均应无阻碍且路径清晰、连续，此通道的宽度应能满足单架抬行或轮椅推行。考虑到在特殊情况下可容纳担架的电梯无法正常使用（如停电或电梯故障），此时应确保有符合条件的楼梯替代电梯作为紧急送医通道的一部分。</w:t>
      </w:r>
    </w:p>
    <w:p w14:paraId="32CB751A">
      <w:pPr>
        <w:numPr>
          <w:ilvl w:val="2"/>
          <w:numId w:val="0"/>
        </w:numPr>
        <w:ind w:left="0" w:leftChars="0" w:firstLine="0" w:firstLineChars="0"/>
        <w:rPr>
          <w:rFonts w:hint="eastAsia" w:asciiTheme="minorEastAsia" w:hAnsiTheme="minorEastAsia" w:eastAsiaTheme="minorEastAsia" w:cstheme="minorEastAsia"/>
          <w:color w:val="auto"/>
          <w:sz w:val="21"/>
          <w:szCs w:val="21"/>
          <w:highlight w:val="none"/>
        </w:rPr>
      </w:pPr>
      <w:r>
        <w:rPr>
          <w:rFonts w:hint="default" w:ascii="Times" w:hAnsi="Times" w:cs="Times" w:eastAsiaTheme="minorEastAsia"/>
          <w:b/>
          <w:bCs/>
          <w:color w:val="auto"/>
          <w:kern w:val="0"/>
          <w:sz w:val="20"/>
          <w:szCs w:val="20"/>
          <w:highlight w:val="none"/>
          <w:lang w:val="en-US" w:eastAsia="zh-CN" w:bidi="ar"/>
        </w:rPr>
        <w:t>5.6.1</w:t>
      </w:r>
      <w:r>
        <w:rPr>
          <w:rFonts w:hint="default" w:ascii="Times" w:hAnsi="Times" w:cs="Times"/>
          <w:b/>
          <w:bCs/>
          <w:color w:val="auto"/>
          <w:kern w:val="0"/>
          <w:sz w:val="20"/>
          <w:szCs w:val="20"/>
          <w:highlight w:val="none"/>
          <w:lang w:val="en-US" w:eastAsia="zh-CN" w:bidi="ar"/>
        </w:rPr>
        <w:t>4</w:t>
      </w:r>
      <w:r>
        <w:rPr>
          <w:rFonts w:hint="eastAsia" w:asciiTheme="minorEastAsia" w:hAnsiTheme="minorEastAsia" w:cstheme="minorEastAsia"/>
          <w:color w:val="auto"/>
          <w:sz w:val="21"/>
          <w:szCs w:val="21"/>
          <w:highlight w:val="none"/>
          <w:lang w:val="en-US" w:eastAsia="zh-CN"/>
        </w:rPr>
        <w:t>老年人在发生意外时，大多数需要依靠外部救援。本条给出门锁开启方式，满足外部救援需求。同时，也要求门的把手应能方便老年人使用，把手形式一般为执杆式，位置应能兼顾轮椅老年人抓握。</w:t>
      </w:r>
    </w:p>
    <w:p w14:paraId="05971F9A">
      <w:pPr>
        <w:numPr>
          <w:ilvl w:val="2"/>
          <w:numId w:val="0"/>
        </w:numPr>
        <w:ind w:left="0" w:leftChars="0" w:firstLine="0" w:firstLineChars="0"/>
        <w:rPr>
          <w:rFonts w:hint="eastAsia" w:asciiTheme="minorEastAsia" w:hAnsiTheme="minorEastAsia" w:eastAsiaTheme="minorEastAsia" w:cstheme="minorEastAsia"/>
          <w:color w:val="auto"/>
          <w:sz w:val="21"/>
          <w:szCs w:val="21"/>
          <w:highlight w:val="none"/>
        </w:rPr>
      </w:pPr>
      <w:r>
        <w:rPr>
          <w:rFonts w:hint="default" w:ascii="Times" w:hAnsi="Times" w:cs="Times" w:eastAsiaTheme="minorEastAsia"/>
          <w:b/>
          <w:bCs/>
          <w:color w:val="auto"/>
          <w:kern w:val="0"/>
          <w:sz w:val="20"/>
          <w:szCs w:val="20"/>
          <w:highlight w:val="none"/>
          <w:lang w:val="en-US" w:eastAsia="zh-CN" w:bidi="ar"/>
        </w:rPr>
        <w:t>5.6.1</w:t>
      </w:r>
      <w:r>
        <w:rPr>
          <w:rFonts w:hint="default" w:ascii="Times" w:hAnsi="Times" w:cs="Times"/>
          <w:b/>
          <w:bCs/>
          <w:color w:val="auto"/>
          <w:kern w:val="0"/>
          <w:sz w:val="20"/>
          <w:szCs w:val="20"/>
          <w:highlight w:val="none"/>
          <w:lang w:val="en-US" w:eastAsia="zh-CN" w:bidi="ar"/>
        </w:rPr>
        <w:t>5</w:t>
      </w:r>
      <w:r>
        <w:rPr>
          <w:rFonts w:hint="eastAsia" w:asciiTheme="minorEastAsia" w:hAnsiTheme="minorEastAsia" w:cstheme="minorEastAsia"/>
          <w:color w:val="auto"/>
          <w:sz w:val="21"/>
          <w:szCs w:val="21"/>
          <w:highlight w:val="none"/>
          <w:lang w:val="en-US" w:eastAsia="zh-CN"/>
        </w:rPr>
        <w:t>相比较其他类型建筑，</w:t>
      </w:r>
      <w:r>
        <w:rPr>
          <w:rFonts w:hint="eastAsia" w:asciiTheme="minorEastAsia" w:hAnsiTheme="minorEastAsia" w:cstheme="minorEastAsia"/>
          <w:color w:val="auto"/>
          <w:sz w:val="21"/>
          <w:szCs w:val="21"/>
          <w:highlight w:val="none"/>
          <w:lang w:val="en-US" w:eastAsia="zh"/>
        </w:rPr>
        <w:t>老年人照料设施</w:t>
      </w:r>
      <w:r>
        <w:rPr>
          <w:rFonts w:hint="eastAsia" w:asciiTheme="minorEastAsia" w:hAnsiTheme="minorEastAsia" w:cstheme="minorEastAsia"/>
          <w:color w:val="auto"/>
          <w:sz w:val="21"/>
          <w:szCs w:val="21"/>
          <w:highlight w:val="none"/>
          <w:lang w:val="en-US" w:eastAsia="zh-CN"/>
        </w:rPr>
        <w:t>中会存在大量的利用交通空间做休闲区域，或利用交通空间布设家具设施和用品的情况。针对这种情况，本条明确强调对突出物应有防刮碰的保护措施。</w:t>
      </w:r>
    </w:p>
    <w:p w14:paraId="5BDA930E">
      <w:pPr>
        <w:numPr>
          <w:ilvl w:val="2"/>
          <w:numId w:val="0"/>
        </w:numPr>
        <w:ind w:left="0" w:leftChars="0" w:firstLine="0" w:firstLineChars="0"/>
        <w:rPr>
          <w:rFonts w:hint="eastAsia" w:asciiTheme="minorEastAsia" w:hAnsiTheme="minorEastAsia" w:eastAsiaTheme="minorEastAsia" w:cstheme="minorEastAsia"/>
          <w:color w:val="auto"/>
          <w:sz w:val="21"/>
          <w:szCs w:val="21"/>
          <w:highlight w:val="none"/>
        </w:rPr>
      </w:pPr>
      <w:r>
        <w:rPr>
          <w:rFonts w:hint="default" w:ascii="Times" w:hAnsi="Times" w:cs="Times" w:eastAsiaTheme="minorEastAsia"/>
          <w:b/>
          <w:bCs/>
          <w:color w:val="auto"/>
          <w:kern w:val="0"/>
          <w:sz w:val="20"/>
          <w:szCs w:val="20"/>
          <w:highlight w:val="none"/>
          <w:lang w:val="en-US" w:eastAsia="zh-CN" w:bidi="ar"/>
        </w:rPr>
        <w:t>5.6.1</w:t>
      </w:r>
      <w:r>
        <w:rPr>
          <w:rFonts w:hint="default" w:ascii="Times" w:hAnsi="Times" w:cs="Times"/>
          <w:b/>
          <w:bCs/>
          <w:color w:val="auto"/>
          <w:kern w:val="0"/>
          <w:sz w:val="20"/>
          <w:szCs w:val="20"/>
          <w:highlight w:val="none"/>
          <w:lang w:val="en-US" w:eastAsia="zh-CN" w:bidi="ar"/>
        </w:rPr>
        <w:t>6</w:t>
      </w:r>
      <w:r>
        <w:rPr>
          <w:rFonts w:hint="eastAsia" w:asciiTheme="minorEastAsia" w:hAnsiTheme="minorEastAsia" w:cstheme="minorEastAsia"/>
          <w:color w:val="auto"/>
          <w:sz w:val="21"/>
          <w:szCs w:val="21"/>
          <w:highlight w:val="none"/>
          <w:lang w:val="en-US" w:eastAsia="zh-CN"/>
        </w:rPr>
        <w:t>为满足防火和室内环境污染控制的要求，本条给出了选择室内装饰材料的规定。室内装饰材料的选择，应符合现行国家标准的相关规定。</w:t>
      </w:r>
    </w:p>
    <w:p w14:paraId="46B69DB1">
      <w:pPr>
        <w:numPr>
          <w:ilvl w:val="2"/>
          <w:numId w:val="0"/>
        </w:numPr>
        <w:ind w:left="0" w:leftChars="0" w:firstLine="0" w:firstLineChars="0"/>
        <w:rPr>
          <w:rFonts w:hint="eastAsia" w:asciiTheme="minorEastAsia" w:hAnsiTheme="minorEastAsia" w:eastAsiaTheme="minorEastAsia" w:cstheme="minorEastAsia"/>
          <w:color w:val="auto"/>
          <w:sz w:val="21"/>
          <w:szCs w:val="21"/>
          <w:highlight w:val="none"/>
        </w:rPr>
      </w:pPr>
      <w:r>
        <w:rPr>
          <w:rFonts w:hint="default" w:ascii="Times" w:hAnsi="Times" w:cs="Times" w:eastAsiaTheme="minorEastAsia"/>
          <w:b/>
          <w:bCs/>
          <w:color w:val="auto"/>
          <w:kern w:val="0"/>
          <w:sz w:val="20"/>
          <w:szCs w:val="20"/>
          <w:highlight w:val="none"/>
          <w:lang w:val="en-US" w:eastAsia="zh-CN" w:bidi="ar"/>
        </w:rPr>
        <w:t>5.6.1</w:t>
      </w:r>
      <w:r>
        <w:rPr>
          <w:rFonts w:hint="default" w:ascii="Times" w:hAnsi="Times" w:cs="Times"/>
          <w:b/>
          <w:bCs/>
          <w:color w:val="auto"/>
          <w:kern w:val="0"/>
          <w:sz w:val="20"/>
          <w:szCs w:val="20"/>
          <w:highlight w:val="none"/>
          <w:lang w:val="en-US" w:eastAsia="zh-CN" w:bidi="ar"/>
        </w:rPr>
        <w:t>7</w:t>
      </w:r>
      <w:r>
        <w:rPr>
          <w:rFonts w:hint="eastAsia" w:asciiTheme="minorEastAsia" w:hAnsiTheme="minorEastAsia" w:cstheme="minorEastAsia"/>
          <w:color w:val="auto"/>
          <w:sz w:val="21"/>
          <w:szCs w:val="21"/>
          <w:highlight w:val="none"/>
          <w:lang w:val="en-US" w:eastAsia="zh"/>
        </w:rPr>
        <w:t>老年人照料设施</w:t>
      </w:r>
      <w:r>
        <w:rPr>
          <w:rFonts w:hint="eastAsia" w:asciiTheme="minorEastAsia" w:hAnsiTheme="minorEastAsia" w:cstheme="minorEastAsia"/>
          <w:color w:val="auto"/>
          <w:sz w:val="21"/>
          <w:szCs w:val="21"/>
          <w:highlight w:val="none"/>
          <w:lang w:val="en-US" w:eastAsia="zh-CN"/>
        </w:rPr>
        <w:t>需要安静的环境，建筑选址、规划布局、功能空间组织都需要统筹考虑环境中的噪声影响，应对噪声级加以控制。同时，为了提高老年人室外活动的舒适性，应对活动场地的噪声加以控制。当活动场地位于2类声环境功能区时，宜采取隔声降噪措施。如面向噪声源一侧设置声屏障或种植树木，以改善声环境。</w:t>
      </w:r>
    </w:p>
    <w:p w14:paraId="6F8C5B84">
      <w:pPr>
        <w:numPr>
          <w:ilvl w:val="2"/>
          <w:numId w:val="0"/>
        </w:numPr>
        <w:ind w:left="0" w:leftChars="0" w:firstLine="0" w:firstLineChars="0"/>
        <w:rPr>
          <w:rFonts w:hint="default" w:asciiTheme="minorEastAsia" w:hAnsiTheme="minorEastAsia" w:cstheme="minorEastAsia"/>
          <w:color w:val="auto"/>
          <w:sz w:val="21"/>
          <w:szCs w:val="21"/>
          <w:highlight w:val="none"/>
          <w:lang w:val="en-US" w:eastAsia="zh-CN"/>
        </w:rPr>
      </w:pPr>
      <w:r>
        <w:rPr>
          <w:rFonts w:hint="default" w:ascii="Times" w:hAnsi="Times" w:cs="Times" w:eastAsiaTheme="minorEastAsia"/>
          <w:b/>
          <w:bCs/>
          <w:color w:val="auto"/>
          <w:kern w:val="0"/>
          <w:sz w:val="20"/>
          <w:szCs w:val="20"/>
          <w:highlight w:val="none"/>
          <w:lang w:val="en-US" w:eastAsia="zh-CN" w:bidi="ar"/>
        </w:rPr>
        <w:t>5.6.</w:t>
      </w:r>
      <w:r>
        <w:rPr>
          <w:rFonts w:hint="default" w:ascii="Times" w:hAnsi="Times" w:cs="Times"/>
          <w:b/>
          <w:bCs/>
          <w:color w:val="auto"/>
          <w:kern w:val="0"/>
          <w:sz w:val="20"/>
          <w:szCs w:val="20"/>
          <w:highlight w:val="none"/>
          <w:lang w:val="en-US" w:eastAsia="zh-CN" w:bidi="ar"/>
        </w:rPr>
        <w:t>18</w:t>
      </w:r>
      <w:r>
        <w:rPr>
          <w:rFonts w:hint="eastAsia" w:asciiTheme="minorEastAsia" w:hAnsiTheme="minorEastAsia" w:cstheme="minorEastAsia"/>
          <w:color w:val="auto"/>
          <w:sz w:val="21"/>
          <w:szCs w:val="21"/>
          <w:highlight w:val="none"/>
          <w:lang w:val="en-US" w:eastAsia="zh-CN"/>
        </w:rPr>
        <w:t>本条的主要目</w:t>
      </w:r>
      <w:r>
        <w:rPr>
          <w:rFonts w:hint="default" w:asciiTheme="minorEastAsia" w:hAnsiTheme="minorEastAsia" w:cstheme="minorEastAsia"/>
          <w:color w:val="auto"/>
          <w:sz w:val="21"/>
          <w:szCs w:val="21"/>
          <w:highlight w:val="none"/>
          <w:lang w:val="en-US" w:eastAsia="zh-CN"/>
        </w:rPr>
        <w:t>的是防</w:t>
      </w:r>
      <w:r>
        <w:rPr>
          <w:rFonts w:hint="eastAsia" w:asciiTheme="minorEastAsia" w:hAnsiTheme="minorEastAsia" w:cstheme="minorEastAsia"/>
          <w:color w:val="auto"/>
          <w:sz w:val="21"/>
          <w:szCs w:val="21"/>
          <w:highlight w:val="none"/>
          <w:lang w:val="en-US" w:eastAsia="zh-CN"/>
        </w:rPr>
        <w:t>止因</w:t>
      </w:r>
      <w:r>
        <w:rPr>
          <w:rFonts w:hint="default" w:asciiTheme="minorEastAsia" w:hAnsiTheme="minorEastAsia" w:cstheme="minorEastAsia"/>
          <w:color w:val="auto"/>
          <w:sz w:val="21"/>
          <w:szCs w:val="21"/>
          <w:highlight w:val="none"/>
          <w:lang w:val="en-US" w:eastAsia="zh-CN"/>
        </w:rPr>
        <w:t xml:space="preserve">日常疏忽导致老年人发生意外。 </w:t>
      </w:r>
    </w:p>
    <w:p w14:paraId="72E454CA">
      <w:pPr>
        <w:numPr>
          <w:ilvl w:val="0"/>
          <w:numId w:val="0"/>
        </w:numPr>
        <w:bidi w:val="0"/>
        <w:ind w:left="0" w:leftChars="0" w:firstLine="422" w:firstLineChars="200"/>
        <w:rPr>
          <w:color w:val="auto"/>
          <w:highlight w:val="none"/>
        </w:rPr>
      </w:pPr>
      <w:r>
        <w:rPr>
          <w:rFonts w:hint="eastAsia"/>
          <w:b/>
          <w:bCs/>
          <w:color w:val="auto"/>
          <w:highlight w:val="none"/>
          <w:lang w:val="en-US" w:eastAsia="zh-CN"/>
        </w:rPr>
        <w:t>1</w:t>
      </w:r>
      <w:r>
        <w:rPr>
          <w:rFonts w:hint="eastAsia"/>
          <w:color w:val="auto"/>
          <w:highlight w:val="none"/>
          <w:lang w:val="en-US" w:eastAsia="zh-CN"/>
        </w:rPr>
        <w:t xml:space="preserve"> </w:t>
      </w:r>
      <w:r>
        <w:rPr>
          <w:rFonts w:hint="default"/>
          <w:color w:val="auto"/>
          <w:highlight w:val="none"/>
          <w:lang w:val="en-US" w:eastAsia="zh-CN"/>
        </w:rPr>
        <w:t>老年人行动迟缓，反应较慢，沿老年人行走的路线，做好各种安全防护措施，以防烫伤、扎伤、擦伤等</w:t>
      </w:r>
      <w:r>
        <w:rPr>
          <w:rFonts w:hint="eastAsia"/>
          <w:color w:val="auto"/>
          <w:highlight w:val="none"/>
          <w:lang w:val="en-US" w:eastAsia="zh-CN"/>
        </w:rPr>
        <w:t>；</w:t>
      </w:r>
      <w:r>
        <w:rPr>
          <w:rFonts w:hint="default"/>
          <w:color w:val="auto"/>
          <w:highlight w:val="none"/>
          <w:lang w:val="en-US" w:eastAsia="zh-CN"/>
        </w:rPr>
        <w:t xml:space="preserve"> </w:t>
      </w:r>
    </w:p>
    <w:p w14:paraId="56D138F5">
      <w:pPr>
        <w:numPr>
          <w:ilvl w:val="0"/>
          <w:numId w:val="0"/>
        </w:numPr>
        <w:bidi w:val="0"/>
        <w:ind w:left="0" w:leftChars="0" w:firstLine="422" w:firstLineChars="200"/>
        <w:rPr>
          <w:color w:val="auto"/>
          <w:highlight w:val="none"/>
        </w:rPr>
      </w:pPr>
      <w:r>
        <w:rPr>
          <w:rFonts w:hint="eastAsia"/>
          <w:b/>
          <w:bCs/>
          <w:color w:val="auto"/>
          <w:highlight w:val="none"/>
          <w:lang w:val="en-US" w:eastAsia="zh-CN"/>
        </w:rPr>
        <w:t>2</w:t>
      </w:r>
      <w:r>
        <w:rPr>
          <w:rFonts w:hint="eastAsia"/>
          <w:color w:val="auto"/>
          <w:highlight w:val="none"/>
          <w:lang w:val="en-US" w:eastAsia="zh-CN"/>
        </w:rPr>
        <w:t xml:space="preserve"> </w:t>
      </w:r>
      <w:r>
        <w:rPr>
          <w:rFonts w:hint="default"/>
          <w:color w:val="auto"/>
          <w:highlight w:val="none"/>
          <w:lang w:val="en-US" w:eastAsia="zh-CN"/>
        </w:rPr>
        <w:t>防火门上设透明的防火玻璃和分区门扇上设透明的安全玻璃，便于对老年人的行动观察与突发事件的救助。防火门的开关设有阻尼缓冲装置，以避免在门扇关闭时，容易夹碰轮椅或拐杖，造成伤害</w:t>
      </w:r>
      <w:r>
        <w:rPr>
          <w:rFonts w:hint="eastAsia"/>
          <w:color w:val="auto"/>
          <w:highlight w:val="none"/>
          <w:lang w:val="en-US" w:eastAsia="zh-CN"/>
        </w:rPr>
        <w:t>；</w:t>
      </w:r>
      <w:r>
        <w:rPr>
          <w:rFonts w:hint="default"/>
          <w:color w:val="auto"/>
          <w:highlight w:val="none"/>
          <w:lang w:val="en-US" w:eastAsia="zh-CN"/>
        </w:rPr>
        <w:t xml:space="preserve"> </w:t>
      </w:r>
    </w:p>
    <w:p w14:paraId="4C471E25">
      <w:pPr>
        <w:numPr>
          <w:ilvl w:val="0"/>
          <w:numId w:val="0"/>
        </w:numPr>
        <w:bidi w:val="0"/>
        <w:ind w:left="0" w:leftChars="0" w:firstLine="422" w:firstLineChars="200"/>
        <w:rPr>
          <w:color w:val="auto"/>
          <w:highlight w:val="none"/>
        </w:rPr>
      </w:pPr>
      <w:r>
        <w:rPr>
          <w:rFonts w:hint="eastAsia"/>
          <w:b/>
          <w:bCs/>
          <w:color w:val="auto"/>
          <w:highlight w:val="none"/>
          <w:lang w:val="en-US" w:eastAsia="zh-CN"/>
        </w:rPr>
        <w:t>3</w:t>
      </w:r>
      <w:r>
        <w:rPr>
          <w:rFonts w:hint="eastAsia"/>
          <w:color w:val="auto"/>
          <w:highlight w:val="none"/>
          <w:lang w:val="en-US" w:eastAsia="zh-CN"/>
        </w:rPr>
        <w:t xml:space="preserve"> </w:t>
      </w:r>
      <w:r>
        <w:rPr>
          <w:rFonts w:hint="default"/>
          <w:color w:val="auto"/>
          <w:highlight w:val="none"/>
          <w:lang w:val="en-US" w:eastAsia="zh-CN"/>
        </w:rPr>
        <w:t>本规定主要是便于对老年人发生意外时的救助。 失智老年人行为自控能力差，</w:t>
      </w:r>
      <w:r>
        <w:rPr>
          <w:rFonts w:hint="eastAsia"/>
          <w:color w:val="auto"/>
          <w:highlight w:val="none"/>
          <w:lang w:val="en-US" w:eastAsia="zh-CN"/>
        </w:rPr>
        <w:t>应在公共区域全方位无死角地</w:t>
      </w:r>
      <w:r>
        <w:rPr>
          <w:rFonts w:hint="default"/>
          <w:color w:val="auto"/>
          <w:highlight w:val="none"/>
          <w:lang w:val="en-US" w:eastAsia="zh-CN"/>
        </w:rPr>
        <w:t>设置视频监控、感应报警等安全措施，以防老年人走失及意外事故</w:t>
      </w:r>
      <w:r>
        <w:rPr>
          <w:rFonts w:hint="eastAsia"/>
          <w:color w:val="auto"/>
          <w:highlight w:val="none"/>
          <w:lang w:val="en-US" w:eastAsia="zh-CN"/>
        </w:rPr>
        <w:t>；</w:t>
      </w:r>
    </w:p>
    <w:p w14:paraId="49C27A8C">
      <w:pPr>
        <w:numPr>
          <w:ilvl w:val="0"/>
          <w:numId w:val="0"/>
        </w:numPr>
        <w:bidi w:val="0"/>
        <w:ind w:left="0" w:leftChars="0" w:firstLine="422" w:firstLineChars="200"/>
        <w:rPr>
          <w:color w:val="auto"/>
          <w:highlight w:val="none"/>
        </w:rPr>
      </w:pPr>
      <w:r>
        <w:rPr>
          <w:rFonts w:hint="eastAsia"/>
          <w:b/>
          <w:bCs/>
          <w:color w:val="auto"/>
          <w:highlight w:val="none"/>
          <w:lang w:val="en-US" w:eastAsia="zh-CN"/>
        </w:rPr>
        <w:t xml:space="preserve">4 </w:t>
      </w:r>
      <w:r>
        <w:rPr>
          <w:rFonts w:hint="eastAsia"/>
          <w:color w:val="auto"/>
          <w:highlight w:val="none"/>
          <w:lang w:val="en-US" w:eastAsia="zh"/>
        </w:rPr>
        <w:t>老年人照料设施</w:t>
      </w:r>
      <w:r>
        <w:rPr>
          <w:rFonts w:hint="default"/>
          <w:color w:val="auto"/>
          <w:highlight w:val="none"/>
          <w:lang w:val="en-US" w:eastAsia="zh-CN"/>
        </w:rPr>
        <w:t>的开敞阳台或屋顶上人平台上的临空处不应设可攀登的栏杆，防止老年人攀爬失足，发生意外。供老年人活动的屋顶平台女儿墙护栏高度不应低于 1.20 m，也是防止老年人意外失足，发生高空坠落事件。在医院及其他建筑的无障碍设计中，经常有双层扶手的使用需要，这在</w:t>
      </w:r>
      <w:r>
        <w:rPr>
          <w:rFonts w:hint="eastAsia"/>
          <w:color w:val="auto"/>
          <w:highlight w:val="none"/>
          <w:lang w:val="en-US" w:eastAsia="zh"/>
        </w:rPr>
        <w:t>老年人照料设施</w:t>
      </w:r>
      <w:r>
        <w:rPr>
          <w:rFonts w:hint="default"/>
          <w:color w:val="auto"/>
          <w:highlight w:val="none"/>
          <w:lang w:val="en-US" w:eastAsia="zh-CN"/>
        </w:rPr>
        <w:t>的开敞阳台和屋顶上人平台上的临空处是禁止的</w:t>
      </w:r>
      <w:r>
        <w:rPr>
          <w:rFonts w:hint="eastAsia"/>
          <w:color w:val="auto"/>
          <w:highlight w:val="none"/>
          <w:lang w:val="en-US" w:eastAsia="zh-CN"/>
        </w:rPr>
        <w:t>；</w:t>
      </w:r>
      <w:r>
        <w:rPr>
          <w:rFonts w:hint="default"/>
          <w:color w:val="auto"/>
          <w:highlight w:val="none"/>
          <w:lang w:val="en-US" w:eastAsia="zh-CN"/>
        </w:rPr>
        <w:t xml:space="preserve"> </w:t>
      </w:r>
    </w:p>
    <w:p w14:paraId="292F65A7">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70" w:name="_Toc12455"/>
      <w:bookmarkStart w:id="171" w:name="_Toc6453"/>
      <w:bookmarkStart w:id="172" w:name="_Toc25310"/>
      <w:r>
        <w:rPr>
          <w:rStyle w:val="19"/>
          <w:rFonts w:hint="eastAsia" w:ascii="Times New Roman" w:hAnsi="Times New Roman" w:eastAsia="宋体" w:cs="Times New Roman"/>
          <w:color w:val="auto"/>
          <w:sz w:val="28"/>
          <w:szCs w:val="40"/>
          <w:highlight w:val="none"/>
          <w:lang w:val="en-US" w:eastAsia="zh-CN"/>
        </w:rPr>
        <w:t xml:space="preserve">5.7 </w:t>
      </w:r>
      <w:r>
        <w:rPr>
          <w:rStyle w:val="19"/>
          <w:rFonts w:hint="eastAsia" w:ascii="黑体" w:hAnsi="黑体" w:eastAsia="黑体" w:cs="黑体"/>
          <w:color w:val="auto"/>
          <w:sz w:val="28"/>
          <w:szCs w:val="40"/>
          <w:highlight w:val="none"/>
          <w:lang w:val="en-US" w:eastAsia="zh-CN"/>
        </w:rPr>
        <w:t>标志标识</w:t>
      </w:r>
      <w:bookmarkEnd w:id="170"/>
      <w:bookmarkEnd w:id="171"/>
    </w:p>
    <w:bookmarkEnd w:id="172"/>
    <w:p w14:paraId="25F70530">
      <w:pPr>
        <w:numPr>
          <w:ilvl w:val="2"/>
          <w:numId w:val="0"/>
        </w:numPr>
        <w:ind w:left="0" w:leftChars="0" w:firstLine="0" w:firstLineChars="0"/>
        <w:rPr>
          <w:rFonts w:hint="eastAsia"/>
          <w:color w:val="auto"/>
          <w:highlight w:val="none"/>
          <w:lang w:val="en-US" w:eastAsia="zh-CN"/>
        </w:rPr>
      </w:pPr>
      <w:r>
        <w:rPr>
          <w:rFonts w:hint="default" w:ascii="Times" w:hAnsi="Times" w:cs="Times" w:eastAsiaTheme="minorEastAsia"/>
          <w:b/>
          <w:bCs/>
          <w:color w:val="auto"/>
          <w:kern w:val="0"/>
          <w:sz w:val="20"/>
          <w:szCs w:val="20"/>
          <w:highlight w:val="none"/>
          <w:lang w:val="en-US" w:eastAsia="zh-CN" w:bidi="ar"/>
        </w:rPr>
        <w:t xml:space="preserve">5.7.1 </w:t>
      </w:r>
      <w:r>
        <w:rPr>
          <w:rFonts w:hint="default" w:ascii="Times" w:hAnsi="Times" w:cs="Times"/>
          <w:b/>
          <w:bCs/>
          <w:color w:val="auto"/>
          <w:kern w:val="0"/>
          <w:sz w:val="20"/>
          <w:szCs w:val="20"/>
          <w:highlight w:val="none"/>
          <w:lang w:val="en-US" w:eastAsia="zh-CN" w:bidi="ar"/>
        </w:rPr>
        <w:t>5.7.2</w:t>
      </w:r>
      <w:r>
        <w:rPr>
          <w:rFonts w:hint="eastAsia"/>
          <w:color w:val="auto"/>
          <w:highlight w:val="none"/>
          <w:lang w:val="en-US" w:eastAsia="zh-CN"/>
        </w:rPr>
        <w:t xml:space="preserve"> </w:t>
      </w:r>
      <w:r>
        <w:rPr>
          <w:rFonts w:hint="eastAsia" w:cstheme="minorBidi"/>
          <w:b w:val="0"/>
          <w:bCs w:val="0"/>
          <w:color w:val="auto"/>
          <w:kern w:val="2"/>
          <w:sz w:val="21"/>
          <w:szCs w:val="24"/>
          <w:highlight w:val="none"/>
          <w:lang w:val="en-US" w:eastAsia="zh" w:bidi="ar-SA"/>
        </w:rPr>
        <w:t>老年人照料设施</w:t>
      </w:r>
      <w:r>
        <w:rPr>
          <w:rFonts w:hint="eastAsia" w:cstheme="minorBidi"/>
          <w:b w:val="0"/>
          <w:bCs w:val="0"/>
          <w:color w:val="auto"/>
          <w:kern w:val="2"/>
          <w:sz w:val="21"/>
          <w:szCs w:val="24"/>
          <w:highlight w:val="none"/>
          <w:lang w:val="en-US" w:eastAsia="zh-CN" w:bidi="ar-SA"/>
        </w:rPr>
        <w:t>的导向标识系统是必要的安全措施，它对于记忆和识别能力逐渐衰退的老年人来说更加重要。</w:t>
      </w:r>
      <w:r>
        <w:rPr>
          <w:rFonts w:hint="eastAsia"/>
          <w:color w:val="auto"/>
          <w:highlight w:val="none"/>
          <w:lang w:eastAsia="zh"/>
        </w:rPr>
        <w:t>老年人照料设施</w:t>
      </w:r>
      <w:r>
        <w:rPr>
          <w:color w:val="auto"/>
          <w:highlight w:val="none"/>
        </w:rPr>
        <w:t>的引导标识应形成一个完整的体系，从建筑外部的园区入口开始，到各个建筑物的出入口、内部走廊、楼梯间、电梯厅，再到各个功能房间，如卧室、餐厅、活动室、医务室等，都应设置清晰明确的标识，</w:t>
      </w:r>
      <w:r>
        <w:rPr>
          <w:rFonts w:hint="eastAsia" w:cstheme="minorBidi"/>
          <w:b w:val="0"/>
          <w:bCs w:val="0"/>
          <w:color w:val="auto"/>
          <w:kern w:val="2"/>
          <w:sz w:val="21"/>
          <w:szCs w:val="24"/>
          <w:highlight w:val="none"/>
          <w:lang w:val="en-US" w:eastAsia="zh-CN" w:bidi="ar-SA"/>
        </w:rPr>
        <w:t>可导引老年人安全出行与疏散，有效地减少遇险时的慌乱。</w:t>
      </w:r>
    </w:p>
    <w:p w14:paraId="4BD32AD4">
      <w:pPr>
        <w:numPr>
          <w:ilvl w:val="2"/>
          <w:numId w:val="0"/>
        </w:numPr>
        <w:bidi w:val="0"/>
        <w:ind w:left="0" w:leftChars="0" w:hanging="9" w:firstLineChars="0"/>
        <w:rPr>
          <w:rFonts w:hint="default"/>
          <w:color w:val="auto"/>
          <w:highlight w:val="none"/>
        </w:rPr>
      </w:pPr>
      <w:r>
        <w:rPr>
          <w:rFonts w:hint="default" w:ascii="Times" w:hAnsi="Times" w:cs="Times" w:eastAsiaTheme="minorEastAsia"/>
          <w:b/>
          <w:bCs/>
          <w:color w:val="auto"/>
          <w:kern w:val="0"/>
          <w:sz w:val="20"/>
          <w:szCs w:val="20"/>
          <w:highlight w:val="none"/>
          <w:lang w:val="en-US" w:eastAsia="zh-CN" w:bidi="ar"/>
        </w:rPr>
        <w:t>5.7.</w:t>
      </w:r>
      <w:r>
        <w:rPr>
          <w:rFonts w:hint="default" w:ascii="Times" w:hAnsi="Times" w:cs="Times"/>
          <w:b/>
          <w:bCs/>
          <w:color w:val="auto"/>
          <w:kern w:val="0"/>
          <w:sz w:val="20"/>
          <w:szCs w:val="20"/>
          <w:highlight w:val="none"/>
          <w:lang w:val="en-US" w:eastAsia="zh-CN" w:bidi="ar"/>
        </w:rPr>
        <w:t>6</w:t>
      </w:r>
      <w:r>
        <w:rPr>
          <w:rFonts w:hint="default" w:asciiTheme="minorHAnsi" w:hAnsiTheme="minorHAnsi" w:eastAsiaTheme="minorEastAsia" w:cstheme="minorBidi"/>
          <w:b/>
          <w:bCs/>
          <w:color w:val="auto"/>
          <w:kern w:val="2"/>
          <w:sz w:val="20"/>
          <w:szCs w:val="20"/>
          <w:highlight w:val="none"/>
          <w:lang w:val="en-US" w:eastAsia="zh-CN" w:bidi="ar-SA"/>
        </w:rPr>
        <w:t xml:space="preserve"> </w:t>
      </w:r>
      <w:r>
        <w:rPr>
          <w:rFonts w:hint="eastAsia"/>
          <w:color w:val="auto"/>
          <w:highlight w:val="none"/>
          <w:lang w:eastAsia="zh"/>
        </w:rPr>
        <w:t>老年人照料设施</w:t>
      </w:r>
      <w:r>
        <w:rPr>
          <w:color w:val="auto"/>
          <w:highlight w:val="none"/>
        </w:rPr>
        <w:t>的标识的设置应具有连续性，避免出现信息中断或不连贯的情况。例如，在道路上每隔一段距离就应设置指向主要建筑或场所的标识，在走廊中应每隔一定距离设置房间号或功能区域的标识，让老年人能够沿着标识的引导顺利到达目的地。</w:t>
      </w:r>
    </w:p>
    <w:p w14:paraId="6EC7060D">
      <w:pPr>
        <w:numPr>
          <w:ilvl w:val="0"/>
          <w:numId w:val="0"/>
        </w:numPr>
        <w:bidi w:val="0"/>
        <w:ind w:left="0" w:leftChars="0" w:firstLine="407" w:firstLineChars="194"/>
        <w:rPr>
          <w:rFonts w:hint="default"/>
          <w:color w:val="auto"/>
          <w:highlight w:val="none"/>
        </w:rPr>
      </w:pPr>
      <w:r>
        <w:rPr>
          <w:rFonts w:hint="default"/>
          <w:color w:val="auto"/>
          <w:highlight w:val="none"/>
        </w:rPr>
        <w:t>考虑到老年人的视力问题，标识上的字体应足够大，以便老年人能够清晰识别。一般来说，字体高度不应小于 50mm，对于重要的标识或在较远可视距离处的标识，字体高度应更大。同时，字体应选择清晰易读的字体类型，避免使用过于花哨或复杂的字体。</w:t>
      </w:r>
    </w:p>
    <w:p w14:paraId="4328C9E0">
      <w:pPr>
        <w:numPr>
          <w:ilvl w:val="0"/>
          <w:numId w:val="0"/>
        </w:numPr>
        <w:bidi w:val="0"/>
        <w:ind w:left="0" w:leftChars="0" w:firstLine="407" w:firstLineChars="194"/>
        <w:rPr>
          <w:rFonts w:hint="default"/>
          <w:color w:val="auto"/>
          <w:highlight w:val="none"/>
        </w:rPr>
      </w:pPr>
      <w:r>
        <w:rPr>
          <w:rFonts w:hint="default"/>
          <w:color w:val="auto"/>
          <w:highlight w:val="none"/>
        </w:rPr>
        <w:t>标识上的图案也应具有足够的尺寸，以便老年人能够轻松辨认。图案的线条应清晰、简洁，避免过于复杂的设计。例如，指示方向的箭头图案应足够大且明显，卫生间等功能标识的图案应具有较高的辨识度。</w:t>
      </w:r>
    </w:p>
    <w:p w14:paraId="143723BB">
      <w:pPr>
        <w:numPr>
          <w:ilvl w:val="0"/>
          <w:numId w:val="0"/>
        </w:numPr>
        <w:bidi w:val="0"/>
        <w:ind w:left="0" w:leftChars="0" w:firstLine="407" w:firstLineChars="194"/>
        <w:rPr>
          <w:rFonts w:hint="default"/>
          <w:color w:val="auto"/>
          <w:highlight w:val="none"/>
        </w:rPr>
      </w:pPr>
      <w:r>
        <w:rPr>
          <w:rFonts w:hint="default"/>
          <w:color w:val="auto"/>
          <w:highlight w:val="none"/>
        </w:rPr>
        <w:t>为了提高标识的可视性，应选择色彩对比度较高的颜色组合。例如，底色可以选择白色、浅黄色等明亮的颜色，字体和图案则选择黑色、深蓝色等深色，形成鲜明的对比，使标识在不同的光线条件下都能清晰可见。</w:t>
      </w:r>
    </w:p>
    <w:p w14:paraId="69F442EC">
      <w:pPr>
        <w:numPr>
          <w:ilvl w:val="0"/>
          <w:numId w:val="0"/>
        </w:numPr>
        <w:bidi w:val="0"/>
        <w:ind w:left="0" w:leftChars="0" w:firstLine="407" w:firstLineChars="194"/>
        <w:rPr>
          <w:rFonts w:hint="default"/>
          <w:color w:val="auto"/>
          <w:highlight w:val="none"/>
        </w:rPr>
      </w:pPr>
      <w:r>
        <w:rPr>
          <w:rFonts w:hint="default"/>
          <w:color w:val="auto"/>
          <w:highlight w:val="none"/>
        </w:rPr>
        <w:t>应避免使用色彩过于相近的颜色组合，以免造成老年人视觉上的混淆。例如，浅蓝色和浅灰色、浅绿色和浅黄色等组合应尽量避免使用。</w:t>
      </w:r>
    </w:p>
    <w:p w14:paraId="2DC48816">
      <w:pPr>
        <w:numPr>
          <w:ilvl w:val="0"/>
          <w:numId w:val="0"/>
        </w:numPr>
        <w:bidi w:val="0"/>
        <w:ind w:left="0" w:leftChars="0" w:firstLine="407" w:firstLineChars="194"/>
        <w:rPr>
          <w:rFonts w:hint="default"/>
          <w:color w:val="auto"/>
          <w:highlight w:val="none"/>
        </w:rPr>
      </w:pPr>
      <w:r>
        <w:rPr>
          <w:rFonts w:hint="default"/>
          <w:color w:val="auto"/>
          <w:highlight w:val="none"/>
        </w:rPr>
        <w:t>在选择标识色彩时，还应考虑色彩所传达的情感和心理感受。例如，绿色可以用于表示自然、健康的区域，如花园、休闲区等；黄色可以用于表示警示区域，如楼梯口、危险地段等；红色可以用于表示紧急出口或重要提示等。</w:t>
      </w:r>
    </w:p>
    <w:p w14:paraId="7C920204">
      <w:pPr>
        <w:numPr>
          <w:ilvl w:val="0"/>
          <w:numId w:val="0"/>
        </w:numPr>
        <w:bidi w:val="0"/>
        <w:ind w:left="0" w:leftChars="0" w:firstLine="407" w:firstLineChars="194"/>
        <w:rPr>
          <w:rFonts w:hint="default"/>
          <w:color w:val="auto"/>
          <w:highlight w:val="none"/>
        </w:rPr>
      </w:pPr>
      <w:r>
        <w:rPr>
          <w:rFonts w:hint="default"/>
          <w:color w:val="auto"/>
          <w:highlight w:val="none"/>
        </w:rPr>
        <w:t>根据不同的区域和功能，标识应进行分级设置。例如，在园区入口处设置总平面图和主要建筑、场所的导向标识，引导老年人了解整个园区的布局；在建筑入口处设置建筑内部的楼层分布和功能区域划分标识；在楼层内设置房间号和具体功能房间的标识，形成从宏观到微观的分级引导体系。</w:t>
      </w:r>
    </w:p>
    <w:p w14:paraId="5532BC6B">
      <w:pPr>
        <w:numPr>
          <w:ilvl w:val="0"/>
          <w:numId w:val="0"/>
        </w:numPr>
        <w:bidi w:val="0"/>
        <w:ind w:left="0" w:leftChars="0" w:firstLine="0" w:firstLineChars="0"/>
        <w:rPr>
          <w:rFonts w:hint="default"/>
          <w:color w:val="auto"/>
          <w:highlight w:val="none"/>
        </w:rPr>
      </w:pPr>
      <w:r>
        <w:rPr>
          <w:rFonts w:hint="default" w:ascii="Calibri Light" w:hAnsi="Calibri Light" w:eastAsiaTheme="minorEastAsia" w:cstheme="minorEastAsia"/>
          <w:b/>
          <w:bCs/>
          <w:color w:val="auto"/>
          <w:kern w:val="0"/>
          <w:sz w:val="18"/>
          <w:szCs w:val="18"/>
          <w:highlight w:val="none"/>
          <w:lang w:val="en-US" w:eastAsia="zh-CN" w:bidi="ar"/>
        </w:rPr>
        <w:t>5.</w:t>
      </w:r>
      <w:r>
        <w:rPr>
          <w:rFonts w:hint="eastAsia" w:ascii="Calibri Light" w:hAnsi="Calibri Light" w:cstheme="minorEastAsia"/>
          <w:b/>
          <w:bCs/>
          <w:color w:val="auto"/>
          <w:kern w:val="0"/>
          <w:sz w:val="18"/>
          <w:szCs w:val="18"/>
          <w:highlight w:val="none"/>
          <w:lang w:val="en-US" w:eastAsia="zh-CN" w:bidi="ar"/>
        </w:rPr>
        <w:t xml:space="preserve">7.5  </w:t>
      </w:r>
      <w:r>
        <w:rPr>
          <w:rFonts w:hint="default"/>
          <w:color w:val="auto"/>
          <w:highlight w:val="none"/>
          <w:lang w:val="en-US" w:eastAsia="zh-CN"/>
        </w:rPr>
        <w:t xml:space="preserve">为便于老年人在发生火灾时有序疏散及实施外部救援，应在老年人居室设置安全疏散标识。考虑到老年人视力减弱，在墙面凸出处、临空框架柱等位置设置显著标识，增强辨识度和安全警示。 </w:t>
      </w:r>
    </w:p>
    <w:p w14:paraId="046F94D1">
      <w:pPr>
        <w:numPr>
          <w:ilvl w:val="0"/>
          <w:numId w:val="0"/>
        </w:numPr>
        <w:bidi w:val="0"/>
        <w:ind w:left="360" w:leftChars="0"/>
        <w:rPr>
          <w:rFonts w:hint="default"/>
          <w:color w:val="auto"/>
          <w:highlight w:val="none"/>
        </w:rPr>
      </w:pPr>
    </w:p>
    <w:p w14:paraId="193544CF">
      <w:pPr>
        <w:numPr>
          <w:ilvl w:val="0"/>
          <w:numId w:val="15"/>
        </w:numPr>
        <w:ind w:left="425" w:leftChars="0" w:hanging="425" w:firstLineChars="0"/>
        <w:jc w:val="center"/>
        <w:outlineLvl w:val="0"/>
        <w:rPr>
          <w:rStyle w:val="19"/>
          <w:rFonts w:hint="eastAsia" w:ascii="Times New Roman" w:hAnsi="Times New Roman" w:eastAsia="宋体" w:cs="Times New Roman"/>
          <w:color w:val="auto"/>
          <w:highlight w:val="none"/>
          <w:lang w:val="en-US" w:eastAsia="zh-CN"/>
        </w:rPr>
      </w:pPr>
      <w:bookmarkStart w:id="173" w:name="_Toc7009"/>
      <w:bookmarkStart w:id="174" w:name="_Toc16054"/>
      <w:bookmarkStart w:id="175" w:name="_Toc25958"/>
      <w:r>
        <w:rPr>
          <w:rStyle w:val="19"/>
          <w:rFonts w:hint="eastAsia" w:ascii="Times New Roman" w:hAnsi="Times New Roman" w:eastAsia="宋体" w:cs="Times New Roman"/>
          <w:color w:val="auto"/>
          <w:highlight w:val="none"/>
          <w:lang w:val="en-US" w:eastAsia="zh-CN"/>
        </w:rPr>
        <w:t>建筑结构</w:t>
      </w:r>
      <w:bookmarkEnd w:id="173"/>
      <w:bookmarkEnd w:id="174"/>
      <w:bookmarkEnd w:id="175"/>
    </w:p>
    <w:p w14:paraId="1D5995C9">
      <w:pPr>
        <w:numPr>
          <w:ilvl w:val="0"/>
          <w:numId w:val="0"/>
        </w:numPr>
        <w:bidi w:val="0"/>
        <w:ind w:leftChars="0"/>
        <w:rPr>
          <w:rFonts w:hint="eastAsia"/>
          <w:color w:val="auto"/>
          <w:highlight w:val="none"/>
          <w:lang w:val="en-US" w:eastAsia="zh-CN"/>
        </w:rPr>
      </w:pPr>
    </w:p>
    <w:p w14:paraId="0F3175EF">
      <w:pPr>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6</w:t>
      </w:r>
      <w:r>
        <w:rPr>
          <w:rFonts w:hint="default" w:ascii="Times New Roman" w:hAnsi="Times New Roman" w:cs="Times New Roman"/>
          <w:b/>
          <w:bCs/>
          <w:color w:val="auto"/>
          <w:kern w:val="0"/>
          <w:sz w:val="20"/>
          <w:szCs w:val="20"/>
          <w:highlight w:val="none"/>
        </w:rPr>
        <w:t>.0.</w:t>
      </w:r>
      <w:r>
        <w:rPr>
          <w:rFonts w:hint="eastAsia" w:ascii="Times New Roman" w:hAnsi="Times New Roman" w:cs="Times New Roman"/>
          <w:b/>
          <w:bCs/>
          <w:color w:val="auto"/>
          <w:kern w:val="0"/>
          <w:sz w:val="20"/>
          <w:szCs w:val="20"/>
          <w:highlight w:val="none"/>
          <w:lang w:eastAsia="zh"/>
          <w:woUserID w:val="1"/>
        </w:rPr>
        <w:t>1</w:t>
      </w:r>
      <w:r>
        <w:rPr>
          <w:rFonts w:hint="eastAsia"/>
          <w:color w:val="auto"/>
          <w:kern w:val="0"/>
          <w:highlight w:val="none"/>
        </w:rPr>
        <w:t xml:space="preserve"> </w:t>
      </w:r>
      <w:r>
        <w:rPr>
          <w:rFonts w:ascii="Arial" w:hAnsi="Arial" w:cs="Arial"/>
          <w:color w:val="auto"/>
          <w:szCs w:val="21"/>
          <w:highlight w:val="none"/>
        </w:rPr>
        <w:t>《建设工程抗震管理条例》已于2021年5月12日国务院第135次常务会议通过，自2021年9月1日起施行，</w:t>
      </w:r>
      <w:r>
        <w:rPr>
          <w:rFonts w:hint="eastAsia" w:ascii="Arial" w:hAnsi="Arial" w:cs="Arial"/>
          <w:color w:val="auto"/>
          <w:szCs w:val="21"/>
          <w:highlight w:val="none"/>
          <w:lang w:eastAsia="zh"/>
        </w:rPr>
        <w:t>老年人照料设施</w:t>
      </w:r>
      <w:r>
        <w:rPr>
          <w:color w:val="auto"/>
          <w:kern w:val="0"/>
          <w:highlight w:val="none"/>
        </w:rPr>
        <w:t>抗震设防类别</w:t>
      </w:r>
      <w:r>
        <w:rPr>
          <w:rFonts w:hint="eastAsia"/>
          <w:color w:val="auto"/>
          <w:kern w:val="0"/>
          <w:highlight w:val="none"/>
        </w:rPr>
        <w:t>提高到</w:t>
      </w:r>
      <w:bookmarkStart w:id="176" w:name="OLE_LINK13"/>
      <w:r>
        <w:rPr>
          <w:rFonts w:hint="eastAsia"/>
          <w:color w:val="auto"/>
          <w:kern w:val="0"/>
          <w:highlight w:val="none"/>
        </w:rPr>
        <w:t>不低于重点设防类</w:t>
      </w:r>
      <w:bookmarkEnd w:id="176"/>
      <w:r>
        <w:rPr>
          <w:rFonts w:hint="eastAsia"/>
          <w:color w:val="auto"/>
          <w:kern w:val="0"/>
          <w:highlight w:val="none"/>
        </w:rPr>
        <w:t>。</w:t>
      </w:r>
    </w:p>
    <w:p w14:paraId="6DDB2976">
      <w:pPr>
        <w:rPr>
          <w:rFonts w:hint="eastAsia"/>
          <w:color w:val="auto"/>
          <w:kern w:val="0"/>
          <w:highlight w:val="none"/>
          <w:lang w:val="en-US" w:eastAsia="zh-CN"/>
        </w:rPr>
      </w:pPr>
      <w:r>
        <w:rPr>
          <w:rFonts w:hint="eastAsia" w:ascii="Times New Roman" w:hAnsi="Times New Roman" w:cs="Times New Roman"/>
          <w:b/>
          <w:bCs/>
          <w:color w:val="auto"/>
          <w:sz w:val="20"/>
          <w:szCs w:val="20"/>
          <w:highlight w:val="none"/>
          <w:lang w:val="en-US" w:eastAsia="zh-CN"/>
        </w:rPr>
        <w:t>6</w:t>
      </w:r>
      <w:r>
        <w:rPr>
          <w:rFonts w:hint="default" w:ascii="Times New Roman" w:hAnsi="Times New Roman" w:cs="Times New Roman"/>
          <w:b/>
          <w:bCs/>
          <w:color w:val="auto"/>
          <w:sz w:val="20"/>
          <w:szCs w:val="20"/>
          <w:highlight w:val="none"/>
        </w:rPr>
        <w:t>.0.</w:t>
      </w:r>
      <w:r>
        <w:rPr>
          <w:rFonts w:hint="eastAsia" w:ascii="Times New Roman" w:hAnsi="Times New Roman" w:cs="Times New Roman"/>
          <w:b/>
          <w:bCs/>
          <w:color w:val="auto"/>
          <w:sz w:val="20"/>
          <w:szCs w:val="20"/>
          <w:highlight w:val="none"/>
          <w:lang w:eastAsia="zh"/>
          <w:woUserID w:val="1"/>
        </w:rPr>
        <w:t>2</w:t>
      </w:r>
      <w:r>
        <w:rPr>
          <w:rFonts w:hint="eastAsia" w:ascii="Arial" w:hAnsi="Arial" w:cs="Arial"/>
          <w:color w:val="auto"/>
          <w:szCs w:val="21"/>
          <w:highlight w:val="none"/>
        </w:rPr>
        <w:t>具体要求按现行地方标准《四川省基于保持正常使用功能的建筑隔震减震工程设计标准》DBJ51/T 263的相关规定执行。</w:t>
      </w:r>
    </w:p>
    <w:p w14:paraId="1FC45987">
      <w:pPr>
        <w:bidi w:val="0"/>
        <w:rPr>
          <w:rFonts w:hint="eastAsia" w:ascii="Arial" w:hAnsi="Arial" w:cs="Arial"/>
          <w:color w:val="auto"/>
          <w:szCs w:val="21"/>
          <w:highlight w:val="none"/>
        </w:rPr>
      </w:pPr>
      <w:r>
        <w:rPr>
          <w:rFonts w:hint="eastAsia" w:ascii="Times New Roman" w:hAnsi="Times New Roman" w:cs="Times New Roman"/>
          <w:b/>
          <w:bCs/>
          <w:color w:val="auto"/>
          <w:kern w:val="0"/>
          <w:sz w:val="20"/>
          <w:szCs w:val="20"/>
          <w:highlight w:val="none"/>
          <w:lang w:val="en-US" w:eastAsia="zh-CN"/>
        </w:rPr>
        <w:t>6</w:t>
      </w:r>
      <w:r>
        <w:rPr>
          <w:rFonts w:hint="default" w:ascii="Times New Roman" w:hAnsi="Times New Roman" w:cs="Times New Roman"/>
          <w:b/>
          <w:bCs/>
          <w:color w:val="auto"/>
          <w:kern w:val="0"/>
          <w:sz w:val="20"/>
          <w:szCs w:val="20"/>
          <w:highlight w:val="none"/>
        </w:rPr>
        <w:t>.0.</w:t>
      </w:r>
      <w:r>
        <w:rPr>
          <w:rFonts w:hint="eastAsia" w:ascii="Times New Roman" w:hAnsi="Times New Roman" w:cs="Times New Roman"/>
          <w:b/>
          <w:bCs/>
          <w:color w:val="auto"/>
          <w:kern w:val="0"/>
          <w:sz w:val="20"/>
          <w:szCs w:val="20"/>
          <w:highlight w:val="none"/>
          <w:lang w:eastAsia="zh"/>
          <w:woUserID w:val="1"/>
        </w:rPr>
        <w:t>3</w:t>
      </w:r>
      <w:r>
        <w:rPr>
          <w:rFonts w:hint="eastAsia"/>
          <w:color w:val="auto"/>
          <w:kern w:val="0"/>
          <w:highlight w:val="none"/>
        </w:rPr>
        <w:t xml:space="preserve"> 新建的</w:t>
      </w:r>
      <w:r>
        <w:rPr>
          <w:rFonts w:hint="eastAsia"/>
          <w:color w:val="auto"/>
          <w:kern w:val="0"/>
          <w:highlight w:val="none"/>
          <w:lang w:eastAsia="zh"/>
        </w:rPr>
        <w:t>老年人照料设施</w:t>
      </w:r>
      <w:r>
        <w:rPr>
          <w:rFonts w:hint="eastAsia"/>
          <w:color w:val="auto"/>
          <w:kern w:val="0"/>
          <w:highlight w:val="none"/>
        </w:rPr>
        <w:t>与其他功能建筑合建且为同一结构单元，当</w:t>
      </w:r>
      <w:r>
        <w:rPr>
          <w:rFonts w:hint="eastAsia"/>
          <w:color w:val="auto"/>
          <w:kern w:val="0"/>
          <w:highlight w:val="none"/>
          <w:lang w:eastAsia="zh"/>
        </w:rPr>
        <w:t>老年人照料设施</w:t>
      </w:r>
      <w:r>
        <w:rPr>
          <w:rFonts w:hint="eastAsia"/>
          <w:color w:val="auto"/>
          <w:kern w:val="0"/>
          <w:highlight w:val="none"/>
        </w:rPr>
        <w:t>的建筑面积不超过结构单元建筑面积50%且</w:t>
      </w:r>
      <w:r>
        <w:rPr>
          <w:rFonts w:hint="eastAsia"/>
          <w:color w:val="auto"/>
          <w:kern w:val="0"/>
          <w:highlight w:val="none"/>
          <w:lang w:eastAsia="zh"/>
        </w:rPr>
        <w:t>老年人照料设施</w:t>
      </w:r>
      <w:r>
        <w:rPr>
          <w:rFonts w:hint="eastAsia"/>
          <w:color w:val="auto"/>
          <w:kern w:val="0"/>
          <w:highlight w:val="none"/>
        </w:rPr>
        <w:t>的建筑面积不超过1000平方米时，根据具体情况整个结构单元的抗震设防类别可不低于标准设防类</w:t>
      </w:r>
      <w:r>
        <w:rPr>
          <w:rFonts w:hint="eastAsia" w:ascii="Arial" w:hAnsi="Arial" w:cs="Arial"/>
          <w:color w:val="auto"/>
          <w:szCs w:val="21"/>
          <w:highlight w:val="none"/>
        </w:rPr>
        <w:t>。</w:t>
      </w:r>
    </w:p>
    <w:p w14:paraId="3015D130">
      <w:pPr>
        <w:bidi w:val="0"/>
        <w:rPr>
          <w:rFonts w:hint="eastAsia" w:ascii="Arial" w:hAnsi="Arial" w:cs="Arial"/>
          <w:color w:val="auto"/>
          <w:szCs w:val="21"/>
          <w:highlight w:val="none"/>
        </w:rPr>
      </w:pPr>
    </w:p>
    <w:p w14:paraId="57DF0D7F">
      <w:pPr>
        <w:numPr>
          <w:ilvl w:val="0"/>
          <w:numId w:val="15"/>
        </w:numPr>
        <w:ind w:left="425" w:leftChars="0" w:hanging="425" w:firstLineChars="0"/>
        <w:jc w:val="center"/>
        <w:outlineLvl w:val="0"/>
        <w:rPr>
          <w:rStyle w:val="19"/>
          <w:rFonts w:hint="default" w:ascii="Times New Roman" w:hAnsi="Times New Roman" w:eastAsia="宋体" w:cs="Times New Roman"/>
          <w:color w:val="auto"/>
          <w:highlight w:val="none"/>
          <w:lang w:val="en-US" w:eastAsia="zh-CN"/>
        </w:rPr>
      </w:pPr>
      <w:bookmarkStart w:id="177" w:name="_Toc14825"/>
      <w:bookmarkStart w:id="178" w:name="_Toc12310"/>
      <w:bookmarkStart w:id="179" w:name="_Toc17368"/>
      <w:r>
        <w:rPr>
          <w:rStyle w:val="19"/>
          <w:rFonts w:hint="eastAsia" w:ascii="Times New Roman" w:hAnsi="Times New Roman" w:eastAsia="宋体" w:cs="Times New Roman"/>
          <w:color w:val="auto"/>
          <w:highlight w:val="none"/>
          <w:lang w:val="en-US" w:eastAsia="zh-CN"/>
        </w:rPr>
        <w:t>建筑设备</w:t>
      </w:r>
      <w:bookmarkEnd w:id="177"/>
      <w:bookmarkEnd w:id="178"/>
      <w:bookmarkEnd w:id="179"/>
    </w:p>
    <w:p w14:paraId="5C372381">
      <w:pPr>
        <w:numPr>
          <w:ilvl w:val="0"/>
          <w:numId w:val="0"/>
        </w:numPr>
        <w:rPr>
          <w:rFonts w:hint="default"/>
          <w:color w:val="auto"/>
          <w:highlight w:val="none"/>
          <w:lang w:val="en-US" w:eastAsia="zh-CN"/>
        </w:rPr>
      </w:pPr>
    </w:p>
    <w:p w14:paraId="3033BBD9">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80" w:name="_Toc14321"/>
      <w:bookmarkStart w:id="181" w:name="_Toc14016"/>
      <w:bookmarkStart w:id="182" w:name="_Toc32250"/>
      <w:r>
        <w:rPr>
          <w:rStyle w:val="19"/>
          <w:rFonts w:hint="eastAsia" w:ascii="黑体" w:hAnsi="黑体" w:eastAsia="黑体" w:cs="黑体"/>
          <w:color w:val="auto"/>
          <w:sz w:val="28"/>
          <w:szCs w:val="40"/>
          <w:highlight w:val="none"/>
          <w:lang w:val="en-US" w:eastAsia="zh-CN"/>
        </w:rPr>
        <w:t>7.1 给水排水</w:t>
      </w:r>
      <w:bookmarkEnd w:id="180"/>
      <w:bookmarkEnd w:id="181"/>
    </w:p>
    <w:bookmarkEnd w:id="182"/>
    <w:p w14:paraId="3D06C3CA">
      <w:pPr>
        <w:numPr>
          <w:ilvl w:val="0"/>
          <w:numId w:val="0"/>
        </w:numPr>
        <w:bidi w:val="0"/>
        <w:rPr>
          <w:rFonts w:hint="eastAsia"/>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7.1.1</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用水频率较高，用水点多，</w:t>
      </w:r>
      <w:bookmarkStart w:id="183" w:name="OLE_LINK3"/>
      <w:r>
        <w:rPr>
          <w:rFonts w:hint="eastAsia"/>
          <w:color w:val="auto"/>
          <w:highlight w:val="none"/>
          <w:lang w:val="en-US" w:eastAsia="zh-CN"/>
        </w:rPr>
        <w:t>应配备符合老年人生理和心理特点的给水排水系统和设备</w:t>
      </w:r>
      <w:bookmarkEnd w:id="183"/>
      <w:r>
        <w:rPr>
          <w:rFonts w:hint="eastAsia"/>
          <w:color w:val="auto"/>
          <w:highlight w:val="none"/>
          <w:lang w:val="en-US" w:eastAsia="zh-CN"/>
        </w:rPr>
        <w:t>，以方便</w:t>
      </w:r>
      <w:r>
        <w:rPr>
          <w:rFonts w:hint="default"/>
          <w:color w:val="auto"/>
          <w:highlight w:val="none"/>
          <w:lang w:val="en-US" w:eastAsia="zh-CN"/>
        </w:rPr>
        <w:t>老年人</w:t>
      </w:r>
      <w:r>
        <w:rPr>
          <w:rFonts w:hint="eastAsia"/>
          <w:color w:val="auto"/>
          <w:highlight w:val="none"/>
          <w:lang w:val="en-US" w:eastAsia="zh-CN"/>
        </w:rPr>
        <w:t>使用。</w:t>
      </w:r>
    </w:p>
    <w:p w14:paraId="3A218929">
      <w:pPr>
        <w:numPr>
          <w:ilvl w:val="0"/>
          <w:numId w:val="0"/>
        </w:numPr>
        <w:bidi w:val="0"/>
        <w:rPr>
          <w:rFonts w:hint="eastAsia"/>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7.1.2</w:t>
      </w:r>
      <w:r>
        <w:rPr>
          <w:rFonts w:hint="eastAsia"/>
          <w:color w:val="auto"/>
          <w:highlight w:val="none"/>
          <w:lang w:val="en-US" w:eastAsia="zh-CN"/>
        </w:rPr>
        <w:t xml:space="preserve"> </w:t>
      </w:r>
      <w:bookmarkStart w:id="184" w:name="_Toc25568"/>
      <w:bookmarkStart w:id="185" w:name="_Toc18963"/>
      <w:bookmarkStart w:id="186" w:name="_Toc11051"/>
      <w:r>
        <w:rPr>
          <w:rFonts w:hint="eastAsia"/>
          <w:color w:val="auto"/>
          <w:highlight w:val="none"/>
          <w:lang w:val="en-US" w:eastAsia="zh-CN"/>
        </w:rPr>
        <w:t>根据</w:t>
      </w:r>
      <w:r>
        <w:rPr>
          <w:rFonts w:hint="eastAsia"/>
          <w:color w:val="auto"/>
          <w:highlight w:val="none"/>
          <w:lang w:val="en-US" w:eastAsia="zh"/>
        </w:rPr>
        <w:t>老年人照料设施</w:t>
      </w:r>
      <w:r>
        <w:rPr>
          <w:rFonts w:hint="eastAsia"/>
          <w:color w:val="auto"/>
          <w:highlight w:val="none"/>
          <w:lang w:val="en-US" w:eastAsia="zh-CN"/>
        </w:rPr>
        <w:t>用水频率较高，用水点多的特点，本条文用水标准参照《建筑给水排水设计标准》中养老院、托老所用水定额，以及上海市</w:t>
      </w:r>
      <w:bookmarkStart w:id="187" w:name="OLE_LINK1"/>
      <w:r>
        <w:rPr>
          <w:rFonts w:hint="eastAsia"/>
          <w:color w:val="auto"/>
          <w:highlight w:val="none"/>
          <w:lang w:val="en-US" w:eastAsia="zh-CN"/>
        </w:rPr>
        <w:t>《</w:t>
      </w:r>
      <w:r>
        <w:rPr>
          <w:rFonts w:hint="eastAsia"/>
          <w:color w:val="auto"/>
          <w:highlight w:val="none"/>
          <w:lang w:val="en-US" w:eastAsia="zh"/>
        </w:rPr>
        <w:t>老年人照料设施</w:t>
      </w:r>
      <w:r>
        <w:rPr>
          <w:rFonts w:hint="eastAsia"/>
          <w:color w:val="auto"/>
          <w:highlight w:val="none"/>
          <w:lang w:val="en-US" w:eastAsia="zh-CN"/>
        </w:rPr>
        <w:t>建筑设计标准》</w:t>
      </w:r>
      <w:bookmarkEnd w:id="187"/>
      <w:r>
        <w:rPr>
          <w:rFonts w:hint="eastAsia"/>
          <w:color w:val="auto"/>
          <w:highlight w:val="none"/>
          <w:lang w:val="en-US" w:eastAsia="zh-CN"/>
        </w:rPr>
        <w:t>用水定额</w:t>
      </w:r>
      <w:r>
        <w:rPr>
          <w:rFonts w:hint="default"/>
          <w:color w:val="auto"/>
          <w:highlight w:val="none"/>
          <w:lang w:val="en-US" w:eastAsia="zh-CN"/>
        </w:rPr>
        <w:t>及小时变化系数</w:t>
      </w:r>
      <w:r>
        <w:rPr>
          <w:rFonts w:hint="eastAsia"/>
          <w:color w:val="auto"/>
          <w:highlight w:val="none"/>
          <w:lang w:val="en-US" w:eastAsia="zh-CN"/>
        </w:rPr>
        <w:t>，提出四川省</w:t>
      </w:r>
      <w:r>
        <w:rPr>
          <w:rFonts w:hint="eastAsia"/>
          <w:color w:val="auto"/>
          <w:highlight w:val="none"/>
          <w:lang w:val="en-US" w:eastAsia="zh"/>
        </w:rPr>
        <w:t>老年人照料设施</w:t>
      </w:r>
      <w:r>
        <w:rPr>
          <w:rFonts w:hint="default"/>
          <w:color w:val="auto"/>
          <w:highlight w:val="none"/>
          <w:lang w:val="en-US" w:eastAsia="zh-CN"/>
        </w:rPr>
        <w:t>用水</w:t>
      </w:r>
      <w:r>
        <w:rPr>
          <w:rFonts w:hint="eastAsia"/>
          <w:color w:val="auto"/>
          <w:highlight w:val="none"/>
          <w:lang w:val="en-US" w:eastAsia="zh-CN"/>
        </w:rPr>
        <w:t>定额</w:t>
      </w:r>
      <w:r>
        <w:rPr>
          <w:rFonts w:hint="default"/>
          <w:color w:val="auto"/>
          <w:highlight w:val="none"/>
          <w:lang w:val="en-US" w:eastAsia="zh-CN"/>
        </w:rPr>
        <w:t>及小时变化系数</w:t>
      </w:r>
      <w:r>
        <w:rPr>
          <w:rFonts w:hint="eastAsia"/>
          <w:color w:val="auto"/>
          <w:highlight w:val="none"/>
          <w:lang w:val="en-US" w:eastAsia="zh-CN"/>
        </w:rPr>
        <w:t>。</w:t>
      </w:r>
    </w:p>
    <w:p w14:paraId="686389A3">
      <w:pPr>
        <w:numPr>
          <w:ilvl w:val="0"/>
          <w:numId w:val="0"/>
        </w:numPr>
        <w:bidi w:val="0"/>
        <w:rPr>
          <w:rFonts w:hint="default"/>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7.1.3</w:t>
      </w:r>
      <w:r>
        <w:rPr>
          <w:rFonts w:hint="eastAsia"/>
          <w:color w:val="auto"/>
          <w:highlight w:val="none"/>
          <w:lang w:val="en-US" w:eastAsia="zh-CN"/>
        </w:rPr>
        <w:t xml:space="preserve"> 在寒冷、严寒、夏热冬冷地区的</w:t>
      </w:r>
      <w:r>
        <w:rPr>
          <w:rFonts w:hint="eastAsia"/>
          <w:color w:val="auto"/>
          <w:highlight w:val="none"/>
          <w:lang w:val="en-US" w:eastAsia="zh"/>
        </w:rPr>
        <w:t>老年人照料设施</w:t>
      </w:r>
      <w:r>
        <w:rPr>
          <w:rFonts w:hint="eastAsia"/>
          <w:color w:val="auto"/>
          <w:highlight w:val="none"/>
          <w:lang w:val="en-US" w:eastAsia="zh-CN"/>
        </w:rPr>
        <w:t>，由于气候因素应全面供应热水，其余气候区淋浴器、浴盆应供应热水，洗手盆等宜设置热水供应。</w:t>
      </w:r>
    </w:p>
    <w:p w14:paraId="0C3E0240">
      <w:pPr>
        <w:numPr>
          <w:ilvl w:val="0"/>
          <w:numId w:val="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为了方便老年人使用，床位数达到一定规模的养老院宜采用集中热水供应系统，并采取保障老年人使用热水安全和操作简便的措施，如：降低集中热水系统的供水温度、用水点前端配置防烫伤恒温混水阀、单管供应热水等。对于用水点分散或有独立管理要求的建筑，可设置分散的热水供应系统，并单独设置水表计量。</w:t>
      </w:r>
    </w:p>
    <w:p w14:paraId="5249E65A">
      <w:pPr>
        <w:numPr>
          <w:ilvl w:val="0"/>
          <w:numId w:val="0"/>
        </w:numPr>
        <w:bidi w:val="0"/>
        <w:ind w:left="0" w:leftChars="0" w:firstLine="420" w:firstLineChars="200"/>
        <w:rPr>
          <w:rFonts w:hint="eastAsia"/>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热水用水点较多，为了控制热水循环效果，避免打开水龙头要放数十秒或更长时间的冷水才出热水，浪费水资源，参照《建筑给水排水与节水通用规范》GB 55020的要求：热水系统用水点出水温度不低于46℃的放水时间，不应大于</w:t>
      </w:r>
      <w:r>
        <w:rPr>
          <w:rFonts w:hint="default"/>
          <w:color w:val="auto"/>
          <w:highlight w:val="none"/>
          <w:lang w:val="en-US" w:eastAsia="zh-CN"/>
        </w:rPr>
        <w:t>1</w:t>
      </w:r>
      <w:r>
        <w:rPr>
          <w:rFonts w:hint="eastAsia"/>
          <w:color w:val="auto"/>
          <w:highlight w:val="none"/>
          <w:lang w:val="en-US" w:eastAsia="zh-CN"/>
        </w:rPr>
        <w:t>0</w:t>
      </w:r>
      <w:r>
        <w:rPr>
          <w:rFonts w:hint="default"/>
          <w:color w:val="auto"/>
          <w:highlight w:val="none"/>
          <w:lang w:val="en-US" w:eastAsia="zh-CN"/>
        </w:rPr>
        <w:t>s</w:t>
      </w:r>
      <w:r>
        <w:rPr>
          <w:rFonts w:hint="eastAsia"/>
          <w:color w:val="auto"/>
          <w:highlight w:val="none"/>
          <w:lang w:val="en-US" w:eastAsia="zh-CN"/>
        </w:rPr>
        <w:t>。</w:t>
      </w:r>
    </w:p>
    <w:p w14:paraId="7C0C841C">
      <w:pPr>
        <w:numPr>
          <w:ilvl w:val="0"/>
          <w:numId w:val="0"/>
        </w:numPr>
        <w:bidi w:val="0"/>
        <w:rPr>
          <w:rFonts w:hint="default"/>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7.1.4</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应选用符合老年人的生理特点和心理特征、使用方便的卫生器具。</w:t>
      </w:r>
    </w:p>
    <w:p w14:paraId="14769E3C">
      <w:pPr>
        <w:numPr>
          <w:ilvl w:val="0"/>
          <w:numId w:val="0"/>
        </w:numPr>
        <w:bidi w:val="0"/>
        <w:ind w:left="0" w:leftChars="0" w:firstLine="420" w:firstLineChars="200"/>
        <w:rPr>
          <w:rFonts w:hint="default"/>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用水频率较高，用水点多、用水量较大，节水潜力较大，应按《节水型生活用水器具》</w:t>
      </w:r>
      <w:r>
        <w:rPr>
          <w:rFonts w:hint="default"/>
          <w:color w:val="auto"/>
          <w:highlight w:val="none"/>
          <w:lang w:val="en-US" w:eastAsia="zh-CN"/>
        </w:rPr>
        <w:t xml:space="preserve">CJ </w:t>
      </w:r>
      <w:r>
        <w:rPr>
          <w:rFonts w:hint="eastAsia"/>
          <w:color w:val="auto"/>
          <w:highlight w:val="none"/>
          <w:lang w:val="en-US" w:eastAsia="zh-CN"/>
        </w:rPr>
        <w:t xml:space="preserve">/T </w:t>
      </w:r>
      <w:r>
        <w:rPr>
          <w:rFonts w:hint="default"/>
          <w:color w:val="auto"/>
          <w:highlight w:val="none"/>
          <w:lang w:val="en-US" w:eastAsia="zh-CN"/>
        </w:rPr>
        <w:t>164</w:t>
      </w:r>
      <w:r>
        <w:rPr>
          <w:rFonts w:hint="eastAsia"/>
          <w:color w:val="auto"/>
          <w:highlight w:val="none"/>
          <w:lang w:val="en-US" w:eastAsia="zh-CN"/>
        </w:rPr>
        <w:t>的要求，选用节水型卫生器具。</w:t>
      </w:r>
    </w:p>
    <w:p w14:paraId="606FD68E">
      <w:pPr>
        <w:numPr>
          <w:ilvl w:val="0"/>
          <w:numId w:val="0"/>
        </w:numPr>
        <w:bidi w:val="0"/>
        <w:ind w:left="0" w:leftChars="0" w:firstLine="420" w:firstLineChars="200"/>
        <w:rPr>
          <w:rFonts w:hint="default"/>
          <w:color w:val="auto"/>
          <w:highlight w:val="none"/>
          <w:lang w:val="en-US" w:eastAsia="zh-CN"/>
        </w:rPr>
      </w:pPr>
      <w:r>
        <w:rPr>
          <w:rFonts w:hint="eastAsia"/>
          <w:color w:val="auto"/>
          <w:highlight w:val="none"/>
          <w:lang w:val="en-US" w:eastAsia="zh-CN"/>
        </w:rPr>
        <w:t>由于老年人行动不便、记忆力衰退，在公用卫生间中往往精神紧张，手忙脚乱。因此，公共卫生间的水龙头和便器等宜采用触摸式或感应式等自动化程度较高、操作方便的形式，以减少负担。</w:t>
      </w:r>
      <w:r>
        <w:rPr>
          <w:rFonts w:hint="default"/>
          <w:color w:val="auto"/>
          <w:highlight w:val="none"/>
          <w:lang w:val="en-US" w:eastAsia="zh-CN"/>
        </w:rPr>
        <w:t>自理能力差、操作困难的老人居住用房</w:t>
      </w:r>
      <w:r>
        <w:rPr>
          <w:rFonts w:hint="eastAsia"/>
          <w:color w:val="auto"/>
          <w:highlight w:val="none"/>
          <w:lang w:val="en-US" w:eastAsia="zh-CN"/>
        </w:rPr>
        <w:t>，宜配置便于老年人使用的</w:t>
      </w:r>
      <w:r>
        <w:rPr>
          <w:rFonts w:hint="default"/>
          <w:color w:val="auto"/>
          <w:highlight w:val="none"/>
          <w:lang w:val="en-US" w:eastAsia="zh-CN"/>
        </w:rPr>
        <w:t>坐便器</w:t>
      </w:r>
      <w:r>
        <w:rPr>
          <w:rFonts w:hint="eastAsia"/>
          <w:color w:val="auto"/>
          <w:highlight w:val="none"/>
          <w:lang w:val="en-US" w:eastAsia="zh-CN"/>
        </w:rPr>
        <w:t>。</w:t>
      </w:r>
    </w:p>
    <w:p w14:paraId="71ABC64F">
      <w:pPr>
        <w:numPr>
          <w:ilvl w:val="0"/>
          <w:numId w:val="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为了符合无障碍要求，方便轮椅进出，</w:t>
      </w:r>
      <w:r>
        <w:rPr>
          <w:rFonts w:hint="eastAsia"/>
          <w:color w:val="auto"/>
          <w:highlight w:val="none"/>
          <w:lang w:val="en-US" w:eastAsia="zh"/>
        </w:rPr>
        <w:t>老年人照料设施</w:t>
      </w:r>
      <w:r>
        <w:rPr>
          <w:rFonts w:hint="eastAsia"/>
          <w:color w:val="auto"/>
          <w:highlight w:val="none"/>
          <w:lang w:val="en-US" w:eastAsia="zh-CN"/>
        </w:rPr>
        <w:t>内的卫生间、淋浴间和浴室等场所，可选用悬挂式洁具；给排水管道设置不影响轮椅使用。</w:t>
      </w:r>
    </w:p>
    <w:p w14:paraId="304EBBB6">
      <w:pPr>
        <w:numPr>
          <w:ilvl w:val="0"/>
          <w:numId w:val="0"/>
        </w:numPr>
        <w:bidi w:val="0"/>
        <w:rPr>
          <w:rFonts w:hint="default"/>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7.1.5</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应尽量减少噪声和振动，创造于适合老年人生活的安静环境。</w:t>
      </w:r>
    </w:p>
    <w:p w14:paraId="46A3F681">
      <w:pPr>
        <w:numPr>
          <w:ilvl w:val="0"/>
          <w:numId w:val="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世界卫生组织(WHO)研究了接触噪声的极限，比如心血管病的极限，是在夜晚接受50dB(A)的噪声；而睡眠障碍的极限低值，是42dB(A)；更低的是一般干扰，只有35dB(A)。 老年人大多患有心脏病、高血压、抑郁症、神经衰弱等疾病，对声音很敏感、尤其是65dB(A)以上的突发噪声，将严重影响患者的康复，甚至导致病情加重。因此，需要选用流速小、流量控制方便的节水型、低噪声的卫生器具和给排水配件、管材。</w:t>
      </w:r>
    </w:p>
    <w:p w14:paraId="19FA8493">
      <w:pPr>
        <w:numPr>
          <w:ilvl w:val="0"/>
          <w:numId w:val="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合理控制供水管道的压力和流速，不仅可减少管道振动和噪声对对环境的影响，还可节约用水、防冲溅、防止惊吓老年人。参照《民用建筑节水设计标准》GB50555的要求，养老院用水点处的供水压力不应大于0.20MPa。</w:t>
      </w:r>
    </w:p>
    <w:p w14:paraId="2402F698">
      <w:pPr>
        <w:numPr>
          <w:ilvl w:val="0"/>
          <w:numId w:val="0"/>
        </w:numPr>
        <w:bidi w:val="0"/>
        <w:ind w:left="0" w:leftChars="0" w:firstLine="420" w:firstLineChars="200"/>
        <w:rPr>
          <w:rFonts w:hint="default"/>
          <w:color w:val="auto"/>
          <w:highlight w:val="none"/>
          <w:lang w:val="en-US" w:eastAsia="zh-CN"/>
        </w:rPr>
      </w:pPr>
      <w:r>
        <w:rPr>
          <w:rFonts w:hint="eastAsia"/>
          <w:color w:val="auto"/>
          <w:highlight w:val="none"/>
          <w:lang w:val="en-US" w:eastAsia="zh"/>
        </w:rPr>
        <w:t>老年人照料设施</w:t>
      </w:r>
      <w:r>
        <w:rPr>
          <w:rFonts w:hint="eastAsia"/>
          <w:color w:val="auto"/>
          <w:highlight w:val="none"/>
          <w:lang w:val="en-US" w:eastAsia="zh-CN"/>
        </w:rPr>
        <w:t>生活排水管材宜选用机制铸铁排水管、HDPE管等低噪声排水管材。排水立管不得穿越老年居住用房，排水系统还可采用同层排水系统等防噪措施。</w:t>
      </w:r>
    </w:p>
    <w:p w14:paraId="2FA3745F">
      <w:pPr>
        <w:numPr>
          <w:ilvl w:val="0"/>
          <w:numId w:val="0"/>
        </w:numPr>
        <w:bidi w:val="0"/>
        <w:rPr>
          <w:rFonts w:hint="eastAsia"/>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7.1.6</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按用途和计费单元分别设置水表计量，便于科学管理，节约用水。</w:t>
      </w:r>
    </w:p>
    <w:p w14:paraId="4CDB2ABC">
      <w:pPr>
        <w:numPr>
          <w:ilvl w:val="0"/>
          <w:numId w:val="0"/>
        </w:numPr>
        <w:bidi w:val="0"/>
        <w:rPr>
          <w:rFonts w:hint="eastAsia"/>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7.1.7</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设有</w:t>
      </w:r>
      <w:r>
        <w:rPr>
          <w:rFonts w:hint="default"/>
          <w:color w:val="auto"/>
          <w:highlight w:val="none"/>
          <w:lang w:val="en-US" w:eastAsia="zh-CN"/>
        </w:rPr>
        <w:t>洗面盆、浴盆和洗衣机</w:t>
      </w:r>
      <w:r>
        <w:rPr>
          <w:rFonts w:hint="eastAsia"/>
          <w:color w:val="auto"/>
          <w:highlight w:val="none"/>
          <w:lang w:val="en-US" w:eastAsia="zh-CN"/>
        </w:rPr>
        <w:t>等洗涤设施</w:t>
      </w:r>
      <w:r>
        <w:rPr>
          <w:rFonts w:hint="default"/>
          <w:color w:val="auto"/>
          <w:highlight w:val="none"/>
          <w:lang w:val="en-US" w:eastAsia="zh-CN"/>
        </w:rPr>
        <w:t>时，宜</w:t>
      </w:r>
      <w:r>
        <w:rPr>
          <w:rFonts w:hint="eastAsia"/>
          <w:color w:val="auto"/>
          <w:highlight w:val="none"/>
          <w:lang w:val="en-US" w:eastAsia="zh-CN"/>
        </w:rPr>
        <w:t>就近利用洗涤废水向地漏处的水封补水，防止水封干涸，影响室内空气质量。</w:t>
      </w:r>
    </w:p>
    <w:p w14:paraId="2BB89833">
      <w:pPr>
        <w:numPr>
          <w:ilvl w:val="0"/>
          <w:numId w:val="0"/>
        </w:numPr>
        <w:bidi w:val="0"/>
        <w:rPr>
          <w:rFonts w:hint="eastAsia"/>
          <w:color w:val="auto"/>
          <w:highlight w:val="none"/>
          <w:lang w:val="en-US" w:eastAsia="zh-CN"/>
        </w:rPr>
      </w:pPr>
      <w:r>
        <w:rPr>
          <w:rFonts w:hint="eastAsia" w:ascii="Times New Roman" w:hAnsi="Times New Roman" w:cs="Times New Roman"/>
          <w:b/>
          <w:bCs/>
          <w:color w:val="auto"/>
          <w:kern w:val="0"/>
          <w:sz w:val="20"/>
          <w:szCs w:val="20"/>
          <w:highlight w:val="none"/>
          <w:lang w:val="en-US" w:eastAsia="zh-CN"/>
          <w:woUserID w:val="9"/>
        </w:rPr>
        <w:t>7.1.</w:t>
      </w:r>
      <w:r>
        <w:rPr>
          <w:rFonts w:hint="eastAsia" w:ascii="Times New Roman" w:hAnsi="Times New Roman" w:cs="Times New Roman"/>
          <w:b/>
          <w:bCs/>
          <w:color w:val="auto"/>
          <w:kern w:val="0"/>
          <w:sz w:val="20"/>
          <w:szCs w:val="20"/>
          <w:highlight w:val="none"/>
          <w:lang w:val="en-US" w:eastAsia="zh"/>
          <w:woUserID w:val="9"/>
        </w:rPr>
        <w:t>8</w:t>
      </w:r>
      <w:r>
        <w:rPr>
          <w:rFonts w:hint="eastAsia"/>
          <w:color w:val="auto"/>
          <w:highlight w:val="none"/>
          <w:lang w:val="en-US" w:eastAsia="zh-CN"/>
          <w:woUserID w:val="9"/>
        </w:rPr>
        <w:t xml:space="preserve"> </w:t>
      </w:r>
      <w:r>
        <w:rPr>
          <w:rFonts w:hint="eastAsia"/>
          <w:color w:val="auto"/>
          <w:highlight w:val="none"/>
          <w:lang w:val="en-US" w:eastAsia="zh"/>
          <w:woUserID w:val="9"/>
        </w:rPr>
        <w:t>老年人居室卫生间内</w:t>
      </w:r>
      <w:r>
        <w:rPr>
          <w:rFonts w:hint="eastAsia" w:asciiTheme="minorHAnsi" w:hAnsiTheme="minorHAnsi" w:eastAsiaTheme="minorEastAsia" w:cstheme="minorBidi"/>
          <w:b w:val="0"/>
          <w:bCs w:val="0"/>
          <w:color w:val="auto"/>
          <w:kern w:val="2"/>
          <w:sz w:val="21"/>
          <w:szCs w:val="24"/>
          <w:highlight w:val="none"/>
          <w:lang w:val="en-US" w:eastAsia="zh-CN" w:bidi="ar"/>
          <w:woUserID w:val="0"/>
        </w:rPr>
        <w:t>截水</w:t>
      </w:r>
      <w:r>
        <w:rPr>
          <w:rFonts w:hint="eastAsia" w:cstheme="minorBidi"/>
          <w:b w:val="0"/>
          <w:bCs w:val="0"/>
          <w:color w:val="auto"/>
          <w:kern w:val="2"/>
          <w:sz w:val="21"/>
          <w:szCs w:val="24"/>
          <w:highlight w:val="none"/>
          <w:lang w:val="en-US" w:eastAsia="zh" w:bidi="ar"/>
          <w:woUserID w:val="9"/>
        </w:rPr>
        <w:t>用</w:t>
      </w:r>
      <w:r>
        <w:rPr>
          <w:rFonts w:hint="eastAsia" w:asciiTheme="minorHAnsi" w:hAnsiTheme="minorHAnsi" w:eastAsiaTheme="minorEastAsia" w:cstheme="minorBidi"/>
          <w:b w:val="0"/>
          <w:bCs w:val="0"/>
          <w:color w:val="auto"/>
          <w:kern w:val="2"/>
          <w:sz w:val="21"/>
          <w:szCs w:val="24"/>
          <w:highlight w:val="none"/>
          <w:lang w:val="en-US" w:eastAsia="zh-CN" w:bidi="ar"/>
          <w:woUserID w:val="0"/>
        </w:rPr>
        <w:t>条形地漏与地面平齐，不影响腿脚不便人员和轮椅通行。地漏附近易积水，容易使老年人滑倒，因此地漏应靠近边角部位设置。</w:t>
      </w:r>
    </w:p>
    <w:p w14:paraId="46145A4F">
      <w:pPr>
        <w:numPr>
          <w:ilvl w:val="0"/>
          <w:numId w:val="0"/>
        </w:numPr>
        <w:bidi w:val="0"/>
        <w:rPr>
          <w:rFonts w:hint="eastAsia"/>
          <w:color w:val="auto"/>
          <w:highlight w:val="none"/>
          <w:lang w:val="en-US" w:eastAsia="zh-CN"/>
        </w:rPr>
      </w:pPr>
      <w:r>
        <w:rPr>
          <w:rFonts w:hint="eastAsia" w:ascii="Times New Roman" w:hAnsi="Times New Roman" w:cs="Times New Roman"/>
          <w:b/>
          <w:bCs/>
          <w:color w:val="auto"/>
          <w:kern w:val="0"/>
          <w:sz w:val="20"/>
          <w:szCs w:val="20"/>
          <w:highlight w:val="none"/>
          <w:lang w:val="en-US" w:eastAsia="zh-CN"/>
        </w:rPr>
        <w:t>7.1.</w:t>
      </w:r>
      <w:r>
        <w:rPr>
          <w:rFonts w:hint="eastAsia" w:ascii="Times New Roman" w:hAnsi="Times New Roman" w:cs="Times New Roman"/>
          <w:b/>
          <w:bCs/>
          <w:color w:val="auto"/>
          <w:kern w:val="0"/>
          <w:sz w:val="20"/>
          <w:szCs w:val="20"/>
          <w:highlight w:val="none"/>
          <w:lang w:val="en-US" w:eastAsia="zh"/>
          <w:woUserID w:val="9"/>
        </w:rPr>
        <w:t>9</w:t>
      </w:r>
      <w:r>
        <w:rPr>
          <w:rFonts w:hint="eastAsia"/>
          <w:color w:val="auto"/>
          <w:highlight w:val="none"/>
          <w:lang w:val="en-US" w:eastAsia="zh-CN"/>
        </w:rPr>
        <w:t xml:space="preserve"> </w:t>
      </w:r>
      <w:r>
        <w:rPr>
          <w:rFonts w:hint="eastAsia"/>
          <w:color w:val="auto"/>
          <w:highlight w:val="none"/>
          <w:lang w:val="en-US" w:eastAsia="zh"/>
        </w:rPr>
        <w:t>老年人照料设施</w:t>
      </w:r>
      <w:r>
        <w:rPr>
          <w:rFonts w:hint="eastAsia"/>
          <w:color w:val="auto"/>
          <w:highlight w:val="none"/>
          <w:lang w:val="en-US" w:eastAsia="zh-CN"/>
        </w:rPr>
        <w:t>按其建设规模，必须配备一定的附属医疗设施，主要包括：</w:t>
      </w:r>
      <w:r>
        <w:rPr>
          <w:rFonts w:hint="default"/>
          <w:color w:val="auto"/>
          <w:highlight w:val="none"/>
          <w:lang w:val="en-US" w:eastAsia="zh-CN"/>
        </w:rPr>
        <w:t>医务室、观察室、治疗室、检验室、药械室、处置室</w:t>
      </w:r>
      <w:r>
        <w:rPr>
          <w:rFonts w:hint="eastAsia"/>
          <w:color w:val="auto"/>
          <w:highlight w:val="none"/>
          <w:lang w:val="en-US" w:eastAsia="zh-CN"/>
        </w:rPr>
        <w:t>等；应按</w:t>
      </w:r>
      <w:r>
        <w:rPr>
          <w:rFonts w:hint="default"/>
          <w:color w:val="auto"/>
          <w:highlight w:val="none"/>
          <w:lang w:val="en-US" w:eastAsia="zh-CN"/>
        </w:rPr>
        <w:t>《综合医院建筑设计规范》JGJ 49</w:t>
      </w:r>
      <w:r>
        <w:rPr>
          <w:rFonts w:hint="eastAsia"/>
          <w:color w:val="auto"/>
          <w:highlight w:val="none"/>
          <w:lang w:val="en-US" w:eastAsia="zh-CN"/>
        </w:rPr>
        <w:t>的要求配置给水排水设施；同时医疗区的污、废水应按《医疗机构水污染物排放标准》GB 18466的相关要求，经处理后达标排放。</w:t>
      </w:r>
    </w:p>
    <w:p w14:paraId="27C983A0">
      <w:pPr>
        <w:numPr>
          <w:ilvl w:val="0"/>
          <w:numId w:val="0"/>
        </w:numPr>
        <w:bidi w:val="0"/>
        <w:rPr>
          <w:rFonts w:hint="eastAsia" w:eastAsiaTheme="minorEastAsia"/>
          <w:color w:val="auto"/>
          <w:highlight w:val="none"/>
          <w:lang w:val="en-US" w:eastAsia="zh"/>
          <w:woUserID w:val="9"/>
        </w:rPr>
      </w:pPr>
      <w:r>
        <w:rPr>
          <w:rFonts w:hint="eastAsia"/>
          <w:color w:val="auto"/>
          <w:highlight w:val="none"/>
          <w:lang w:val="en-US" w:eastAsia="zh"/>
          <w:woUserID w:val="9"/>
        </w:rPr>
        <w:t>7.1.10 消防设施箱体暗装，既避免老年人行走时发生碰撞，又史的室内整洁美观。有条件时，消火栓系统管道也应暗装设置。单独配置的手提式灭火器，应设置在器具箱内并放置在明显且不妨碍通行处。</w:t>
      </w:r>
    </w:p>
    <w:p w14:paraId="1F2141FA">
      <w:pPr>
        <w:numPr>
          <w:ilvl w:val="0"/>
          <w:numId w:val="0"/>
        </w:numPr>
        <w:jc w:val="center"/>
        <w:outlineLvl w:val="1"/>
        <w:rPr>
          <w:rStyle w:val="19"/>
          <w:rFonts w:hint="eastAsia" w:ascii="黑体" w:hAnsi="黑体" w:eastAsia="黑体" w:cs="黑体"/>
          <w:color w:val="auto"/>
          <w:sz w:val="28"/>
          <w:szCs w:val="40"/>
          <w:highlight w:val="none"/>
          <w:lang w:val="en-US" w:eastAsia="zh-CN"/>
        </w:rPr>
      </w:pPr>
      <w:r>
        <w:rPr>
          <w:rStyle w:val="19"/>
          <w:rFonts w:hint="eastAsia" w:ascii="黑体" w:hAnsi="黑体" w:eastAsia="黑体" w:cs="黑体"/>
          <w:color w:val="auto"/>
          <w:sz w:val="28"/>
          <w:szCs w:val="40"/>
          <w:highlight w:val="none"/>
          <w:lang w:val="en-US" w:eastAsia="zh-CN"/>
        </w:rPr>
        <w:t>7.2 暖通空调</w:t>
      </w:r>
      <w:bookmarkEnd w:id="184"/>
      <w:bookmarkEnd w:id="185"/>
    </w:p>
    <w:bookmarkEnd w:id="186"/>
    <w:p w14:paraId="5E45C14D">
      <w:pPr>
        <w:bidi w:val="0"/>
        <w:rPr>
          <w:rFonts w:hint="eastAsia"/>
          <w:color w:val="auto"/>
          <w:kern w:val="0"/>
          <w:highlight w:val="none"/>
        </w:rPr>
      </w:pPr>
      <w:r>
        <w:rPr>
          <w:rFonts w:hint="eastAsia" w:ascii="Times New Roman" w:hAnsi="Times New Roman" w:cs="Times New Roman"/>
          <w:b/>
          <w:bCs/>
          <w:color w:val="auto"/>
          <w:kern w:val="0"/>
          <w:sz w:val="20"/>
          <w:szCs w:val="20"/>
          <w:highlight w:val="none"/>
        </w:rPr>
        <w:t>7.2.1</w:t>
      </w:r>
      <w:r>
        <w:rPr>
          <w:rFonts w:hint="eastAsia"/>
          <w:color w:val="auto"/>
          <w:kern w:val="0"/>
          <w:highlight w:val="none"/>
          <w:lang w:eastAsia="zh"/>
        </w:rPr>
        <w:t>老年人照料设施</w:t>
      </w:r>
      <w:r>
        <w:rPr>
          <w:rFonts w:hint="eastAsia"/>
          <w:color w:val="auto"/>
          <w:kern w:val="0"/>
          <w:highlight w:val="none"/>
        </w:rPr>
        <w:t>设置供暖设施，方可保证老年人生活环境基本舒适要求。设计可结合各地经济水平及资源情况，灵活采取集中供暖、分散供暖、分体空调以及取暖器等方式供暖。</w:t>
      </w:r>
    </w:p>
    <w:p w14:paraId="28EA66CA">
      <w:pPr>
        <w:bidi w:val="0"/>
        <w:rPr>
          <w:rFonts w:hint="eastAsia"/>
          <w:color w:val="auto"/>
          <w:kern w:val="0"/>
          <w:highlight w:val="none"/>
        </w:rPr>
      </w:pPr>
      <w:r>
        <w:rPr>
          <w:rFonts w:hint="eastAsia" w:ascii="Times New Roman" w:hAnsi="Times New Roman" w:cs="Times New Roman"/>
          <w:b/>
          <w:bCs/>
          <w:color w:val="auto"/>
          <w:kern w:val="0"/>
          <w:sz w:val="20"/>
          <w:szCs w:val="20"/>
          <w:highlight w:val="none"/>
        </w:rPr>
        <w:t>7.2.2</w:t>
      </w:r>
      <w:r>
        <w:rPr>
          <w:rFonts w:hint="eastAsia"/>
          <w:color w:val="auto"/>
          <w:kern w:val="0"/>
          <w:highlight w:val="none"/>
        </w:rPr>
        <w:t>由于身体素质和生活习性不同，老年人对环境温度要求有别于普通人群：在同样的舒适度情况下，冬季温度要求高于普通人群。本条文对具体房间的供暖室内设计温度做了规定，其中带沐浴功能的自用卫生间、公用沐浴间、老年人专用浴室等均应按照含沐浴的用房执行；走道、楼梯、阳光厅的室内供暖计算温度可以按照18℃计算；考虑到老年人经常理发的需要，生活服务用房中的理发室可按20℃计算。</w:t>
      </w:r>
    </w:p>
    <w:p w14:paraId="31CA3BFF">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 xml:space="preserve">7.2.4 </w:t>
      </w:r>
      <w:r>
        <w:rPr>
          <w:rFonts w:hint="eastAsia"/>
          <w:color w:val="auto"/>
          <w:kern w:val="0"/>
          <w:highlight w:val="none"/>
        </w:rPr>
        <w:t>室温调控是节能的必要手段，供暖系统末端设备具备室温调控功能，一方面可以实现节能目的，另一方面还可以满足使用者不同的舒适性需求。</w:t>
      </w:r>
    </w:p>
    <w:p w14:paraId="06DBDB86">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 xml:space="preserve">7.2.5 </w:t>
      </w:r>
      <w:r>
        <w:rPr>
          <w:rFonts w:hint="eastAsia"/>
          <w:color w:val="auto"/>
          <w:kern w:val="0"/>
          <w:highlight w:val="none"/>
        </w:rPr>
        <w:t>为保护老年人的安全健康，采用散热器采暖时应采取必要的措施避免烫伤和碰伤。</w:t>
      </w:r>
    </w:p>
    <w:p w14:paraId="4BBE59A6">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 xml:space="preserve">7.2.6 </w:t>
      </w:r>
      <w:r>
        <w:rPr>
          <w:rFonts w:hint="eastAsia"/>
          <w:color w:val="auto"/>
          <w:kern w:val="0"/>
          <w:highlight w:val="none"/>
        </w:rPr>
        <w:t>为提高夏季的室内舒适性，在夏热冬冷、温和地区的</w:t>
      </w:r>
      <w:r>
        <w:rPr>
          <w:rFonts w:hint="eastAsia"/>
          <w:color w:val="auto"/>
          <w:kern w:val="0"/>
          <w:highlight w:val="none"/>
          <w:lang w:eastAsia="zh"/>
        </w:rPr>
        <w:t>老年人照料设施</w:t>
      </w:r>
      <w:r>
        <w:rPr>
          <w:rFonts w:hint="eastAsia"/>
          <w:color w:val="auto"/>
          <w:kern w:val="0"/>
          <w:highlight w:val="none"/>
        </w:rPr>
        <w:t>应设置降温设施，设计可结合各地经济条件及资源情况，采用分体空调、集中空调等多种形式。</w:t>
      </w:r>
    </w:p>
    <w:p w14:paraId="2A2CC41F">
      <w:pPr>
        <w:bidi w:val="0"/>
        <w:rPr>
          <w:rFonts w:hint="eastAsia"/>
          <w:color w:val="auto"/>
          <w:kern w:val="0"/>
          <w:highlight w:val="none"/>
        </w:rPr>
      </w:pPr>
      <w:r>
        <w:rPr>
          <w:rFonts w:hint="eastAsia" w:ascii="Times New Roman" w:hAnsi="Times New Roman" w:cs="Times New Roman"/>
          <w:b/>
          <w:bCs/>
          <w:color w:val="auto"/>
          <w:kern w:val="0"/>
          <w:sz w:val="20"/>
          <w:szCs w:val="20"/>
          <w:highlight w:val="none"/>
        </w:rPr>
        <w:t>7.2.7</w:t>
      </w:r>
      <w:r>
        <w:rPr>
          <w:rFonts w:hint="eastAsia" w:ascii="Times New Roman" w:hAnsi="Times New Roman" w:cs="Times New Roman"/>
          <w:b/>
          <w:bCs/>
          <w:color w:val="auto"/>
          <w:kern w:val="0"/>
          <w:sz w:val="20"/>
          <w:szCs w:val="20"/>
          <w:highlight w:val="none"/>
          <w:lang w:val="en-US" w:eastAsia="zh-CN"/>
        </w:rPr>
        <w:t xml:space="preserve"> </w:t>
      </w:r>
      <w:r>
        <w:rPr>
          <w:rFonts w:hint="eastAsia"/>
          <w:color w:val="auto"/>
          <w:kern w:val="0"/>
          <w:highlight w:val="none"/>
        </w:rPr>
        <w:t>根据老年人的身体特点和对环境舒适度的特殊要求，对空调供冷、供热工况的具体设计参数提出了</w:t>
      </w:r>
      <w:r>
        <w:rPr>
          <w:rFonts w:hint="eastAsia"/>
          <w:color w:val="auto"/>
          <w:kern w:val="0"/>
          <w:highlight w:val="none"/>
          <w:lang w:val="en-US" w:eastAsia="zh-CN"/>
        </w:rPr>
        <w:t>要求</w:t>
      </w:r>
      <w:r>
        <w:rPr>
          <w:rFonts w:hint="eastAsia"/>
          <w:color w:val="auto"/>
          <w:kern w:val="0"/>
          <w:highlight w:val="none"/>
        </w:rPr>
        <w:t>。由于身体素质和生活习性不同，老年人对空调系统舒适度的感受与普通人略有不同：一般冬季供热温度要求高于普通人，夏季制冷时设计温度不宜过低，故本条文根据《民用建筑供暖通风与空气调节设计规范》GB50736的设计标准要求，对设计温度作了适当调整。另外，老年人对环境风速的敏感度比较高，本条文要求供冷工况下，空调区域风速不宜大于0.25m/s，实际上是GB50736中供冷工况的I级舒适度设计标准。</w:t>
      </w:r>
    </w:p>
    <w:p w14:paraId="67CF3E92">
      <w:pPr>
        <w:bidi w:val="0"/>
        <w:rPr>
          <w:rFonts w:hint="eastAsia"/>
          <w:color w:val="auto"/>
          <w:kern w:val="0"/>
          <w:highlight w:val="none"/>
        </w:rPr>
      </w:pPr>
      <w:r>
        <w:rPr>
          <w:rFonts w:hint="eastAsia" w:ascii="Times New Roman" w:hAnsi="Times New Roman" w:cs="Times New Roman"/>
          <w:b/>
          <w:bCs/>
          <w:color w:val="auto"/>
          <w:kern w:val="0"/>
          <w:sz w:val="20"/>
          <w:szCs w:val="20"/>
          <w:highlight w:val="none"/>
        </w:rPr>
        <w:t>7.2.8</w:t>
      </w:r>
      <w:r>
        <w:rPr>
          <w:rFonts w:hint="eastAsia" w:ascii="Times New Roman" w:hAnsi="Times New Roman" w:cs="Times New Roman"/>
          <w:b/>
          <w:bCs/>
          <w:color w:val="auto"/>
          <w:kern w:val="0"/>
          <w:sz w:val="20"/>
          <w:szCs w:val="20"/>
          <w:highlight w:val="none"/>
          <w:lang w:val="en-US" w:eastAsia="zh-CN"/>
        </w:rPr>
        <w:t xml:space="preserve"> </w:t>
      </w:r>
      <w:r>
        <w:rPr>
          <w:rFonts w:hint="eastAsia"/>
          <w:color w:val="auto"/>
          <w:kern w:val="0"/>
          <w:highlight w:val="none"/>
        </w:rPr>
        <w:t>老年人体弱多病，抵抗力差，需要更好的室内空气品质，故</w:t>
      </w:r>
      <w:r>
        <w:rPr>
          <w:rFonts w:hint="eastAsia"/>
          <w:color w:val="auto"/>
          <w:kern w:val="0"/>
          <w:highlight w:val="none"/>
          <w:lang w:eastAsia="zh"/>
        </w:rPr>
        <w:t>老年人照料设施</w:t>
      </w:r>
      <w:r>
        <w:rPr>
          <w:rFonts w:hint="eastAsia"/>
          <w:color w:val="auto"/>
          <w:kern w:val="0"/>
          <w:highlight w:val="none"/>
        </w:rPr>
        <w:t>应有良好的通风设施：设置空调系统的老年人居住用房最小新风量不应小于1.5次/小时换气次数。夏热冬冷地区、严寒及寒冷地区的</w:t>
      </w:r>
      <w:r>
        <w:rPr>
          <w:rFonts w:hint="eastAsia"/>
          <w:color w:val="auto"/>
          <w:kern w:val="0"/>
          <w:highlight w:val="none"/>
          <w:lang w:eastAsia="zh"/>
        </w:rPr>
        <w:t>老年人照料设施</w:t>
      </w:r>
      <w:r>
        <w:rPr>
          <w:rFonts w:hint="eastAsia"/>
          <w:color w:val="auto"/>
          <w:kern w:val="0"/>
          <w:highlight w:val="none"/>
        </w:rPr>
        <w:t xml:space="preserve">，冬季往往长时间关闭外窗，对室内空气品质极为不利，设计应采取措施（如增设机械通风系统等），保证房间换气次数，提高门窗关闭时室内空气品质。 </w:t>
      </w:r>
    </w:p>
    <w:p w14:paraId="62E78F50">
      <w:pPr>
        <w:numPr>
          <w:ilvl w:val="0"/>
          <w:numId w:val="0"/>
        </w:numPr>
        <w:jc w:val="center"/>
        <w:outlineLvl w:val="1"/>
        <w:rPr>
          <w:rStyle w:val="19"/>
          <w:rFonts w:hint="eastAsia" w:ascii="黑体" w:hAnsi="黑体" w:eastAsia="黑体" w:cs="黑体"/>
          <w:color w:val="auto"/>
          <w:sz w:val="28"/>
          <w:szCs w:val="40"/>
          <w:highlight w:val="none"/>
          <w:lang w:val="en-US" w:eastAsia="zh-CN"/>
        </w:rPr>
      </w:pPr>
      <w:bookmarkStart w:id="188" w:name="_Toc13079"/>
      <w:bookmarkStart w:id="189" w:name="_Toc5457"/>
      <w:bookmarkStart w:id="190" w:name="_Toc15583"/>
      <w:r>
        <w:rPr>
          <w:rStyle w:val="19"/>
          <w:rFonts w:hint="eastAsia" w:ascii="黑体" w:hAnsi="黑体" w:eastAsia="黑体" w:cs="黑体"/>
          <w:color w:val="auto"/>
          <w:sz w:val="28"/>
          <w:szCs w:val="40"/>
          <w:highlight w:val="none"/>
          <w:lang w:val="en-US" w:eastAsia="zh-CN"/>
        </w:rPr>
        <w:t>7.3 建筑电气</w:t>
      </w:r>
      <w:bookmarkEnd w:id="188"/>
      <w:bookmarkEnd w:id="189"/>
    </w:p>
    <w:bookmarkEnd w:id="190"/>
    <w:p w14:paraId="06680452">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7.3.2</w:t>
      </w:r>
      <w:r>
        <w:rPr>
          <w:rFonts w:hint="eastAsia"/>
          <w:color w:val="auto"/>
          <w:kern w:val="0"/>
          <w:highlight w:val="none"/>
          <w:lang w:val="en-US" w:eastAsia="zh-CN"/>
        </w:rPr>
        <w:t xml:space="preserve"> </w:t>
      </w:r>
      <w:r>
        <w:rPr>
          <w:rFonts w:hint="eastAsia"/>
          <w:color w:val="auto"/>
          <w:kern w:val="0"/>
          <w:highlight w:val="none"/>
        </w:rPr>
        <w:t>设置变配电所或变配电间为了安全和方便管理。当设置箱式变电站或户外配电设施时，为了避免老人触及而出现意外事故，宜在其周围设置围栏或采取其它安全防护措施。</w:t>
      </w:r>
    </w:p>
    <w:p w14:paraId="6505CB2B">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7.3.3</w:t>
      </w:r>
      <w:r>
        <w:rPr>
          <w:rFonts w:hint="eastAsia"/>
          <w:color w:val="auto"/>
          <w:kern w:val="0"/>
          <w:highlight w:val="none"/>
          <w:lang w:val="en-US" w:eastAsia="zh-CN"/>
        </w:rPr>
        <w:t xml:space="preserve"> </w:t>
      </w:r>
      <w:r>
        <w:rPr>
          <w:rFonts w:hint="eastAsia"/>
          <w:color w:val="auto"/>
          <w:kern w:val="0"/>
          <w:highlight w:val="none"/>
        </w:rPr>
        <w:t>鉴于老年人对噪声较敏感，当项目需要设置变压器时，宜设置变配电所将设备设置在房间内。变电所不应设置在老年人居住用房以及其它长期停留房间的正下方或贴邻</w:t>
      </w:r>
      <w:r>
        <w:rPr>
          <w:rFonts w:hint="eastAsia"/>
          <w:color w:val="auto"/>
          <w:kern w:val="0"/>
          <w:highlight w:val="none"/>
          <w:lang w:eastAsia="zh"/>
          <w:woUserID w:val="3"/>
        </w:rPr>
        <w:t>、箱式变电站不应靠近老年人居住用房都</w:t>
      </w:r>
      <w:r>
        <w:rPr>
          <w:rFonts w:hint="eastAsia"/>
          <w:color w:val="auto"/>
          <w:kern w:val="0"/>
          <w:highlight w:val="none"/>
        </w:rPr>
        <w:t>是为了减少噪声对老年人活动或休息的影响。</w:t>
      </w:r>
    </w:p>
    <w:p w14:paraId="6F6F8162">
      <w:pPr>
        <w:bidi w:val="0"/>
        <w:ind w:firstLine="420" w:firstLineChars="200"/>
        <w:rPr>
          <w:rFonts w:hint="eastAsia" w:eastAsiaTheme="minorEastAsia"/>
          <w:color w:val="auto"/>
          <w:kern w:val="0"/>
          <w:highlight w:val="none"/>
          <w:lang w:eastAsia="zh"/>
          <w:woUserID w:val="3"/>
        </w:rPr>
      </w:pPr>
      <w:r>
        <w:rPr>
          <w:rFonts w:hint="eastAsia"/>
          <w:color w:val="auto"/>
          <w:kern w:val="0"/>
          <w:highlight w:val="none"/>
          <w:lang w:eastAsia="zh"/>
          <w:woUserID w:val="3"/>
        </w:rPr>
        <w:t>现行的《建筑环境通用规范》GB 55016-2021第2章中对外部噪声源和内部设备传播至主要功能房间的噪声限值进行了规定，变压器、箱式变电站、柴油发电机组传播至老年人照料设施各房间的噪声值需满足该标准要求。</w:t>
      </w:r>
    </w:p>
    <w:p w14:paraId="0B3312A0">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 xml:space="preserve">7.3.4 </w:t>
      </w:r>
      <w:r>
        <w:rPr>
          <w:rFonts w:hint="eastAsia"/>
          <w:color w:val="auto"/>
          <w:kern w:val="0"/>
          <w:highlight w:val="none"/>
        </w:rPr>
        <w:t>老年人居住用房</w:t>
      </w:r>
      <w:r>
        <w:rPr>
          <w:rFonts w:hint="eastAsia"/>
          <w:color w:val="auto"/>
          <w:kern w:val="0"/>
          <w:highlight w:val="none"/>
          <w:lang w:eastAsia="zh"/>
          <w:woUserID w:val="3"/>
        </w:rPr>
        <w:t>通常</w:t>
      </w:r>
      <w:r>
        <w:rPr>
          <w:rFonts w:hint="eastAsia"/>
          <w:color w:val="auto"/>
          <w:kern w:val="0"/>
          <w:highlight w:val="none"/>
        </w:rPr>
        <w:t>有单间、套房等</w:t>
      </w:r>
      <w:r>
        <w:rPr>
          <w:rFonts w:hint="eastAsia"/>
          <w:color w:val="auto"/>
          <w:kern w:val="0"/>
          <w:highlight w:val="none"/>
          <w:lang w:eastAsia="zh"/>
          <w:woUserID w:val="3"/>
        </w:rPr>
        <w:t>房型</w:t>
      </w:r>
      <w:r>
        <w:rPr>
          <w:rFonts w:hint="eastAsia"/>
          <w:color w:val="auto"/>
          <w:kern w:val="0"/>
          <w:highlight w:val="none"/>
        </w:rPr>
        <w:t>，为了便于管理，宜每间</w:t>
      </w:r>
      <w:r>
        <w:rPr>
          <w:rFonts w:hint="eastAsia"/>
          <w:color w:val="auto"/>
          <w:kern w:val="0"/>
          <w:highlight w:val="none"/>
          <w:lang w:eastAsia="zh-CN"/>
        </w:rPr>
        <w:t>（</w:t>
      </w:r>
      <w:r>
        <w:rPr>
          <w:rFonts w:hint="eastAsia"/>
          <w:color w:val="auto"/>
          <w:kern w:val="0"/>
          <w:highlight w:val="none"/>
        </w:rPr>
        <w:t>套</w:t>
      </w:r>
      <w:r>
        <w:rPr>
          <w:rFonts w:hint="eastAsia"/>
          <w:color w:val="auto"/>
          <w:kern w:val="0"/>
          <w:highlight w:val="none"/>
          <w:lang w:eastAsia="zh-CN"/>
        </w:rPr>
        <w:t>）</w:t>
      </w:r>
      <w:r>
        <w:rPr>
          <w:rFonts w:hint="eastAsia"/>
          <w:color w:val="auto"/>
          <w:kern w:val="0"/>
          <w:highlight w:val="none"/>
        </w:rPr>
        <w:t>单设配电箱。</w:t>
      </w:r>
    </w:p>
    <w:p w14:paraId="534C9818">
      <w:pPr>
        <w:bidi w:val="0"/>
        <w:rPr>
          <w:rFonts w:hint="eastAsia"/>
          <w:color w:val="auto"/>
          <w:kern w:val="0"/>
          <w:highlight w:val="none"/>
        </w:rPr>
      </w:pPr>
      <w:r>
        <w:rPr>
          <w:rFonts w:hint="eastAsia" w:ascii="Times New Roman" w:hAnsi="Times New Roman" w:cs="Times New Roman"/>
          <w:b/>
          <w:bCs/>
          <w:color w:val="auto"/>
          <w:kern w:val="0"/>
          <w:sz w:val="20"/>
          <w:szCs w:val="20"/>
          <w:highlight w:val="none"/>
          <w:lang w:val="en-US" w:eastAsia="zh-CN"/>
        </w:rPr>
        <w:t xml:space="preserve">7.3.5 </w:t>
      </w:r>
      <w:r>
        <w:rPr>
          <w:rFonts w:hint="eastAsia"/>
          <w:color w:val="auto"/>
          <w:kern w:val="0"/>
          <w:highlight w:val="none"/>
        </w:rPr>
        <w:t>由于</w:t>
      </w:r>
      <w:r>
        <w:rPr>
          <w:rFonts w:hint="eastAsia"/>
          <w:color w:val="auto"/>
          <w:kern w:val="0"/>
          <w:highlight w:val="none"/>
          <w:lang w:eastAsia="zh"/>
        </w:rPr>
        <w:t>老年人照料设施</w:t>
      </w:r>
      <w:r>
        <w:rPr>
          <w:rFonts w:hint="eastAsia"/>
          <w:color w:val="auto"/>
          <w:kern w:val="0"/>
          <w:highlight w:val="none"/>
        </w:rPr>
        <w:t>的管理模式、经营模式多样，为了便于独立核算和加强节约用电管理</w:t>
      </w:r>
      <w:r>
        <w:rPr>
          <w:rFonts w:hint="eastAsia"/>
          <w:color w:val="auto"/>
          <w:kern w:val="0"/>
          <w:highlight w:val="none"/>
          <w:lang w:eastAsia="zh-CN"/>
        </w:rPr>
        <w:t>，</w:t>
      </w:r>
      <w:r>
        <w:rPr>
          <w:rFonts w:hint="eastAsia"/>
          <w:color w:val="auto"/>
          <w:kern w:val="0"/>
          <w:highlight w:val="none"/>
        </w:rPr>
        <w:t>宜结合管理需要设置电能计量装置。单独配电的每间(套)居住用房宜设置电表，其电表可分散设置宜可集中设置于电表箱内。</w:t>
      </w:r>
    </w:p>
    <w:p w14:paraId="25F351F4">
      <w:pPr>
        <w:bidi w:val="0"/>
        <w:rPr>
          <w:rFonts w:hint="eastAsia"/>
          <w:color w:val="auto"/>
          <w:kern w:val="0"/>
          <w:highlight w:val="none"/>
          <w:lang w:eastAsia="zh"/>
          <w:woUserID w:val="3"/>
        </w:rPr>
      </w:pPr>
      <w:r>
        <w:rPr>
          <w:rFonts w:hint="eastAsia"/>
          <w:color w:val="auto"/>
          <w:kern w:val="0"/>
          <w:highlight w:val="none"/>
          <w:lang w:eastAsia="zh"/>
          <w:woUserID w:val="3"/>
        </w:rPr>
        <w:t>7.3.6 具有双控功能的开关包括传统的双控开关、通过编程实现双控功能的开关（如智能照明控制系统的开关）。</w:t>
      </w:r>
    </w:p>
    <w:p w14:paraId="57614643">
      <w:pPr>
        <w:bidi w:val="0"/>
        <w:rPr>
          <w:rFonts w:hint="default"/>
          <w:color w:val="auto"/>
          <w:kern w:val="0"/>
          <w:highlight w:val="none"/>
          <w:lang w:val="en-US" w:eastAsia="zh-CN"/>
        </w:rPr>
      </w:pPr>
    </w:p>
    <w:sectPr>
      <w:footerReference r:id="rId8" w:type="default"/>
      <w:pgSz w:w="11906" w:h="16838"/>
      <w:pgMar w:top="1440" w:right="1800" w:bottom="1440" w:left="1800" w:header="851" w:footer="992" w:gutter="0"/>
      <w:pgNumType w:fmt="decimal" w:start="1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TT30A45o00">
    <w:altName w:val="Times New Roman"/>
    <w:panose1 w:val="00000000000000000000"/>
    <w:charset w:val="00"/>
    <w:family w:val="auto"/>
    <w:pitch w:val="default"/>
    <w:sig w:usb0="00000000" w:usb1="00000000" w:usb2="00000000" w:usb3="00000000" w:csb0="00000000" w:csb1="00000000"/>
  </w:font>
  <w:font w:name="TT30A45o02">
    <w:altName w:val="Times New Roman"/>
    <w:panose1 w:val="00000000000000000000"/>
    <w:charset w:val="00"/>
    <w:family w:val="auto"/>
    <w:pitch w:val="default"/>
    <w:sig w:usb0="00000000" w:usb1="00000000" w:usb2="00000000" w:usb3="00000000" w:csb0="00000000" w:csb1="00000000"/>
  </w:font>
  <w:font w:name="TT30A45o01">
    <w:altName w:val="Times New Roman"/>
    <w:panose1 w:val="00000000000000000000"/>
    <w:charset w:val="00"/>
    <w:family w:val="auto"/>
    <w:pitch w:val="default"/>
    <w:sig w:usb0="00000000" w:usb1="00000000" w:usb2="00000000" w:usb3="00000000" w:csb0="00000000" w:csb1="00000000"/>
  </w:font>
  <w:font w:name="TT30A45o03">
    <w:altName w:val="Times New Roman"/>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3F4F">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4048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04048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6CD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D38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5CD38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D61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EF1D4">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EEF1D4">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571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9D901">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B9D901">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81BF2">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B98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5E50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B5E50F">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D9101"/>
    <w:multiLevelType w:val="multilevel"/>
    <w:tmpl w:val="845D9101"/>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9"/>
      <w:numFmt w:val="decimal"/>
      <w:suff w:val="space"/>
      <w:lvlText w:val="%1.%2.%3"/>
      <w:lvlJc w:val="left"/>
      <w:pPr>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8E00044"/>
    <w:multiLevelType w:val="multilevel"/>
    <w:tmpl w:val="88E00044"/>
    <w:lvl w:ilvl="0" w:tentative="0">
      <w:start w:val="1"/>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B561CE1"/>
    <w:multiLevelType w:val="multilevel"/>
    <w:tmpl w:val="8B561CE1"/>
    <w:lvl w:ilvl="0" w:tentative="0">
      <w:start w:val="5"/>
      <w:numFmt w:val="decimal"/>
      <w:lvlText w:val="%1."/>
      <w:lvlJc w:val="left"/>
      <w:pPr>
        <w:ind w:left="425" w:hanging="425"/>
      </w:pPr>
      <w:rPr>
        <w:rFonts w:hint="default"/>
      </w:rPr>
    </w:lvl>
    <w:lvl w:ilvl="1" w:tentative="0">
      <w:start w:val="6"/>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9E6C1CB"/>
    <w:multiLevelType w:val="multilevel"/>
    <w:tmpl w:val="99E6C1CB"/>
    <w:lvl w:ilvl="0" w:tentative="0">
      <w:start w:val="5"/>
      <w:numFmt w:val="decimal"/>
      <w:suff w:val="nothing"/>
      <w:lvlText w:val="第%1章 "/>
      <w:lvlJc w:val="left"/>
      <w:pPr>
        <w:tabs>
          <w:tab w:val="left" w:pos="0"/>
        </w:tabs>
        <w:ind w:left="425" w:hanging="425"/>
      </w:pPr>
      <w:rPr>
        <w:rFonts w:hint="default"/>
        <w:bCs/>
      </w:rPr>
    </w:lvl>
    <w:lvl w:ilvl="1" w:tentative="0">
      <w:start w:val="3"/>
      <w:numFmt w:val="decimal"/>
      <w:isLgl/>
      <w:lvlText w:val="%1.%2."/>
      <w:lvlJc w:val="left"/>
      <w:pPr>
        <w:tabs>
          <w:tab w:val="left" w:pos="420"/>
        </w:tabs>
        <w:ind w:left="567" w:hanging="567"/>
      </w:pPr>
      <w:rPr>
        <w:rFonts w:hint="default"/>
        <w:bCs/>
      </w:rPr>
    </w:lvl>
    <w:lvl w:ilvl="2" w:tentative="0">
      <w:start w:val="1"/>
      <w:numFmt w:val="decimal"/>
      <w:isLgl/>
      <w:suff w:val="space"/>
      <w:lvlText w:val="%1.%2.%3 "/>
      <w:lvlJc w:val="left"/>
      <w:pPr>
        <w:ind w:left="709" w:hanging="709"/>
      </w:pPr>
      <w:rPr>
        <w:rFonts w:hint="default"/>
        <w:b/>
        <w:bCs/>
        <w:sz w:val="20"/>
        <w:szCs w:val="20"/>
      </w:rPr>
    </w:lvl>
    <w:lvl w:ilvl="3" w:tentative="0">
      <w:start w:val="1"/>
      <w:numFmt w:val="decimal"/>
      <w:isLgl/>
      <w:lvlText w:val="%4"/>
      <w:lvlJc w:val="left"/>
      <w:pPr>
        <w:ind w:left="850" w:hanging="850"/>
      </w:pPr>
      <w:rPr>
        <w:rFonts w:hint="default"/>
        <w:bCs/>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4">
    <w:nsid w:val="A4DDF29B"/>
    <w:multiLevelType w:val="multilevel"/>
    <w:tmpl w:val="A4DDF29B"/>
    <w:lvl w:ilvl="0" w:tentative="0">
      <w:start w:val="5"/>
      <w:numFmt w:val="decimal"/>
      <w:suff w:val="nothing"/>
      <w:lvlText w:val="第%1章 "/>
      <w:lvlJc w:val="left"/>
      <w:pPr>
        <w:tabs>
          <w:tab w:val="left" w:pos="0"/>
        </w:tabs>
        <w:ind w:left="425" w:hanging="425"/>
      </w:pPr>
      <w:rPr>
        <w:rFonts w:hint="default"/>
      </w:rPr>
    </w:lvl>
    <w:lvl w:ilvl="1" w:tentative="0">
      <w:start w:val="1"/>
      <w:numFmt w:val="decimal"/>
      <w:isLgl/>
      <w:lvlText w:val="%1.%2."/>
      <w:lvlJc w:val="left"/>
      <w:pPr>
        <w:tabs>
          <w:tab w:val="left" w:pos="420"/>
        </w:tabs>
        <w:ind w:left="567" w:hanging="567"/>
      </w:pPr>
      <w:rPr>
        <w:rFonts w:hint="eastAsia"/>
      </w:rPr>
    </w:lvl>
    <w:lvl w:ilvl="2" w:tentative="0">
      <w:start w:val="1"/>
      <w:numFmt w:val="decimal"/>
      <w:isLgl/>
      <w:suff w:val="space"/>
      <w:lvlText w:val="%1.%2.%3 "/>
      <w:lvlJc w:val="left"/>
      <w:pPr>
        <w:ind w:left="709" w:hanging="709"/>
      </w:pPr>
      <w:rPr>
        <w:rFonts w:hint="default"/>
        <w:b/>
        <w:bCs/>
        <w:sz w:val="20"/>
        <w:szCs w:val="20"/>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5">
    <w:nsid w:val="AC22F895"/>
    <w:multiLevelType w:val="multilevel"/>
    <w:tmpl w:val="AC22F895"/>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2"/>
      <w:numFmt w:val="decimal"/>
      <w:suff w:val="space"/>
      <w:lvlText w:val="%1.%2.%3"/>
      <w:lvlJc w:val="left"/>
      <w:pPr>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AE6A2605"/>
    <w:multiLevelType w:val="multilevel"/>
    <w:tmpl w:val="AE6A2605"/>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C8D50FAD"/>
    <w:multiLevelType w:val="multilevel"/>
    <w:tmpl w:val="C8D50FAD"/>
    <w:lvl w:ilvl="0" w:tentative="0">
      <w:start w:val="5"/>
      <w:numFmt w:val="decimal"/>
      <w:lvlText w:val="%1."/>
      <w:lvlJc w:val="left"/>
      <w:pPr>
        <w:ind w:left="425" w:hanging="425"/>
      </w:pPr>
      <w:rPr>
        <w:rFonts w:hint="default"/>
      </w:rPr>
    </w:lvl>
    <w:lvl w:ilvl="1" w:tentative="0">
      <w:start w:val="5"/>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color w:val="auto"/>
        <w:sz w:val="20"/>
        <w:szCs w:val="2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EE1985D0"/>
    <w:multiLevelType w:val="multilevel"/>
    <w:tmpl w:val="EE1985D0"/>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suff w:val="space"/>
      <w:lvlText w:val="4.0.%3 "/>
      <w:lvlJc w:val="left"/>
      <w:pPr>
        <w:ind w:left="440" w:hanging="440"/>
      </w:pPr>
      <w:rPr>
        <w:rFonts w:hint="eastAsia"/>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F05D7CDA"/>
    <w:multiLevelType w:val="multilevel"/>
    <w:tmpl w:val="F05D7CDA"/>
    <w:lvl w:ilvl="0" w:tentative="0">
      <w:start w:val="5"/>
      <w:numFmt w:val="decimal"/>
      <w:suff w:val="nothing"/>
      <w:lvlText w:val="第%1章 "/>
      <w:lvlJc w:val="left"/>
      <w:pPr>
        <w:tabs>
          <w:tab w:val="left" w:pos="420"/>
        </w:tabs>
        <w:ind w:left="425" w:hanging="425"/>
      </w:pPr>
      <w:rPr>
        <w:rFonts w:hint="default"/>
        <w:bCs/>
      </w:rPr>
    </w:lvl>
    <w:lvl w:ilvl="1" w:tentative="0">
      <w:start w:val="2"/>
      <w:numFmt w:val="decimal"/>
      <w:isLgl/>
      <w:lvlText w:val="%1.%2."/>
      <w:lvlJc w:val="left"/>
      <w:pPr>
        <w:tabs>
          <w:tab w:val="left" w:pos="420"/>
        </w:tabs>
        <w:ind w:left="567" w:hanging="567"/>
      </w:pPr>
      <w:rPr>
        <w:rFonts w:hint="default"/>
        <w:bCs/>
      </w:rPr>
    </w:lvl>
    <w:lvl w:ilvl="2" w:tentative="0">
      <w:start w:val="1"/>
      <w:numFmt w:val="decimal"/>
      <w:isLgl/>
      <w:suff w:val="space"/>
      <w:lvlText w:val="%1.%2.%3 "/>
      <w:lvlJc w:val="left"/>
      <w:pPr>
        <w:ind w:left="709" w:hanging="709"/>
      </w:pPr>
      <w:rPr>
        <w:rFonts w:hint="default"/>
        <w:b/>
        <w:bCs/>
        <w:color w:val="auto"/>
        <w:sz w:val="20"/>
        <w:szCs w:val="20"/>
      </w:rPr>
    </w:lvl>
    <w:lvl w:ilvl="3" w:tentative="0">
      <w:start w:val="1"/>
      <w:numFmt w:val="decimal"/>
      <w:isLgl/>
      <w:lvlText w:val="%4"/>
      <w:lvlJc w:val="left"/>
      <w:pPr>
        <w:ind w:left="850" w:hanging="850"/>
      </w:pPr>
      <w:rPr>
        <w:rFonts w:hint="default"/>
        <w:bCs/>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0">
    <w:nsid w:val="F5A36B7F"/>
    <w:multiLevelType w:val="multilevel"/>
    <w:tmpl w:val="F5A36B7F"/>
    <w:lvl w:ilvl="0" w:tentative="0">
      <w:start w:val="5"/>
      <w:numFmt w:val="decimal"/>
      <w:suff w:val="nothing"/>
      <w:lvlText w:val="第%1章 "/>
      <w:lvlJc w:val="left"/>
      <w:pPr>
        <w:tabs>
          <w:tab w:val="left" w:pos="420"/>
        </w:tabs>
        <w:ind w:left="425" w:hanging="425"/>
      </w:pPr>
      <w:rPr>
        <w:rFonts w:hint="default"/>
        <w:bCs/>
      </w:rPr>
    </w:lvl>
    <w:lvl w:ilvl="1" w:tentative="0">
      <w:start w:val="2"/>
      <w:numFmt w:val="decimal"/>
      <w:isLgl/>
      <w:lvlText w:val="%1.%2."/>
      <w:lvlJc w:val="left"/>
      <w:pPr>
        <w:tabs>
          <w:tab w:val="left" w:pos="420"/>
        </w:tabs>
        <w:ind w:left="567" w:hanging="567"/>
      </w:pPr>
      <w:rPr>
        <w:rFonts w:hint="default"/>
        <w:bCs/>
      </w:rPr>
    </w:lvl>
    <w:lvl w:ilvl="2" w:tentative="0">
      <w:start w:val="1"/>
      <w:numFmt w:val="decimal"/>
      <w:isLgl/>
      <w:suff w:val="space"/>
      <w:lvlText w:val="%1.%2.%3 "/>
      <w:lvlJc w:val="left"/>
      <w:pPr>
        <w:ind w:left="709" w:hanging="709"/>
      </w:pPr>
      <w:rPr>
        <w:rFonts w:hint="default"/>
        <w:b/>
        <w:bCs/>
        <w:sz w:val="20"/>
        <w:szCs w:val="20"/>
      </w:rPr>
    </w:lvl>
    <w:lvl w:ilvl="3" w:tentative="0">
      <w:start w:val="1"/>
      <w:numFmt w:val="decimal"/>
      <w:isLgl/>
      <w:lvlText w:val="%4"/>
      <w:lvlJc w:val="left"/>
      <w:pPr>
        <w:ind w:left="850" w:hanging="850"/>
      </w:pPr>
      <w:rPr>
        <w:rFonts w:hint="default"/>
        <w:bCs/>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1">
    <w:nsid w:val="00A91258"/>
    <w:multiLevelType w:val="multilevel"/>
    <w:tmpl w:val="00A91258"/>
    <w:lvl w:ilvl="0" w:tentative="0">
      <w:start w:val="5"/>
      <w:numFmt w:val="decimal"/>
      <w:lvlText w:val="%1."/>
      <w:lvlJc w:val="left"/>
      <w:pPr>
        <w:ind w:left="425" w:hanging="425"/>
      </w:pPr>
      <w:rPr>
        <w:rFonts w:hint="default"/>
      </w:rPr>
    </w:lvl>
    <w:lvl w:ilvl="1" w:tentative="0">
      <w:start w:val="4"/>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color w:val="auto"/>
        <w:sz w:val="20"/>
        <w:szCs w:val="2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06FAD480"/>
    <w:multiLevelType w:val="multilevel"/>
    <w:tmpl w:val="06FAD480"/>
    <w:lvl w:ilvl="0" w:tentative="0">
      <w:start w:val="1"/>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0A258D28"/>
    <w:multiLevelType w:val="multilevel"/>
    <w:tmpl w:val="0A258D28"/>
    <w:lvl w:ilvl="0" w:tentative="0">
      <w:start w:val="5"/>
      <w:numFmt w:val="decimal"/>
      <w:lvlText w:val="%1."/>
      <w:lvlJc w:val="left"/>
      <w:pPr>
        <w:ind w:left="425" w:hanging="425"/>
      </w:pPr>
      <w:rPr>
        <w:rFonts w:hint="default"/>
      </w:rPr>
    </w:lvl>
    <w:lvl w:ilvl="1" w:tentative="0">
      <w:start w:val="4"/>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color w:val="auto"/>
        <w:sz w:val="20"/>
        <w:szCs w:val="2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0BBE1AD3"/>
    <w:multiLevelType w:val="multilevel"/>
    <w:tmpl w:val="0BBE1AD3"/>
    <w:lvl w:ilvl="0" w:tentative="0">
      <w:start w:val="2"/>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lvlText w:val="%1.%2.%3"/>
      <w:lvlJc w:val="left"/>
      <w:pPr>
        <w:ind w:left="567" w:leftChars="0" w:hanging="567" w:firstLineChars="0"/>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10B9B012"/>
    <w:multiLevelType w:val="multilevel"/>
    <w:tmpl w:val="10B9B012"/>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6"/>
      <w:numFmt w:val="decimal"/>
      <w:suff w:val="space"/>
      <w:lvlText w:val="%1.%2.%3"/>
      <w:lvlJc w:val="left"/>
      <w:pPr>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1B1CAA94"/>
    <w:multiLevelType w:val="multilevel"/>
    <w:tmpl w:val="1B1CAA94"/>
    <w:lvl w:ilvl="0" w:tentative="0">
      <w:start w:val="1"/>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suff w:val="space"/>
      <w:lvlText w:val="%1.%2.%3"/>
      <w:lvlJc w:val="left"/>
      <w:pPr>
        <w:ind w:left="567" w:leftChars="0" w:hanging="567" w:firstLineChars="0"/>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2BCDD67A"/>
    <w:multiLevelType w:val="multilevel"/>
    <w:tmpl w:val="2BCDD67A"/>
    <w:lvl w:ilvl="0" w:tentative="0">
      <w:start w:val="5"/>
      <w:numFmt w:val="decimal"/>
      <w:suff w:val="nothing"/>
      <w:lvlText w:val="第%1章 "/>
      <w:lvlJc w:val="left"/>
      <w:pPr>
        <w:tabs>
          <w:tab w:val="left" w:pos="0"/>
        </w:tabs>
        <w:ind w:left="425" w:hanging="425"/>
      </w:pPr>
      <w:rPr>
        <w:rFonts w:hint="default"/>
      </w:rPr>
    </w:lvl>
    <w:lvl w:ilvl="1" w:tentative="0">
      <w:start w:val="1"/>
      <w:numFmt w:val="decimal"/>
      <w:isLgl/>
      <w:lvlText w:val="%1.%2."/>
      <w:lvlJc w:val="left"/>
      <w:pPr>
        <w:tabs>
          <w:tab w:val="left" w:pos="420"/>
        </w:tabs>
        <w:ind w:left="567" w:hanging="567"/>
      </w:pPr>
      <w:rPr>
        <w:rFonts w:hint="eastAsia"/>
      </w:rPr>
    </w:lvl>
    <w:lvl w:ilvl="2" w:tentative="0">
      <w:start w:val="1"/>
      <w:numFmt w:val="decimal"/>
      <w:isLgl/>
      <w:suff w:val="space"/>
      <w:lvlText w:val="%1.%2.%3 "/>
      <w:lvlJc w:val="left"/>
      <w:pPr>
        <w:ind w:left="709" w:hanging="709"/>
      </w:pPr>
      <w:rPr>
        <w:rFonts w:hint="default"/>
        <w:b/>
        <w:bCs/>
        <w:sz w:val="20"/>
        <w:szCs w:val="20"/>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8">
    <w:nsid w:val="30D650D2"/>
    <w:multiLevelType w:val="multilevel"/>
    <w:tmpl w:val="30D650D2"/>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32972D87"/>
    <w:multiLevelType w:val="multilevel"/>
    <w:tmpl w:val="32972D87"/>
    <w:lvl w:ilvl="0" w:tentative="0">
      <w:start w:val="5"/>
      <w:numFmt w:val="decimal"/>
      <w:suff w:val="nothing"/>
      <w:lvlText w:val="第%1章 "/>
      <w:lvlJc w:val="left"/>
      <w:pPr>
        <w:tabs>
          <w:tab w:val="left" w:pos="0"/>
        </w:tabs>
        <w:ind w:left="425" w:hanging="425"/>
      </w:pPr>
      <w:rPr>
        <w:rFonts w:hint="default"/>
        <w:bCs/>
      </w:rPr>
    </w:lvl>
    <w:lvl w:ilvl="1" w:tentative="0">
      <w:start w:val="7"/>
      <w:numFmt w:val="decimal"/>
      <w:isLgl/>
      <w:lvlText w:val="%1.%2."/>
      <w:lvlJc w:val="left"/>
      <w:pPr>
        <w:tabs>
          <w:tab w:val="left" w:pos="420"/>
        </w:tabs>
        <w:ind w:left="567" w:hanging="567"/>
      </w:pPr>
      <w:rPr>
        <w:rFonts w:hint="default"/>
        <w:bCs/>
      </w:rPr>
    </w:lvl>
    <w:lvl w:ilvl="2" w:tentative="0">
      <w:start w:val="1"/>
      <w:numFmt w:val="decimal"/>
      <w:isLgl/>
      <w:suff w:val="space"/>
      <w:lvlText w:val="%1.%2.%3 "/>
      <w:lvlJc w:val="left"/>
      <w:pPr>
        <w:ind w:left="709" w:hanging="709"/>
      </w:pPr>
      <w:rPr>
        <w:rFonts w:hint="default"/>
        <w:b/>
        <w:bCs/>
        <w:color w:val="000000"/>
        <w:sz w:val="20"/>
        <w:szCs w:val="20"/>
      </w:rPr>
    </w:lvl>
    <w:lvl w:ilvl="3" w:tentative="0">
      <w:start w:val="1"/>
      <w:numFmt w:val="decimal"/>
      <w:isLgl/>
      <w:lvlText w:val="%4"/>
      <w:lvlJc w:val="left"/>
      <w:pPr>
        <w:ind w:left="850" w:hanging="850"/>
      </w:pPr>
      <w:rPr>
        <w:rFonts w:hint="default"/>
        <w:bCs/>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0">
    <w:nsid w:val="54E4269A"/>
    <w:multiLevelType w:val="multilevel"/>
    <w:tmpl w:val="54E4269A"/>
    <w:lvl w:ilvl="0" w:tentative="0">
      <w:start w:val="1"/>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5B22FB53"/>
    <w:multiLevelType w:val="multilevel"/>
    <w:tmpl w:val="5B22FB53"/>
    <w:lvl w:ilvl="0" w:tentative="0">
      <w:start w:val="5"/>
      <w:numFmt w:val="decimal"/>
      <w:lvlText w:val="%1."/>
      <w:lvlJc w:val="left"/>
      <w:pPr>
        <w:ind w:left="425" w:hanging="425"/>
      </w:pPr>
      <w:rPr>
        <w:rFonts w:hint="default"/>
      </w:rPr>
    </w:lvl>
    <w:lvl w:ilvl="1" w:tentative="0">
      <w:start w:val="5"/>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653311CB"/>
    <w:multiLevelType w:val="multilevel"/>
    <w:tmpl w:val="653311CB"/>
    <w:lvl w:ilvl="0" w:tentative="0">
      <w:start w:val="5"/>
      <w:numFmt w:val="decimal"/>
      <w:lvlText w:val="%1."/>
      <w:lvlJc w:val="left"/>
      <w:pPr>
        <w:ind w:left="425" w:hanging="425"/>
      </w:pPr>
      <w:rPr>
        <w:rFonts w:hint="default"/>
      </w:rPr>
    </w:lvl>
    <w:lvl w:ilvl="1" w:tentative="0">
      <w:start w:val="6"/>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ascii="Times New Roman" w:hAnsi="Times New Roman" w:cs="Times New Roman"/>
        <w:b/>
        <w:bCs/>
        <w:color w:val="auto"/>
        <w:sz w:val="20"/>
        <w:szCs w:val="2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6ABFB50D"/>
    <w:multiLevelType w:val="multilevel"/>
    <w:tmpl w:val="6ABFB50D"/>
    <w:lvl w:ilvl="0" w:tentative="0">
      <w:start w:val="3"/>
      <w:numFmt w:val="decimal"/>
      <w:lvlText w:val="%1."/>
      <w:lvlJc w:val="left"/>
      <w:pPr>
        <w:ind w:left="425" w:hanging="425"/>
      </w:pPr>
      <w:rPr>
        <w:rFonts w:hint="default"/>
      </w:rPr>
    </w:lvl>
    <w:lvl w:ilvl="1" w:tentative="0">
      <w:start w:val="0"/>
      <w:numFmt w:val="decimal"/>
      <w:lvlText w:val="%1.%2."/>
      <w:lvlJc w:val="left"/>
      <w:pPr>
        <w:ind w:left="567" w:hanging="567"/>
      </w:pPr>
      <w:rPr>
        <w:rFonts w:hint="default"/>
      </w:rPr>
    </w:lvl>
    <w:lvl w:ilvl="2" w:tentative="0">
      <w:start w:val="2"/>
      <w:numFmt w:val="decimal"/>
      <w:suff w:val="space"/>
      <w:lvlText w:val="4.0.%3 "/>
      <w:lvlJc w:val="left"/>
      <w:pPr>
        <w:ind w:left="440" w:hanging="440"/>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770BAAD9"/>
    <w:multiLevelType w:val="multilevel"/>
    <w:tmpl w:val="770BAAD9"/>
    <w:lvl w:ilvl="0" w:tentative="0">
      <w:start w:val="1"/>
      <w:numFmt w:val="decimal"/>
      <w:lvlText w:val="%1."/>
      <w:lvlJc w:val="left"/>
      <w:pPr>
        <w:tabs>
          <w:tab w:val="left" w:pos="420"/>
        </w:tabs>
        <w:ind w:left="845" w:hanging="425"/>
      </w:pPr>
      <w:rPr>
        <w:rFonts w:hint="default"/>
        <w:b/>
        <w:bCs w:val="0"/>
      </w:rPr>
    </w:lvl>
    <w:lvl w:ilvl="1" w:tentative="0">
      <w:start w:val="1"/>
      <w:numFmt w:val="decimal"/>
      <w:pStyle w:val="27"/>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4"/>
  </w:num>
  <w:num w:numId="2">
    <w:abstractNumId w:val="12"/>
  </w:num>
  <w:num w:numId="3">
    <w:abstractNumId w:val="16"/>
  </w:num>
  <w:num w:numId="4">
    <w:abstractNumId w:val="14"/>
  </w:num>
  <w:num w:numId="5">
    <w:abstractNumId w:val="6"/>
  </w:num>
  <w:num w:numId="6">
    <w:abstractNumId w:val="8"/>
  </w:num>
  <w:num w:numId="7">
    <w:abstractNumId w:val="17"/>
  </w:num>
  <w:num w:numId="8">
    <w:abstractNumId w:val="10"/>
  </w:num>
  <w:num w:numId="9">
    <w:abstractNumId w:val="13"/>
  </w:num>
  <w:num w:numId="10">
    <w:abstractNumId w:val="7"/>
  </w:num>
  <w:num w:numId="11">
    <w:abstractNumId w:val="22"/>
  </w:num>
  <w:num w:numId="12">
    <w:abstractNumId w:val="19"/>
  </w:num>
  <w:num w:numId="13">
    <w:abstractNumId w:val="1"/>
  </w:num>
  <w:num w:numId="14">
    <w:abstractNumId w:val="20"/>
  </w:num>
  <w:num w:numId="15">
    <w:abstractNumId w:val="18"/>
  </w:num>
  <w:num w:numId="16">
    <w:abstractNumId w:val="5"/>
  </w:num>
  <w:num w:numId="17">
    <w:abstractNumId w:val="15"/>
  </w:num>
  <w:num w:numId="18">
    <w:abstractNumId w:val="0"/>
  </w:num>
  <w:num w:numId="19">
    <w:abstractNumId w:val="23"/>
  </w:num>
  <w:num w:numId="20">
    <w:abstractNumId w:val="4"/>
  </w:num>
  <w:num w:numId="21">
    <w:abstractNumId w:val="9"/>
  </w:num>
  <w:num w:numId="22">
    <w:abstractNumId w:val="3"/>
  </w:num>
  <w:num w:numId="23">
    <w:abstractNumId w:val="11"/>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C3483"/>
    <w:rsid w:val="00104C25"/>
    <w:rsid w:val="00CB5675"/>
    <w:rsid w:val="011939A7"/>
    <w:rsid w:val="016D21D6"/>
    <w:rsid w:val="01AE15BA"/>
    <w:rsid w:val="02C74FF6"/>
    <w:rsid w:val="02E1776D"/>
    <w:rsid w:val="035A4DB6"/>
    <w:rsid w:val="03B50904"/>
    <w:rsid w:val="04461F7D"/>
    <w:rsid w:val="04806B11"/>
    <w:rsid w:val="05B44D71"/>
    <w:rsid w:val="05C525A5"/>
    <w:rsid w:val="06884DB1"/>
    <w:rsid w:val="06D93031"/>
    <w:rsid w:val="070530F0"/>
    <w:rsid w:val="07DC1E97"/>
    <w:rsid w:val="083B7E41"/>
    <w:rsid w:val="0869448C"/>
    <w:rsid w:val="08736678"/>
    <w:rsid w:val="089B763F"/>
    <w:rsid w:val="08B363D4"/>
    <w:rsid w:val="092D6B97"/>
    <w:rsid w:val="09A432A2"/>
    <w:rsid w:val="0ACC74B2"/>
    <w:rsid w:val="0BB73761"/>
    <w:rsid w:val="0C3D3B70"/>
    <w:rsid w:val="0C927091"/>
    <w:rsid w:val="0CC06645"/>
    <w:rsid w:val="0CE911C3"/>
    <w:rsid w:val="0DA22C11"/>
    <w:rsid w:val="0DEF3421"/>
    <w:rsid w:val="0E627F17"/>
    <w:rsid w:val="0EEA309A"/>
    <w:rsid w:val="0F1E7EFD"/>
    <w:rsid w:val="0F5A4B2F"/>
    <w:rsid w:val="0FBB40F4"/>
    <w:rsid w:val="0FC85F3C"/>
    <w:rsid w:val="1158189E"/>
    <w:rsid w:val="11670CF8"/>
    <w:rsid w:val="125A6BF4"/>
    <w:rsid w:val="1260164A"/>
    <w:rsid w:val="12A04F4F"/>
    <w:rsid w:val="12A747FB"/>
    <w:rsid w:val="12B32B77"/>
    <w:rsid w:val="12D469A6"/>
    <w:rsid w:val="13DC1FB6"/>
    <w:rsid w:val="13EB3519"/>
    <w:rsid w:val="14CD4474"/>
    <w:rsid w:val="15767B9E"/>
    <w:rsid w:val="16297009"/>
    <w:rsid w:val="166B5873"/>
    <w:rsid w:val="16D90A2F"/>
    <w:rsid w:val="16F07B27"/>
    <w:rsid w:val="173F7F54"/>
    <w:rsid w:val="175A3BE0"/>
    <w:rsid w:val="176B01D2"/>
    <w:rsid w:val="177049F2"/>
    <w:rsid w:val="17A50911"/>
    <w:rsid w:val="17B1375A"/>
    <w:rsid w:val="17D06220"/>
    <w:rsid w:val="17F81389"/>
    <w:rsid w:val="182A3ED5"/>
    <w:rsid w:val="183202A9"/>
    <w:rsid w:val="18D01A9C"/>
    <w:rsid w:val="190F698A"/>
    <w:rsid w:val="19322678"/>
    <w:rsid w:val="198115F6"/>
    <w:rsid w:val="198A4263"/>
    <w:rsid w:val="19E67FE4"/>
    <w:rsid w:val="1A530AF8"/>
    <w:rsid w:val="1A78230D"/>
    <w:rsid w:val="1A911621"/>
    <w:rsid w:val="1BCC0B62"/>
    <w:rsid w:val="1BF6798D"/>
    <w:rsid w:val="1C8951D2"/>
    <w:rsid w:val="1CF163A7"/>
    <w:rsid w:val="1D880AB9"/>
    <w:rsid w:val="1D8F0099"/>
    <w:rsid w:val="1DC37D43"/>
    <w:rsid w:val="1DE2466D"/>
    <w:rsid w:val="1EA01E32"/>
    <w:rsid w:val="1EE6679B"/>
    <w:rsid w:val="1EED6E7A"/>
    <w:rsid w:val="1F2B7684"/>
    <w:rsid w:val="1F56569D"/>
    <w:rsid w:val="1F6B2440"/>
    <w:rsid w:val="1FC81833"/>
    <w:rsid w:val="1FE780C2"/>
    <w:rsid w:val="1FF34BA6"/>
    <w:rsid w:val="202A2231"/>
    <w:rsid w:val="20504409"/>
    <w:rsid w:val="214E3DC8"/>
    <w:rsid w:val="2156598B"/>
    <w:rsid w:val="22062151"/>
    <w:rsid w:val="2285227A"/>
    <w:rsid w:val="23883F82"/>
    <w:rsid w:val="23FDFA6A"/>
    <w:rsid w:val="245B6F27"/>
    <w:rsid w:val="246F652F"/>
    <w:rsid w:val="25565941"/>
    <w:rsid w:val="25A0096A"/>
    <w:rsid w:val="25D42A8C"/>
    <w:rsid w:val="26AF1F27"/>
    <w:rsid w:val="27223D2C"/>
    <w:rsid w:val="27602AA7"/>
    <w:rsid w:val="2773559A"/>
    <w:rsid w:val="279947E4"/>
    <w:rsid w:val="27BB6034"/>
    <w:rsid w:val="28553C8E"/>
    <w:rsid w:val="289F17E6"/>
    <w:rsid w:val="2A0616E3"/>
    <w:rsid w:val="2A846AAC"/>
    <w:rsid w:val="2ABA427C"/>
    <w:rsid w:val="2AFA256F"/>
    <w:rsid w:val="2B65243A"/>
    <w:rsid w:val="2C077F55"/>
    <w:rsid w:val="2C533FAB"/>
    <w:rsid w:val="2D6F134E"/>
    <w:rsid w:val="2D8D7A26"/>
    <w:rsid w:val="2DC85C3C"/>
    <w:rsid w:val="2DDFAEFF"/>
    <w:rsid w:val="2E1819E5"/>
    <w:rsid w:val="2E9B6172"/>
    <w:rsid w:val="2ED2428A"/>
    <w:rsid w:val="2F0D7070"/>
    <w:rsid w:val="2F324D29"/>
    <w:rsid w:val="2F404F61"/>
    <w:rsid w:val="2F72251B"/>
    <w:rsid w:val="3038011D"/>
    <w:rsid w:val="30403475"/>
    <w:rsid w:val="306A22A0"/>
    <w:rsid w:val="31293F09"/>
    <w:rsid w:val="315A1EAD"/>
    <w:rsid w:val="31ED1FC8"/>
    <w:rsid w:val="334119DE"/>
    <w:rsid w:val="33874303"/>
    <w:rsid w:val="341555A8"/>
    <w:rsid w:val="343C3F54"/>
    <w:rsid w:val="349618B6"/>
    <w:rsid w:val="35853A02"/>
    <w:rsid w:val="35EB79DF"/>
    <w:rsid w:val="363E74BE"/>
    <w:rsid w:val="36525CC9"/>
    <w:rsid w:val="36785717"/>
    <w:rsid w:val="368A5B0F"/>
    <w:rsid w:val="36DF0DFA"/>
    <w:rsid w:val="36E42DAC"/>
    <w:rsid w:val="378D51F2"/>
    <w:rsid w:val="38772A9B"/>
    <w:rsid w:val="38B86F38"/>
    <w:rsid w:val="39365415"/>
    <w:rsid w:val="39D158F6"/>
    <w:rsid w:val="3A0A0B98"/>
    <w:rsid w:val="3A0B0650"/>
    <w:rsid w:val="3B746AC4"/>
    <w:rsid w:val="3BAD6645"/>
    <w:rsid w:val="3BE23632"/>
    <w:rsid w:val="3BFFE172"/>
    <w:rsid w:val="3C522C11"/>
    <w:rsid w:val="3D385C00"/>
    <w:rsid w:val="3DCB6A74"/>
    <w:rsid w:val="3DF32897"/>
    <w:rsid w:val="3E7751A6"/>
    <w:rsid w:val="3E8E1406"/>
    <w:rsid w:val="3E927592"/>
    <w:rsid w:val="3EAD1CD6"/>
    <w:rsid w:val="3EFD995A"/>
    <w:rsid w:val="3F091B0E"/>
    <w:rsid w:val="3F7FDF3B"/>
    <w:rsid w:val="3FF676AC"/>
    <w:rsid w:val="40965460"/>
    <w:rsid w:val="40DD502B"/>
    <w:rsid w:val="410825C1"/>
    <w:rsid w:val="41CD7F81"/>
    <w:rsid w:val="41F4634D"/>
    <w:rsid w:val="4267663F"/>
    <w:rsid w:val="434B6A6E"/>
    <w:rsid w:val="4392593E"/>
    <w:rsid w:val="43BD6415"/>
    <w:rsid w:val="44703ED1"/>
    <w:rsid w:val="44760DBC"/>
    <w:rsid w:val="44FF4F19"/>
    <w:rsid w:val="45126D36"/>
    <w:rsid w:val="45617CBE"/>
    <w:rsid w:val="45CE027C"/>
    <w:rsid w:val="467D4684"/>
    <w:rsid w:val="46A5177A"/>
    <w:rsid w:val="46FC7C9E"/>
    <w:rsid w:val="47136D96"/>
    <w:rsid w:val="4770243A"/>
    <w:rsid w:val="47947ED7"/>
    <w:rsid w:val="484D3CAB"/>
    <w:rsid w:val="48A650E5"/>
    <w:rsid w:val="48E70EA2"/>
    <w:rsid w:val="48F21359"/>
    <w:rsid w:val="49431385"/>
    <w:rsid w:val="4A0C644A"/>
    <w:rsid w:val="4A176B9D"/>
    <w:rsid w:val="4A546720"/>
    <w:rsid w:val="4A77CAEA"/>
    <w:rsid w:val="4B3231F4"/>
    <w:rsid w:val="4B3E06C1"/>
    <w:rsid w:val="4BC13264"/>
    <w:rsid w:val="4BC53A51"/>
    <w:rsid w:val="4BF947AC"/>
    <w:rsid w:val="4BFE4BA5"/>
    <w:rsid w:val="4C325F10"/>
    <w:rsid w:val="4C9654F0"/>
    <w:rsid w:val="4D1473C4"/>
    <w:rsid w:val="4D320C9D"/>
    <w:rsid w:val="4D740FD0"/>
    <w:rsid w:val="4DA44BEC"/>
    <w:rsid w:val="4DDD70B3"/>
    <w:rsid w:val="4E61488B"/>
    <w:rsid w:val="4F497CDF"/>
    <w:rsid w:val="4F9547EC"/>
    <w:rsid w:val="4FADCFF7"/>
    <w:rsid w:val="5021598D"/>
    <w:rsid w:val="508A631B"/>
    <w:rsid w:val="50DD4727"/>
    <w:rsid w:val="517F39A6"/>
    <w:rsid w:val="51BC3F6A"/>
    <w:rsid w:val="52CD0322"/>
    <w:rsid w:val="53620E89"/>
    <w:rsid w:val="536E7914"/>
    <w:rsid w:val="53960064"/>
    <w:rsid w:val="54B347ED"/>
    <w:rsid w:val="54B92BB2"/>
    <w:rsid w:val="553B623F"/>
    <w:rsid w:val="55983288"/>
    <w:rsid w:val="559B63B0"/>
    <w:rsid w:val="563F7177"/>
    <w:rsid w:val="569E667C"/>
    <w:rsid w:val="572C3D80"/>
    <w:rsid w:val="574F389E"/>
    <w:rsid w:val="5758767F"/>
    <w:rsid w:val="57E207EA"/>
    <w:rsid w:val="592B034E"/>
    <w:rsid w:val="59653481"/>
    <w:rsid w:val="59F5820E"/>
    <w:rsid w:val="5A6E34B0"/>
    <w:rsid w:val="5AB741B0"/>
    <w:rsid w:val="5B2353A2"/>
    <w:rsid w:val="5B3D1931"/>
    <w:rsid w:val="5B465534"/>
    <w:rsid w:val="5B6559BA"/>
    <w:rsid w:val="5BDF55AF"/>
    <w:rsid w:val="5C0D1FBA"/>
    <w:rsid w:val="5C1C3483"/>
    <w:rsid w:val="5C322829"/>
    <w:rsid w:val="5C69772C"/>
    <w:rsid w:val="5CC76201"/>
    <w:rsid w:val="5D355819"/>
    <w:rsid w:val="5D4276E9"/>
    <w:rsid w:val="5D493D50"/>
    <w:rsid w:val="5D77A2B2"/>
    <w:rsid w:val="5DD653C8"/>
    <w:rsid w:val="5E2002BE"/>
    <w:rsid w:val="5E5F49D2"/>
    <w:rsid w:val="5E7668DD"/>
    <w:rsid w:val="5EFFA3FB"/>
    <w:rsid w:val="5F024CCD"/>
    <w:rsid w:val="5F2C24BC"/>
    <w:rsid w:val="5F5F4E16"/>
    <w:rsid w:val="5FA665A1"/>
    <w:rsid w:val="5FBE0D63"/>
    <w:rsid w:val="5FCF3D4A"/>
    <w:rsid w:val="60C12E6B"/>
    <w:rsid w:val="60C63929"/>
    <w:rsid w:val="61610AC1"/>
    <w:rsid w:val="626C3AD2"/>
    <w:rsid w:val="629F0FB9"/>
    <w:rsid w:val="62BBD8E6"/>
    <w:rsid w:val="62D6719E"/>
    <w:rsid w:val="630C7063"/>
    <w:rsid w:val="63E8362C"/>
    <w:rsid w:val="641F7BEE"/>
    <w:rsid w:val="64C00105"/>
    <w:rsid w:val="65133357"/>
    <w:rsid w:val="65FF6A0B"/>
    <w:rsid w:val="660D23A2"/>
    <w:rsid w:val="661D71B5"/>
    <w:rsid w:val="66216982"/>
    <w:rsid w:val="662C2EEE"/>
    <w:rsid w:val="668718E1"/>
    <w:rsid w:val="66A82BFF"/>
    <w:rsid w:val="66C67529"/>
    <w:rsid w:val="67254F27"/>
    <w:rsid w:val="67610BC9"/>
    <w:rsid w:val="67760AE7"/>
    <w:rsid w:val="67EF266B"/>
    <w:rsid w:val="67FCC7F0"/>
    <w:rsid w:val="69855479"/>
    <w:rsid w:val="698A2A90"/>
    <w:rsid w:val="69B40F0C"/>
    <w:rsid w:val="69EE301F"/>
    <w:rsid w:val="6AA42434"/>
    <w:rsid w:val="6ADC394E"/>
    <w:rsid w:val="6B798C9A"/>
    <w:rsid w:val="6BAC476A"/>
    <w:rsid w:val="6BE555A6"/>
    <w:rsid w:val="6C5A35F3"/>
    <w:rsid w:val="6D390A9E"/>
    <w:rsid w:val="6DEF3809"/>
    <w:rsid w:val="6E1C52E8"/>
    <w:rsid w:val="6E7D2BC3"/>
    <w:rsid w:val="6E91666F"/>
    <w:rsid w:val="6E9216A3"/>
    <w:rsid w:val="6EE175F6"/>
    <w:rsid w:val="6EFABD41"/>
    <w:rsid w:val="6F58227B"/>
    <w:rsid w:val="6F71097A"/>
    <w:rsid w:val="6FBB4899"/>
    <w:rsid w:val="6FF84BF7"/>
    <w:rsid w:val="6FFFCF96"/>
    <w:rsid w:val="702314C8"/>
    <w:rsid w:val="705A7660"/>
    <w:rsid w:val="70BFAFC1"/>
    <w:rsid w:val="70D6480D"/>
    <w:rsid w:val="710D0185"/>
    <w:rsid w:val="713C642E"/>
    <w:rsid w:val="718F4A08"/>
    <w:rsid w:val="71B608C6"/>
    <w:rsid w:val="71DF9DA6"/>
    <w:rsid w:val="73C6500C"/>
    <w:rsid w:val="73FC0A2E"/>
    <w:rsid w:val="73FE841C"/>
    <w:rsid w:val="740F42BD"/>
    <w:rsid w:val="742D0BE7"/>
    <w:rsid w:val="74687E72"/>
    <w:rsid w:val="74CE2630"/>
    <w:rsid w:val="75DD3CE6"/>
    <w:rsid w:val="763415A2"/>
    <w:rsid w:val="76E557A9"/>
    <w:rsid w:val="76FFC6C5"/>
    <w:rsid w:val="777C7EBC"/>
    <w:rsid w:val="77FC0FFD"/>
    <w:rsid w:val="7859644F"/>
    <w:rsid w:val="786B2897"/>
    <w:rsid w:val="78A07BDA"/>
    <w:rsid w:val="78C87131"/>
    <w:rsid w:val="797C0647"/>
    <w:rsid w:val="79A03E0B"/>
    <w:rsid w:val="79F3E4F6"/>
    <w:rsid w:val="7A172159"/>
    <w:rsid w:val="7A5977C7"/>
    <w:rsid w:val="7A666C01"/>
    <w:rsid w:val="7A70190C"/>
    <w:rsid w:val="7AEFB7FD"/>
    <w:rsid w:val="7B7D0122"/>
    <w:rsid w:val="7BFF29C0"/>
    <w:rsid w:val="7C2F7BF3"/>
    <w:rsid w:val="7D7A00C1"/>
    <w:rsid w:val="7E01111B"/>
    <w:rsid w:val="7E3D2B28"/>
    <w:rsid w:val="7E75576E"/>
    <w:rsid w:val="7EE1319D"/>
    <w:rsid w:val="7F8D69DE"/>
    <w:rsid w:val="7F930498"/>
    <w:rsid w:val="7FEDB00D"/>
    <w:rsid w:val="7FF3A5A8"/>
    <w:rsid w:val="7FFEF0F8"/>
    <w:rsid w:val="7FFF5206"/>
    <w:rsid w:val="7FFFDF43"/>
    <w:rsid w:val="8973FB03"/>
    <w:rsid w:val="8FFF9683"/>
    <w:rsid w:val="9FD7D19F"/>
    <w:rsid w:val="AF9FBB3F"/>
    <w:rsid w:val="B1FBD1D8"/>
    <w:rsid w:val="B3BF1205"/>
    <w:rsid w:val="B3FF4C90"/>
    <w:rsid w:val="BA6F0C61"/>
    <w:rsid w:val="BBFEB9B7"/>
    <w:rsid w:val="BD875F69"/>
    <w:rsid w:val="BDDDFDB3"/>
    <w:rsid w:val="BFBC8F20"/>
    <w:rsid w:val="BFFD255A"/>
    <w:rsid w:val="BFFF6338"/>
    <w:rsid w:val="BFFF9ECB"/>
    <w:rsid w:val="BFFFA3B9"/>
    <w:rsid w:val="CBF964E9"/>
    <w:rsid w:val="CD7AD73C"/>
    <w:rsid w:val="CEDF51D2"/>
    <w:rsid w:val="CF9F0173"/>
    <w:rsid w:val="D3A96257"/>
    <w:rsid w:val="D53F5690"/>
    <w:rsid w:val="D6F5BD23"/>
    <w:rsid w:val="DB5E97FA"/>
    <w:rsid w:val="DBD07411"/>
    <w:rsid w:val="DBFE8D71"/>
    <w:rsid w:val="DD37BE4C"/>
    <w:rsid w:val="DDF82FFE"/>
    <w:rsid w:val="DEF39EC2"/>
    <w:rsid w:val="DF743D71"/>
    <w:rsid w:val="DF9F65DB"/>
    <w:rsid w:val="DFF7C8EE"/>
    <w:rsid w:val="E4FDAC68"/>
    <w:rsid w:val="E5B9AC90"/>
    <w:rsid w:val="E5DFC9C0"/>
    <w:rsid w:val="E871DE7F"/>
    <w:rsid w:val="EAFAFEBC"/>
    <w:rsid w:val="EBFD8CD6"/>
    <w:rsid w:val="EFFB9EEA"/>
    <w:rsid w:val="F05B1B23"/>
    <w:rsid w:val="F2EC271C"/>
    <w:rsid w:val="F47E1484"/>
    <w:rsid w:val="F5755B43"/>
    <w:rsid w:val="F66F7BBD"/>
    <w:rsid w:val="F70FE741"/>
    <w:rsid w:val="F9F34FA4"/>
    <w:rsid w:val="FACA0EE7"/>
    <w:rsid w:val="FDBF2535"/>
    <w:rsid w:val="FDBF6A52"/>
    <w:rsid w:val="FEFDAD3B"/>
    <w:rsid w:val="FF56CDA9"/>
    <w:rsid w:val="FF5FAC0A"/>
    <w:rsid w:val="FF6F9992"/>
    <w:rsid w:val="FF76BA3A"/>
    <w:rsid w:val="FF7EB12C"/>
    <w:rsid w:val="FF9BD928"/>
    <w:rsid w:val="FFEF7610"/>
    <w:rsid w:val="FFF73661"/>
    <w:rsid w:val="FFFD8E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jc w:val="center"/>
      <w:outlineLvl w:val="0"/>
    </w:pPr>
    <w:rPr>
      <w:b/>
      <w:bCs/>
      <w:kern w:val="44"/>
      <w:sz w:val="30"/>
      <w:szCs w:val="44"/>
    </w:rPr>
  </w:style>
  <w:style w:type="paragraph" w:styleId="3">
    <w:name w:val="heading 2"/>
    <w:basedOn w:val="1"/>
    <w:next w:val="1"/>
    <w:link w:val="2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2"/>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3"/>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rPr>
      <w:rFonts w:ascii="微软雅黑" w:hAnsi="微软雅黑" w:eastAsia="微软雅黑" w:cs="微软雅黑"/>
      <w:sz w:val="19"/>
      <w:szCs w:val="19"/>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semiHidden/>
    <w:unhideWhenUsed/>
    <w:qFormat/>
    <w:uiPriority w:val="99"/>
    <w:rPr>
      <w:sz w:val="21"/>
      <w:szCs w:val="21"/>
    </w:rPr>
  </w:style>
  <w:style w:type="paragraph" w:styleId="18">
    <w:name w:val="List Paragraph"/>
    <w:basedOn w:val="1"/>
    <w:link w:val="24"/>
    <w:unhideWhenUsed/>
    <w:qFormat/>
    <w:uiPriority w:val="99"/>
    <w:pPr>
      <w:ind w:firstLine="420" w:firstLineChars="200"/>
    </w:pPr>
  </w:style>
  <w:style w:type="character" w:customStyle="1" w:styleId="19">
    <w:name w:val="标题 1 Char"/>
    <w:basedOn w:val="13"/>
    <w:link w:val="2"/>
    <w:qFormat/>
    <w:uiPriority w:val="9"/>
    <w:rPr>
      <w:b/>
      <w:bCs/>
      <w:kern w:val="44"/>
      <w:sz w:val="30"/>
      <w:szCs w:val="44"/>
    </w:rPr>
  </w:style>
  <w:style w:type="character" w:customStyle="1" w:styleId="20">
    <w:name w:val="标题 1 字符"/>
    <w:basedOn w:val="13"/>
    <w:link w:val="2"/>
    <w:qFormat/>
    <w:uiPriority w:val="9"/>
    <w:rPr>
      <w:b/>
      <w:bCs/>
      <w:kern w:val="44"/>
      <w:sz w:val="30"/>
      <w:szCs w:val="44"/>
    </w:rPr>
  </w:style>
  <w:style w:type="character" w:customStyle="1" w:styleId="21">
    <w:name w:val="标题 2 Char"/>
    <w:link w:val="3"/>
    <w:qFormat/>
    <w:uiPriority w:val="0"/>
    <w:rPr>
      <w:rFonts w:hint="eastAsia" w:ascii="宋体" w:hAnsi="宋体" w:eastAsia="宋体" w:cs="宋体"/>
      <w:b/>
      <w:bCs/>
      <w:kern w:val="0"/>
      <w:sz w:val="36"/>
      <w:szCs w:val="36"/>
      <w:lang w:val="en-US" w:eastAsia="zh-CN" w:bidi="ar"/>
    </w:rPr>
  </w:style>
  <w:style w:type="character" w:customStyle="1" w:styleId="22">
    <w:name w:val="标题 3 Char"/>
    <w:link w:val="4"/>
    <w:qFormat/>
    <w:uiPriority w:val="0"/>
    <w:rPr>
      <w:b/>
      <w:sz w:val="32"/>
    </w:rPr>
  </w:style>
  <w:style w:type="character" w:customStyle="1" w:styleId="23">
    <w:name w:val="标题 4 Char"/>
    <w:link w:val="5"/>
    <w:qFormat/>
    <w:uiPriority w:val="0"/>
    <w:rPr>
      <w:rFonts w:hint="eastAsia" w:ascii="宋体" w:hAnsi="宋体" w:eastAsia="宋体" w:cs="宋体"/>
      <w:b/>
      <w:bCs/>
      <w:kern w:val="0"/>
      <w:sz w:val="24"/>
      <w:szCs w:val="24"/>
      <w:lang w:val="en-US" w:eastAsia="zh-CN" w:bidi="ar"/>
    </w:rPr>
  </w:style>
  <w:style w:type="character" w:customStyle="1" w:styleId="24">
    <w:name w:val="List Paragraph Char"/>
    <w:link w:val="18"/>
    <w:qFormat/>
    <w:uiPriority w:val="99"/>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常用样式（方正仿宋简）"/>
    <w:basedOn w:val="1"/>
    <w:qFormat/>
    <w:uiPriority w:val="0"/>
    <w:pPr>
      <w:spacing w:line="560" w:lineRule="exact"/>
      <w:ind w:firstLine="640" w:firstLineChars="200"/>
    </w:pPr>
    <w:rPr>
      <w:rFonts w:eastAsia="方正仿宋简体"/>
    </w:rPr>
  </w:style>
  <w:style w:type="paragraph" w:customStyle="1" w:styleId="27">
    <w:name w:val="样式111"/>
    <w:basedOn w:val="6"/>
    <w:next w:val="1"/>
    <w:qFormat/>
    <w:uiPriority w:val="0"/>
    <w:pPr>
      <w:numPr>
        <w:ilvl w:val="1"/>
        <w:numId w:val="1"/>
      </w:numPr>
      <w:spacing w:before="340" w:after="330" w:line="578" w:lineRule="auto"/>
      <w:jc w:val="center"/>
      <w:outlineLvl w:val="0"/>
    </w:pPr>
    <w:rPr>
      <w:rFonts w:hint="eastAsia" w:ascii="黑体" w:hAnsi="黑体" w:cs="黑体"/>
      <w:b/>
      <w:bCs/>
      <w:kern w:val="44"/>
      <w:sz w:val="28"/>
      <w:szCs w:val="44"/>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1801</Words>
  <Characters>2127</Characters>
  <Lines>1</Lines>
  <Paragraphs>1</Paragraphs>
  <TotalTime>2</TotalTime>
  <ScaleCrop>false</ScaleCrop>
  <LinksUpToDate>false</LinksUpToDate>
  <CharactersWithSpaces>2336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2024-12-17T03:15:00Z</dcterms:created>
  <dc:creator>DELL</dc:creator>
  <cp:lastModifiedBy>Leix2</cp:lastModifiedBy>
  <dcterms:modified xsi:type="dcterms:W3CDTF">2025-07-01T02:26:09Z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BE15CB4F1A58DB3BFE0E5E68BFBC5568_43</vt:lpwstr>
  </property>
  <property fmtid="{D5CDD505-2E9C-101B-9397-08002B2CF9AE}" pid="4" name="KSOTemplateDocerSaveRecord">
    <vt:lpwstr>eyJoZGlkIjoiYTFiYTcyYTIzNWE5Mjk1OTU3ZjIxOTMxNGM2ZjA2ZDAiLCJ1c2VySWQiOiI3OTQ1NDMyNzgifQ==</vt:lpwstr>
  </property>
</Properties>
</file>